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AC381">
      <w:pPr>
        <w:pStyle w:val="2"/>
        <w:rPr>
          <w:rFonts w:hint="eastAsia" w:eastAsia="黑体"/>
          <w:lang w:eastAsia="zh-CN"/>
        </w:rPr>
      </w:pPr>
      <w:r>
        <w:rPr>
          <w:rFonts w:hint="eastAsia" w:eastAsia="黑体"/>
          <w:lang w:eastAsia="zh-CN"/>
        </w:rPr>
        <w:drawing>
          <wp:anchor distT="0" distB="0" distL="114300" distR="114300" simplePos="0" relativeHeight="251666432" behindDoc="0" locked="0" layoutInCell="1" allowOverlap="1">
            <wp:simplePos x="0" y="0"/>
            <wp:positionH relativeFrom="column">
              <wp:posOffset>-514350</wp:posOffset>
            </wp:positionH>
            <wp:positionV relativeFrom="page">
              <wp:posOffset>1162050</wp:posOffset>
            </wp:positionV>
            <wp:extent cx="6098540" cy="7774940"/>
            <wp:effectExtent l="0" t="0" r="12700" b="12700"/>
            <wp:wrapSquare wrapText="bothSides"/>
            <wp:docPr id="13" name="图片 13" descr="e5b27a66039a011510a14edafd6ded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5b27a66039a011510a14edafd6ded95"/>
                    <pic:cNvPicPr>
                      <a:picLocks noChangeAspect="1"/>
                    </pic:cNvPicPr>
                  </pic:nvPicPr>
                  <pic:blipFill>
                    <a:blip r:embed="rId11"/>
                    <a:srcRect b="4432"/>
                    <a:stretch>
                      <a:fillRect/>
                    </a:stretch>
                  </pic:blipFill>
                  <pic:spPr>
                    <a:xfrm>
                      <a:off x="0" y="0"/>
                      <a:ext cx="6098540" cy="7774940"/>
                    </a:xfrm>
                    <a:prstGeom prst="rect">
                      <a:avLst/>
                    </a:prstGeom>
                  </pic:spPr>
                </pic:pic>
              </a:graphicData>
            </a:graphic>
          </wp:anchor>
        </w:drawing>
      </w:r>
    </w:p>
    <w:p w14:paraId="5657E02D">
      <w:pPr>
        <w:rPr>
          <w:rFonts w:hint="eastAsia" w:eastAsia="黑体"/>
          <w:lang w:eastAsia="zh-CN"/>
        </w:rPr>
      </w:pPr>
      <w:r>
        <w:rPr>
          <w:rFonts w:hint="eastAsia" w:eastAsia="黑体"/>
          <w:lang w:eastAsia="zh-CN"/>
        </w:rPr>
        <w:drawing>
          <wp:anchor distT="0" distB="0" distL="114300" distR="114300" simplePos="0" relativeHeight="251696128" behindDoc="0" locked="0" layoutInCell="1" allowOverlap="1">
            <wp:simplePos x="0" y="0"/>
            <wp:positionH relativeFrom="column">
              <wp:posOffset>-12700</wp:posOffset>
            </wp:positionH>
            <wp:positionV relativeFrom="paragraph">
              <wp:posOffset>139700</wp:posOffset>
            </wp:positionV>
            <wp:extent cx="5626735" cy="7958455"/>
            <wp:effectExtent l="0" t="0" r="12065" b="12065"/>
            <wp:wrapSquare wrapText="bothSides"/>
            <wp:docPr id="67" name="图片 67" descr="1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1 001"/>
                    <pic:cNvPicPr>
                      <a:picLocks noChangeAspect="1"/>
                    </pic:cNvPicPr>
                  </pic:nvPicPr>
                  <pic:blipFill>
                    <a:blip r:embed="rId12"/>
                    <a:stretch>
                      <a:fillRect/>
                    </a:stretch>
                  </pic:blipFill>
                  <pic:spPr>
                    <a:xfrm>
                      <a:off x="0" y="0"/>
                      <a:ext cx="5626735" cy="7958455"/>
                    </a:xfrm>
                    <a:prstGeom prst="rect">
                      <a:avLst/>
                    </a:prstGeom>
                  </pic:spPr>
                </pic:pic>
              </a:graphicData>
            </a:graphic>
          </wp:anchor>
        </w:drawing>
      </w:r>
    </w:p>
    <w:p w14:paraId="3E8EEACB">
      <w:pPr>
        <w:rPr>
          <w:rFonts w:hint="eastAsia" w:eastAsia="黑体"/>
          <w:lang w:eastAsia="zh-CN"/>
        </w:rPr>
      </w:pPr>
      <w:r>
        <w:rPr>
          <w:rFonts w:hint="eastAsia" w:eastAsia="黑体"/>
          <w:lang w:eastAsia="zh-CN"/>
        </w:rPr>
        <w:drawing>
          <wp:anchor distT="0" distB="0" distL="114300" distR="114300" simplePos="0" relativeHeight="251697152" behindDoc="0" locked="0" layoutInCell="1" allowOverlap="1">
            <wp:simplePos x="0" y="0"/>
            <wp:positionH relativeFrom="column">
              <wp:posOffset>-86360</wp:posOffset>
            </wp:positionH>
            <wp:positionV relativeFrom="paragraph">
              <wp:posOffset>87630</wp:posOffset>
            </wp:positionV>
            <wp:extent cx="5413375" cy="7656830"/>
            <wp:effectExtent l="0" t="0" r="12065" b="8890"/>
            <wp:wrapSquare wrapText="bothSides"/>
            <wp:docPr id="15" name="图片 15" descr="1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2 001"/>
                    <pic:cNvPicPr>
                      <a:picLocks noChangeAspect="1"/>
                    </pic:cNvPicPr>
                  </pic:nvPicPr>
                  <pic:blipFill>
                    <a:blip r:embed="rId13"/>
                    <a:stretch>
                      <a:fillRect/>
                    </a:stretch>
                  </pic:blipFill>
                  <pic:spPr>
                    <a:xfrm>
                      <a:off x="0" y="0"/>
                      <a:ext cx="5413375" cy="7656830"/>
                    </a:xfrm>
                    <a:prstGeom prst="rect">
                      <a:avLst/>
                    </a:prstGeom>
                  </pic:spPr>
                </pic:pic>
              </a:graphicData>
            </a:graphic>
          </wp:anchor>
        </w:drawing>
      </w:r>
    </w:p>
    <w:p w14:paraId="28AA597A">
      <w:pPr>
        <w:rPr>
          <w:rFonts w:hint="eastAsia" w:eastAsia="黑体"/>
          <w:lang w:eastAsia="zh-CN"/>
        </w:rPr>
      </w:pPr>
    </w:p>
    <w:p w14:paraId="22A534BE">
      <w:pPr>
        <w:rPr>
          <w:rFonts w:hint="eastAsia" w:eastAsia="黑体"/>
          <w:lang w:eastAsia="zh-CN"/>
        </w:rPr>
      </w:pPr>
    </w:p>
    <w:p w14:paraId="2A2ABD64">
      <w:pPr>
        <w:rPr>
          <w:rFonts w:hint="eastAsia" w:eastAsia="黑体"/>
          <w:lang w:eastAsia="zh-CN"/>
        </w:rPr>
      </w:pPr>
      <w:r>
        <w:rPr>
          <w:rFonts w:hint="eastAsia" w:eastAsia="黑体"/>
          <w:lang w:eastAsia="zh-CN"/>
        </w:rPr>
        <w:drawing>
          <wp:anchor distT="0" distB="0" distL="114300" distR="114300" simplePos="0" relativeHeight="251699200" behindDoc="0" locked="0" layoutInCell="1" allowOverlap="1">
            <wp:simplePos x="0" y="0"/>
            <wp:positionH relativeFrom="column">
              <wp:posOffset>-10795</wp:posOffset>
            </wp:positionH>
            <wp:positionV relativeFrom="paragraph">
              <wp:posOffset>76200</wp:posOffset>
            </wp:positionV>
            <wp:extent cx="5267960" cy="7450455"/>
            <wp:effectExtent l="0" t="0" r="5080" b="1905"/>
            <wp:wrapSquare wrapText="bothSides"/>
            <wp:docPr id="17" name="图片 17" descr="12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2 003"/>
                    <pic:cNvPicPr>
                      <a:picLocks noChangeAspect="1"/>
                    </pic:cNvPicPr>
                  </pic:nvPicPr>
                  <pic:blipFill>
                    <a:blip r:embed="rId14"/>
                    <a:stretch>
                      <a:fillRect/>
                    </a:stretch>
                  </pic:blipFill>
                  <pic:spPr>
                    <a:xfrm>
                      <a:off x="0" y="0"/>
                      <a:ext cx="5267960" cy="7450455"/>
                    </a:xfrm>
                    <a:prstGeom prst="rect">
                      <a:avLst/>
                    </a:prstGeom>
                  </pic:spPr>
                </pic:pic>
              </a:graphicData>
            </a:graphic>
          </wp:anchor>
        </w:drawing>
      </w:r>
    </w:p>
    <w:p w14:paraId="390A74E7">
      <w:pPr>
        <w:rPr>
          <w:rFonts w:hint="eastAsia" w:eastAsia="黑体"/>
          <w:lang w:eastAsia="zh-CN"/>
        </w:rPr>
      </w:pPr>
    </w:p>
    <w:p w14:paraId="67BD63B1">
      <w:pPr>
        <w:rPr>
          <w:rFonts w:hint="eastAsia" w:eastAsia="黑体"/>
          <w:lang w:eastAsia="zh-CN"/>
        </w:rPr>
      </w:pPr>
    </w:p>
    <w:p w14:paraId="50B17762">
      <w:pPr>
        <w:rPr>
          <w:rFonts w:hint="eastAsia" w:eastAsia="黑体"/>
          <w:lang w:eastAsia="zh-CN"/>
        </w:rPr>
      </w:pPr>
      <w:r>
        <w:rPr>
          <w:rFonts w:hint="eastAsia" w:eastAsia="黑体"/>
          <w:lang w:eastAsia="zh-CN"/>
        </w:rPr>
        <w:drawing>
          <wp:anchor distT="0" distB="0" distL="114300" distR="114300" simplePos="0" relativeHeight="251698176" behindDoc="0" locked="0" layoutInCell="1" allowOverlap="1">
            <wp:simplePos x="0" y="0"/>
            <wp:positionH relativeFrom="column">
              <wp:posOffset>20955</wp:posOffset>
            </wp:positionH>
            <wp:positionV relativeFrom="paragraph">
              <wp:posOffset>93980</wp:posOffset>
            </wp:positionV>
            <wp:extent cx="5267960" cy="7450455"/>
            <wp:effectExtent l="0" t="0" r="5080" b="1905"/>
            <wp:wrapSquare wrapText="bothSides"/>
            <wp:docPr id="16" name="图片 16" descr="12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2 004"/>
                    <pic:cNvPicPr>
                      <a:picLocks noChangeAspect="1"/>
                    </pic:cNvPicPr>
                  </pic:nvPicPr>
                  <pic:blipFill>
                    <a:blip r:embed="rId15"/>
                    <a:stretch>
                      <a:fillRect/>
                    </a:stretch>
                  </pic:blipFill>
                  <pic:spPr>
                    <a:xfrm>
                      <a:off x="0" y="0"/>
                      <a:ext cx="5267960" cy="7450455"/>
                    </a:xfrm>
                    <a:prstGeom prst="rect">
                      <a:avLst/>
                    </a:prstGeom>
                  </pic:spPr>
                </pic:pic>
              </a:graphicData>
            </a:graphic>
          </wp:anchor>
        </w:drawing>
      </w:r>
    </w:p>
    <w:p w14:paraId="138AD9F1">
      <w:pPr>
        <w:rPr>
          <w:rFonts w:hint="eastAsia" w:eastAsia="黑体"/>
          <w:lang w:eastAsia="zh-CN"/>
        </w:rPr>
      </w:pPr>
    </w:p>
    <w:p w14:paraId="1B4E44F0">
      <w:pPr>
        <w:rPr>
          <w:rFonts w:hint="eastAsia" w:eastAsia="黑体"/>
          <w:lang w:eastAsia="zh-CN"/>
        </w:rPr>
      </w:pPr>
    </w:p>
    <w:p w14:paraId="42A26836">
      <w:pPr>
        <w:rPr>
          <w:rFonts w:hint="eastAsia" w:eastAsia="黑体"/>
          <w:lang w:eastAsia="zh-CN"/>
        </w:rPr>
      </w:pPr>
      <w:r>
        <w:rPr>
          <w:rFonts w:hint="eastAsia" w:eastAsia="黑体"/>
          <w:lang w:eastAsia="zh-CN"/>
        </w:rPr>
        <w:drawing>
          <wp:anchor distT="0" distB="0" distL="114300" distR="114300" simplePos="0" relativeHeight="251700224" behindDoc="0" locked="0" layoutInCell="1" allowOverlap="1">
            <wp:simplePos x="0" y="0"/>
            <wp:positionH relativeFrom="column">
              <wp:posOffset>65405</wp:posOffset>
            </wp:positionH>
            <wp:positionV relativeFrom="paragraph">
              <wp:posOffset>173990</wp:posOffset>
            </wp:positionV>
            <wp:extent cx="5267960" cy="7450455"/>
            <wp:effectExtent l="0" t="0" r="5080" b="1905"/>
            <wp:wrapSquare wrapText="bothSides"/>
            <wp:docPr id="18" name="图片 18" descr="1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2 002"/>
                    <pic:cNvPicPr>
                      <a:picLocks noChangeAspect="1"/>
                    </pic:cNvPicPr>
                  </pic:nvPicPr>
                  <pic:blipFill>
                    <a:blip r:embed="rId16"/>
                    <a:stretch>
                      <a:fillRect/>
                    </a:stretch>
                  </pic:blipFill>
                  <pic:spPr>
                    <a:xfrm>
                      <a:off x="0" y="0"/>
                      <a:ext cx="5267960" cy="7450455"/>
                    </a:xfrm>
                    <a:prstGeom prst="rect">
                      <a:avLst/>
                    </a:prstGeom>
                  </pic:spPr>
                </pic:pic>
              </a:graphicData>
            </a:graphic>
          </wp:anchor>
        </w:drawing>
      </w:r>
    </w:p>
    <w:p w14:paraId="7D2DCD87">
      <w:pPr>
        <w:rPr>
          <w:rFonts w:hint="eastAsia" w:eastAsia="黑体"/>
          <w:lang w:eastAsia="zh-CN"/>
        </w:rPr>
      </w:pPr>
    </w:p>
    <w:p w14:paraId="680B8B55">
      <w:pPr>
        <w:rPr>
          <w:rFonts w:hint="eastAsia" w:eastAsia="黑体"/>
          <w:lang w:eastAsia="zh-CN"/>
        </w:rPr>
      </w:pPr>
    </w:p>
    <w:p w14:paraId="32C92F36">
      <w:pPr>
        <w:rPr>
          <w:rFonts w:hint="eastAsia" w:eastAsia="黑体"/>
          <w:lang w:eastAsia="zh-CN"/>
        </w:rPr>
        <w:sectPr>
          <w:headerReference r:id="rId5" w:type="default"/>
          <w:footerReference r:id="rId6" w:type="default"/>
          <w:pgSz w:w="11906" w:h="16838"/>
          <w:pgMar w:top="1440" w:right="1803" w:bottom="1440" w:left="1803" w:header="851" w:footer="1077" w:gutter="0"/>
          <w:pgNumType w:fmt="decimal" w:start="1"/>
          <w:cols w:space="720" w:num="1"/>
          <w:docGrid w:linePitch="312" w:charSpace="0"/>
        </w:sectPr>
      </w:pPr>
    </w:p>
    <w:p w14:paraId="7E16F027">
      <w:pPr>
        <w:pStyle w:val="2"/>
      </w:pPr>
      <w:r>
        <w:t>一、建设项目基本情况</w:t>
      </w:r>
    </w:p>
    <w:tbl>
      <w:tblPr>
        <w:tblStyle w:val="26"/>
        <w:tblW w:w="9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50"/>
        <w:gridCol w:w="1610"/>
        <w:gridCol w:w="2433"/>
        <w:gridCol w:w="1505"/>
        <w:gridCol w:w="3441"/>
      </w:tblGrid>
      <w:tr w14:paraId="3272D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2060" w:type="dxa"/>
            <w:gridSpan w:val="2"/>
            <w:tcMar>
              <w:top w:w="16" w:type="dxa"/>
              <w:left w:w="16" w:type="dxa"/>
              <w:right w:w="16" w:type="dxa"/>
            </w:tcMar>
            <w:vAlign w:val="center"/>
          </w:tcPr>
          <w:p w14:paraId="6D6BB5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建设项目名称</w:t>
            </w:r>
          </w:p>
        </w:tc>
        <w:tc>
          <w:tcPr>
            <w:tcW w:w="7379" w:type="dxa"/>
            <w:gridSpan w:val="3"/>
            <w:vAlign w:val="center"/>
          </w:tcPr>
          <w:p w14:paraId="2BC28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新乡市弘祥服装辅料有限公司</w:t>
            </w:r>
            <w:r>
              <w:rPr>
                <w:rFonts w:hint="eastAsia"/>
                <w:color w:val="000000" w:themeColor="text1"/>
                <w:lang w:eastAsia="zh-CN"/>
                <w14:textFill>
                  <w14:solidFill>
                    <w14:schemeClr w14:val="tx1"/>
                  </w14:solidFill>
                </w14:textFill>
              </w:rPr>
              <w:t>年生产390万件服装辅料加工项目</w:t>
            </w:r>
          </w:p>
        </w:tc>
      </w:tr>
      <w:tr w14:paraId="10E92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0" w:type="dxa"/>
            <w:gridSpan w:val="2"/>
            <w:tcMar>
              <w:top w:w="16" w:type="dxa"/>
              <w:left w:w="16" w:type="dxa"/>
              <w:right w:w="16" w:type="dxa"/>
            </w:tcMar>
            <w:vAlign w:val="center"/>
          </w:tcPr>
          <w:p w14:paraId="07855E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项目代码</w:t>
            </w:r>
          </w:p>
        </w:tc>
        <w:tc>
          <w:tcPr>
            <w:tcW w:w="7379" w:type="dxa"/>
            <w:gridSpan w:val="3"/>
            <w:vAlign w:val="center"/>
          </w:tcPr>
          <w:p w14:paraId="54A3B6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000000" w:themeColor="text1"/>
                <w:u w:val="single"/>
                <w14:textFill>
                  <w14:solidFill>
                    <w14:schemeClr w14:val="tx1"/>
                  </w14:solidFill>
                </w14:textFill>
              </w:rPr>
            </w:pPr>
            <w:r>
              <w:rPr>
                <w:rFonts w:hint="eastAsia"/>
                <w:bCs/>
                <w:color w:val="000000" w:themeColor="text1"/>
                <w14:textFill>
                  <w14:solidFill>
                    <w14:schemeClr w14:val="tx1"/>
                  </w14:solidFill>
                </w14:textFill>
              </w:rPr>
              <w:t>2604-410704-04-01-687645</w:t>
            </w:r>
          </w:p>
        </w:tc>
      </w:tr>
      <w:tr w14:paraId="32CF6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0" w:type="dxa"/>
            <w:gridSpan w:val="2"/>
            <w:tcMar>
              <w:top w:w="16" w:type="dxa"/>
              <w:left w:w="16" w:type="dxa"/>
              <w:right w:w="16" w:type="dxa"/>
            </w:tcMar>
            <w:vAlign w:val="center"/>
          </w:tcPr>
          <w:p w14:paraId="63E4C6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建设单位法人代表</w:t>
            </w:r>
          </w:p>
        </w:tc>
        <w:tc>
          <w:tcPr>
            <w:tcW w:w="7379" w:type="dxa"/>
            <w:gridSpan w:val="3"/>
            <w:vAlign w:val="center"/>
          </w:tcPr>
          <w:p w14:paraId="7F9384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000000" w:themeColor="text1"/>
                <w14:textFill>
                  <w14:solidFill>
                    <w14:schemeClr w14:val="tx1"/>
                  </w14:solidFill>
                </w14:textFill>
              </w:rPr>
            </w:pPr>
            <w:r>
              <w:rPr>
                <w:rFonts w:hint="eastAsia"/>
                <w:color w:val="000000" w:themeColor="text1"/>
                <w14:textFill>
                  <w14:solidFill>
                    <w14:schemeClr w14:val="tx1"/>
                  </w14:solidFill>
                </w14:textFill>
              </w:rPr>
              <w:t>陶梦怡（500115200701181540）</w:t>
            </w:r>
          </w:p>
        </w:tc>
      </w:tr>
      <w:tr w14:paraId="731ED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0" w:type="dxa"/>
            <w:gridSpan w:val="2"/>
            <w:shd w:val="clear" w:color="auto" w:fill="auto"/>
            <w:tcMar>
              <w:top w:w="16" w:type="dxa"/>
              <w:left w:w="16" w:type="dxa"/>
              <w:right w:w="16" w:type="dxa"/>
            </w:tcMar>
            <w:vAlign w:val="center"/>
          </w:tcPr>
          <w:p w14:paraId="4EBAAB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建设单位联系人</w:t>
            </w:r>
          </w:p>
        </w:tc>
        <w:tc>
          <w:tcPr>
            <w:tcW w:w="2433" w:type="dxa"/>
            <w:shd w:val="clear" w:color="auto" w:fill="auto"/>
            <w:vAlign w:val="center"/>
          </w:tcPr>
          <w:p w14:paraId="67717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瞿昌茂</w:t>
            </w:r>
          </w:p>
        </w:tc>
        <w:tc>
          <w:tcPr>
            <w:tcW w:w="1505" w:type="dxa"/>
            <w:shd w:val="clear" w:color="auto" w:fill="auto"/>
            <w:tcMar>
              <w:top w:w="16" w:type="dxa"/>
              <w:left w:w="16" w:type="dxa"/>
              <w:right w:w="16" w:type="dxa"/>
            </w:tcMar>
            <w:vAlign w:val="center"/>
          </w:tcPr>
          <w:p w14:paraId="7F5412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3441" w:type="dxa"/>
            <w:shd w:val="clear" w:color="auto" w:fill="auto"/>
            <w:tcMar>
              <w:top w:w="16" w:type="dxa"/>
              <w:left w:w="16" w:type="dxa"/>
              <w:right w:w="16" w:type="dxa"/>
            </w:tcMar>
            <w:vAlign w:val="center"/>
          </w:tcPr>
          <w:p w14:paraId="07E84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15106036790</w:t>
            </w:r>
          </w:p>
        </w:tc>
      </w:tr>
      <w:tr w14:paraId="2734F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0" w:type="dxa"/>
            <w:gridSpan w:val="2"/>
            <w:tcMar>
              <w:top w:w="16" w:type="dxa"/>
              <w:left w:w="16" w:type="dxa"/>
              <w:right w:w="16" w:type="dxa"/>
            </w:tcMar>
            <w:vAlign w:val="center"/>
          </w:tcPr>
          <w:p w14:paraId="6C7127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建设地点</w:t>
            </w:r>
          </w:p>
        </w:tc>
        <w:tc>
          <w:tcPr>
            <w:tcW w:w="7379" w:type="dxa"/>
            <w:gridSpan w:val="3"/>
            <w:vAlign w:val="center"/>
          </w:tcPr>
          <w:p w14:paraId="7BE9B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河南省</w:t>
            </w:r>
            <w:r>
              <w:rPr>
                <w:rFonts w:hint="eastAsia"/>
                <w:color w:val="000000" w:themeColor="text1"/>
                <w:lang w:eastAsia="zh-CN"/>
                <w14:textFill>
                  <w14:solidFill>
                    <w14:schemeClr w14:val="tx1"/>
                  </w14:solidFill>
                </w14:textFill>
              </w:rPr>
              <w:t>新乡市新能源电池专业园区标北路11号3A号厂房</w:t>
            </w:r>
          </w:p>
        </w:tc>
      </w:tr>
      <w:tr w14:paraId="20FE1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060" w:type="dxa"/>
            <w:gridSpan w:val="2"/>
            <w:tcMar>
              <w:top w:w="16" w:type="dxa"/>
              <w:left w:w="16" w:type="dxa"/>
              <w:right w:w="16" w:type="dxa"/>
            </w:tcMar>
            <w:vAlign w:val="center"/>
          </w:tcPr>
          <w:p w14:paraId="508132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地理坐标</w:t>
            </w:r>
          </w:p>
        </w:tc>
        <w:tc>
          <w:tcPr>
            <w:tcW w:w="7379" w:type="dxa"/>
            <w:gridSpan w:val="3"/>
            <w:vAlign w:val="center"/>
          </w:tcPr>
          <w:p w14:paraId="5A6B87A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color w:val="000000" w:themeColor="text1"/>
                <w14:textFill>
                  <w14:solidFill>
                    <w14:schemeClr w14:val="tx1"/>
                  </w14:solidFill>
                </w14:textFill>
              </w:rPr>
            </w:pPr>
            <w:r>
              <w:rPr>
                <w:color w:val="000000" w:themeColor="text1"/>
                <w:u w:val="single"/>
                <w14:textFill>
                  <w14:solidFill>
                    <w14:schemeClr w14:val="tx1"/>
                  </w14:solidFill>
                </w14:textFill>
              </w:rPr>
              <w:t>11</w:t>
            </w:r>
            <w:r>
              <w:rPr>
                <w:rFonts w:hint="eastAsia"/>
                <w:color w:val="000000" w:themeColor="text1"/>
                <w:u w:val="single"/>
                <w14:textFill>
                  <w14:solidFill>
                    <w14:schemeClr w14:val="tx1"/>
                  </w14:solidFill>
                </w14:textFill>
              </w:rPr>
              <w:t>3</w:t>
            </w:r>
            <w:r>
              <w:rPr>
                <w:color w:val="000000" w:themeColor="text1"/>
                <w14:textFill>
                  <w14:solidFill>
                    <w14:schemeClr w14:val="tx1"/>
                  </w14:solidFill>
                </w14:textFill>
              </w:rPr>
              <w:t>度</w:t>
            </w:r>
            <w:r>
              <w:rPr>
                <w:rFonts w:hint="eastAsia"/>
                <w:color w:val="000000" w:themeColor="text1"/>
                <w:u w:val="single"/>
                <w14:textFill>
                  <w14:solidFill>
                    <w14:schemeClr w14:val="tx1"/>
                  </w14:solidFill>
                </w14:textFill>
              </w:rPr>
              <w:t>52</w:t>
            </w:r>
            <w:r>
              <w:rPr>
                <w:color w:val="000000" w:themeColor="text1"/>
                <w14:textFill>
                  <w14:solidFill>
                    <w14:schemeClr w14:val="tx1"/>
                  </w14:solidFill>
                </w14:textFill>
              </w:rPr>
              <w:t>分</w:t>
            </w:r>
            <w:r>
              <w:rPr>
                <w:rFonts w:hint="eastAsia"/>
                <w:color w:val="000000" w:themeColor="text1"/>
                <w:u w:val="single"/>
                <w14:textFill>
                  <w14:solidFill>
                    <w14:schemeClr w14:val="tx1"/>
                  </w14:solidFill>
                </w14:textFill>
              </w:rPr>
              <w:t>48.841</w:t>
            </w:r>
            <w:r>
              <w:rPr>
                <w:color w:val="000000" w:themeColor="text1"/>
                <w14:textFill>
                  <w14:solidFill>
                    <w14:schemeClr w14:val="tx1"/>
                  </w14:solidFill>
                </w14:textFill>
              </w:rPr>
              <w:t>秒，</w:t>
            </w:r>
            <w:r>
              <w:rPr>
                <w:color w:val="000000" w:themeColor="text1"/>
                <w:u w:val="single"/>
                <w14:textFill>
                  <w14:solidFill>
                    <w14:schemeClr w14:val="tx1"/>
                  </w14:solidFill>
                </w14:textFill>
              </w:rPr>
              <w:t>35</w:t>
            </w:r>
            <w:r>
              <w:rPr>
                <w:color w:val="000000" w:themeColor="text1"/>
                <w14:textFill>
                  <w14:solidFill>
                    <w14:schemeClr w14:val="tx1"/>
                  </w14:solidFill>
                </w14:textFill>
              </w:rPr>
              <w:t>度</w:t>
            </w:r>
            <w:r>
              <w:rPr>
                <w:rFonts w:hint="eastAsia"/>
                <w:color w:val="000000" w:themeColor="text1"/>
                <w:u w:val="single"/>
                <w14:textFill>
                  <w14:solidFill>
                    <w14:schemeClr w14:val="tx1"/>
                  </w14:solidFill>
                </w14:textFill>
              </w:rPr>
              <w:t>23</w:t>
            </w:r>
            <w:r>
              <w:rPr>
                <w:color w:val="000000" w:themeColor="text1"/>
                <w14:textFill>
                  <w14:solidFill>
                    <w14:schemeClr w14:val="tx1"/>
                  </w14:solidFill>
                </w14:textFill>
              </w:rPr>
              <w:t>分</w:t>
            </w:r>
            <w:r>
              <w:rPr>
                <w:rFonts w:hint="eastAsia"/>
                <w:color w:val="000000" w:themeColor="text1"/>
                <w:u w:val="single"/>
                <w14:textFill>
                  <w14:solidFill>
                    <w14:schemeClr w14:val="tx1"/>
                  </w14:solidFill>
                </w14:textFill>
              </w:rPr>
              <w:t>6.492</w:t>
            </w:r>
            <w:r>
              <w:rPr>
                <w:color w:val="000000" w:themeColor="text1"/>
                <w14:textFill>
                  <w14:solidFill>
                    <w14:schemeClr w14:val="tx1"/>
                  </w14:solidFill>
                </w14:textFill>
              </w:rPr>
              <w:t>秒</w:t>
            </w:r>
          </w:p>
        </w:tc>
      </w:tr>
      <w:tr w14:paraId="21635D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060" w:type="dxa"/>
            <w:gridSpan w:val="2"/>
            <w:tcMar>
              <w:top w:w="16" w:type="dxa"/>
              <w:left w:w="16" w:type="dxa"/>
              <w:right w:w="16" w:type="dxa"/>
            </w:tcMar>
            <w:vAlign w:val="center"/>
          </w:tcPr>
          <w:p w14:paraId="4F3109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国民经济</w:t>
            </w:r>
          </w:p>
          <w:p w14:paraId="57CAF5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行业类别</w:t>
            </w:r>
          </w:p>
        </w:tc>
        <w:tc>
          <w:tcPr>
            <w:tcW w:w="2433" w:type="dxa"/>
            <w:vAlign w:val="center"/>
          </w:tcPr>
          <w:p w14:paraId="6D4641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C1713棉印染精加工</w:t>
            </w:r>
          </w:p>
        </w:tc>
        <w:tc>
          <w:tcPr>
            <w:tcW w:w="1505" w:type="dxa"/>
            <w:vAlign w:val="center"/>
          </w:tcPr>
          <w:p w14:paraId="66B35B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3AD440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3441" w:type="dxa"/>
            <w:vAlign w:val="center"/>
          </w:tcPr>
          <w:p w14:paraId="2C6FEF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十四、纺织业28</w:t>
            </w:r>
            <w:r>
              <w:rPr>
                <w:b w:val="0"/>
                <w:bCs w:val="0"/>
                <w:color w:val="000000" w:themeColor="text1"/>
                <w14:textFill>
                  <w14:solidFill>
                    <w14:schemeClr w14:val="tx1"/>
                  </w14:solidFill>
                </w14:textFill>
              </w:rPr>
              <w:t>棉纺织及印染精加工</w:t>
            </w:r>
            <w:r>
              <w:rPr>
                <w:color w:val="000000" w:themeColor="text1"/>
                <w14:textFill>
                  <w14:solidFill>
                    <w14:schemeClr w14:val="tx1"/>
                  </w14:solidFill>
                </w14:textFill>
              </w:rPr>
              <w:t xml:space="preserve"> 171*</w:t>
            </w:r>
          </w:p>
        </w:tc>
      </w:tr>
      <w:tr w14:paraId="29803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060" w:type="dxa"/>
            <w:gridSpan w:val="2"/>
            <w:tcMar>
              <w:top w:w="16" w:type="dxa"/>
              <w:left w:w="16" w:type="dxa"/>
              <w:right w:w="16" w:type="dxa"/>
            </w:tcMar>
            <w:vAlign w:val="center"/>
          </w:tcPr>
          <w:p w14:paraId="5BD1D2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建设性质</w:t>
            </w:r>
          </w:p>
        </w:tc>
        <w:tc>
          <w:tcPr>
            <w:tcW w:w="2433" w:type="dxa"/>
            <w:vAlign w:val="center"/>
          </w:tcPr>
          <w:p w14:paraId="723734A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新建（迁建）</w:t>
            </w:r>
          </w:p>
          <w:p w14:paraId="176C5AB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改建</w:t>
            </w:r>
          </w:p>
          <w:p w14:paraId="3361291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扩建</w:t>
            </w:r>
          </w:p>
          <w:p w14:paraId="6CD377F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技术改造</w:t>
            </w:r>
          </w:p>
        </w:tc>
        <w:tc>
          <w:tcPr>
            <w:tcW w:w="1505" w:type="dxa"/>
            <w:vAlign w:val="center"/>
          </w:tcPr>
          <w:p w14:paraId="2E52AD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751D7D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申报情形</w:t>
            </w:r>
          </w:p>
        </w:tc>
        <w:tc>
          <w:tcPr>
            <w:tcW w:w="3441" w:type="dxa"/>
            <w:vAlign w:val="center"/>
          </w:tcPr>
          <w:p w14:paraId="434852B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首次申报项目</w:t>
            </w:r>
          </w:p>
          <w:p w14:paraId="0DFF780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不予批准后再次申报项目</w:t>
            </w:r>
          </w:p>
          <w:p w14:paraId="56E46AB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超五年重新审核项目</w:t>
            </w:r>
          </w:p>
          <w:p w14:paraId="2C75BE1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重大变动重新报批项目</w:t>
            </w:r>
          </w:p>
        </w:tc>
      </w:tr>
      <w:tr w14:paraId="621ED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89" w:hRule="atLeast"/>
          <w:jc w:val="center"/>
        </w:trPr>
        <w:tc>
          <w:tcPr>
            <w:tcW w:w="2060" w:type="dxa"/>
            <w:gridSpan w:val="2"/>
            <w:tcMar>
              <w:top w:w="16" w:type="dxa"/>
              <w:left w:w="16" w:type="dxa"/>
              <w:right w:w="16" w:type="dxa"/>
            </w:tcMar>
            <w:vAlign w:val="center"/>
          </w:tcPr>
          <w:p w14:paraId="5C24C3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项目审批（核准/备案）部门（选填）</w:t>
            </w:r>
          </w:p>
        </w:tc>
        <w:tc>
          <w:tcPr>
            <w:tcW w:w="2433" w:type="dxa"/>
            <w:vAlign w:val="center"/>
          </w:tcPr>
          <w:p w14:paraId="06C73C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新乡市凤泉区发展和改革委员会</w:t>
            </w:r>
          </w:p>
        </w:tc>
        <w:tc>
          <w:tcPr>
            <w:tcW w:w="1505" w:type="dxa"/>
            <w:vAlign w:val="center"/>
          </w:tcPr>
          <w:p w14:paraId="777CBF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项目审批（核准/备案）文号（选填）</w:t>
            </w:r>
          </w:p>
        </w:tc>
        <w:tc>
          <w:tcPr>
            <w:tcW w:w="3441" w:type="dxa"/>
            <w:vAlign w:val="center"/>
          </w:tcPr>
          <w:p w14:paraId="7F167C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000000" w:themeColor="text1"/>
                <w:lang w:eastAsia="zh-CN"/>
                <w14:textFill>
                  <w14:solidFill>
                    <w14:schemeClr w14:val="tx1"/>
                  </w14:solidFill>
                </w14:textFill>
              </w:rPr>
            </w:pPr>
            <w:r>
              <w:rPr>
                <w:rFonts w:hint="eastAsia"/>
                <w:bCs/>
                <w:color w:val="000000" w:themeColor="text1"/>
                <w:lang w:val="en-US" w:eastAsia="zh-CN"/>
                <w14:textFill>
                  <w14:solidFill>
                    <w14:schemeClr w14:val="tx1"/>
                  </w14:solidFill>
                </w14:textFill>
              </w:rPr>
              <w:t>/</w:t>
            </w:r>
          </w:p>
        </w:tc>
      </w:tr>
      <w:tr w14:paraId="1BD71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2060" w:type="dxa"/>
            <w:gridSpan w:val="2"/>
            <w:tcMar>
              <w:top w:w="16" w:type="dxa"/>
              <w:left w:w="16" w:type="dxa"/>
              <w:right w:w="16" w:type="dxa"/>
            </w:tcMar>
            <w:vAlign w:val="center"/>
          </w:tcPr>
          <w:p w14:paraId="0A77E6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总投资（万元）</w:t>
            </w:r>
          </w:p>
        </w:tc>
        <w:tc>
          <w:tcPr>
            <w:tcW w:w="2433" w:type="dxa"/>
            <w:vAlign w:val="center"/>
          </w:tcPr>
          <w:p w14:paraId="45575F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500</w:t>
            </w:r>
          </w:p>
        </w:tc>
        <w:tc>
          <w:tcPr>
            <w:tcW w:w="1505" w:type="dxa"/>
            <w:tcMar>
              <w:top w:w="16" w:type="dxa"/>
              <w:left w:w="16" w:type="dxa"/>
              <w:right w:w="16" w:type="dxa"/>
            </w:tcMar>
            <w:vAlign w:val="center"/>
          </w:tcPr>
          <w:p w14:paraId="2A587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环保投资</w:t>
            </w:r>
          </w:p>
          <w:p w14:paraId="6DECCD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（万元）</w:t>
            </w:r>
          </w:p>
        </w:tc>
        <w:tc>
          <w:tcPr>
            <w:tcW w:w="3441" w:type="dxa"/>
            <w:vAlign w:val="center"/>
          </w:tcPr>
          <w:p w14:paraId="48BEA1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rPr>
              <w:t>80</w:t>
            </w:r>
          </w:p>
        </w:tc>
      </w:tr>
      <w:tr w14:paraId="19CCE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060" w:type="dxa"/>
            <w:gridSpan w:val="2"/>
            <w:tcMar>
              <w:top w:w="16" w:type="dxa"/>
              <w:left w:w="16" w:type="dxa"/>
              <w:right w:w="16" w:type="dxa"/>
            </w:tcMar>
            <w:vAlign w:val="center"/>
          </w:tcPr>
          <w:p w14:paraId="1AD79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环保投资占比（%）</w:t>
            </w:r>
          </w:p>
        </w:tc>
        <w:tc>
          <w:tcPr>
            <w:tcW w:w="2433" w:type="dxa"/>
            <w:vAlign w:val="center"/>
          </w:tcPr>
          <w:p w14:paraId="7110F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16</w:t>
            </w:r>
          </w:p>
        </w:tc>
        <w:tc>
          <w:tcPr>
            <w:tcW w:w="1505" w:type="dxa"/>
            <w:tcMar>
              <w:top w:w="16" w:type="dxa"/>
              <w:left w:w="16" w:type="dxa"/>
              <w:right w:w="16" w:type="dxa"/>
            </w:tcMar>
            <w:vAlign w:val="center"/>
          </w:tcPr>
          <w:p w14:paraId="3C4319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施工工期</w:t>
            </w:r>
          </w:p>
        </w:tc>
        <w:tc>
          <w:tcPr>
            <w:tcW w:w="3441" w:type="dxa"/>
            <w:vAlign w:val="center"/>
          </w:tcPr>
          <w:p w14:paraId="4B9A3C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202</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月</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202</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12</w:t>
            </w:r>
            <w:r>
              <w:rPr>
                <w:color w:val="000000" w:themeColor="text1"/>
                <w14:textFill>
                  <w14:solidFill>
                    <w14:schemeClr w14:val="tx1"/>
                  </w14:solidFill>
                </w14:textFill>
              </w:rPr>
              <w:t>月</w:t>
            </w:r>
          </w:p>
        </w:tc>
      </w:tr>
      <w:tr w14:paraId="6EF4F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060" w:type="dxa"/>
            <w:gridSpan w:val="2"/>
            <w:tcMar>
              <w:top w:w="16" w:type="dxa"/>
              <w:left w:w="16" w:type="dxa"/>
              <w:right w:w="16" w:type="dxa"/>
            </w:tcMar>
            <w:vAlign w:val="center"/>
          </w:tcPr>
          <w:p w14:paraId="6A1C4A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是否开工建设</w:t>
            </w:r>
          </w:p>
        </w:tc>
        <w:tc>
          <w:tcPr>
            <w:tcW w:w="2433" w:type="dxa"/>
            <w:vAlign w:val="center"/>
          </w:tcPr>
          <w:p w14:paraId="2D598A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否</w:t>
            </w:r>
          </w:p>
          <w:p w14:paraId="5B6B97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是：</w:t>
            </w:r>
            <w:r>
              <w:rPr>
                <w:color w:val="000000" w:themeColor="text1"/>
                <w:u w:val="single"/>
                <w14:textFill>
                  <w14:solidFill>
                    <w14:schemeClr w14:val="tx1"/>
                  </w14:solidFill>
                </w14:textFill>
              </w:rPr>
              <w:t xml:space="preserve">             </w:t>
            </w:r>
          </w:p>
        </w:tc>
        <w:tc>
          <w:tcPr>
            <w:tcW w:w="1505" w:type="dxa"/>
            <w:tcMar>
              <w:top w:w="16" w:type="dxa"/>
              <w:left w:w="16" w:type="dxa"/>
              <w:right w:w="16" w:type="dxa"/>
            </w:tcMar>
            <w:vAlign w:val="center"/>
          </w:tcPr>
          <w:p w14:paraId="07AD62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pacing w:val="-6"/>
                <w14:textFill>
                  <w14:solidFill>
                    <w14:schemeClr w14:val="tx1"/>
                  </w14:solidFill>
                </w14:textFill>
              </w:rPr>
            </w:pPr>
            <w:r>
              <w:rPr>
                <w:color w:val="000000" w:themeColor="text1"/>
                <w:spacing w:val="-6"/>
                <w14:textFill>
                  <w14:solidFill>
                    <w14:schemeClr w14:val="tx1"/>
                  </w14:solidFill>
                </w14:textFill>
              </w:rPr>
              <w:t>用地（用海）</w:t>
            </w:r>
          </w:p>
          <w:p w14:paraId="42D996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color w:val="000000" w:themeColor="text1"/>
                <w:spacing w:val="-6"/>
                <w14:textFill>
                  <w14:solidFill>
                    <w14:schemeClr w14:val="tx1"/>
                  </w14:solidFill>
                </w14:textFill>
              </w:rPr>
              <w:t>面积（m</w:t>
            </w:r>
            <w:r>
              <w:rPr>
                <w:color w:val="000000" w:themeColor="text1"/>
                <w:spacing w:val="-6"/>
                <w:vertAlign w:val="superscript"/>
                <w14:textFill>
                  <w14:solidFill>
                    <w14:schemeClr w14:val="tx1"/>
                  </w14:solidFill>
                </w14:textFill>
              </w:rPr>
              <w:t>2</w:t>
            </w:r>
            <w:r>
              <w:rPr>
                <w:color w:val="000000" w:themeColor="text1"/>
                <w:spacing w:val="-6"/>
                <w14:textFill>
                  <w14:solidFill>
                    <w14:schemeClr w14:val="tx1"/>
                  </w14:solidFill>
                </w14:textFill>
              </w:rPr>
              <w:t>）</w:t>
            </w:r>
          </w:p>
        </w:tc>
        <w:tc>
          <w:tcPr>
            <w:tcW w:w="3441" w:type="dxa"/>
            <w:vAlign w:val="center"/>
          </w:tcPr>
          <w:p w14:paraId="486619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2575</w:t>
            </w:r>
          </w:p>
        </w:tc>
      </w:tr>
      <w:tr w14:paraId="185BC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060" w:type="dxa"/>
            <w:gridSpan w:val="2"/>
            <w:vAlign w:val="center"/>
          </w:tcPr>
          <w:p w14:paraId="3FCE3D1A">
            <w:pPr>
              <w:autoSpaceDE w:val="0"/>
              <w:autoSpaceDN w:val="0"/>
              <w:adjustRightInd w:val="0"/>
              <w:snapToGrid w:val="0"/>
              <w:spacing w:line="280" w:lineRule="exact"/>
              <w:ind w:left="-72" w:leftChars="-30" w:right="-72" w:rightChars="-30" w:firstLine="0" w:firstLineChars="0"/>
              <w:jc w:val="center"/>
              <w:rPr>
                <w:color w:val="000000" w:themeColor="text1"/>
                <w:kern w:val="0"/>
                <w14:textFill>
                  <w14:solidFill>
                    <w14:schemeClr w14:val="tx1"/>
                  </w14:solidFill>
                </w14:textFill>
              </w:rPr>
            </w:pPr>
            <w:r>
              <w:rPr>
                <w:b/>
                <w:bCs/>
                <w:color w:val="000000" w:themeColor="text1"/>
                <w:kern w:val="0"/>
                <w14:textFill>
                  <w14:solidFill>
                    <w14:schemeClr w14:val="tx1"/>
                  </w14:solidFill>
                </w14:textFill>
              </w:rPr>
              <w:t>专项评价设置情况</w:t>
            </w:r>
          </w:p>
        </w:tc>
        <w:tc>
          <w:tcPr>
            <w:tcW w:w="7379" w:type="dxa"/>
            <w:gridSpan w:val="3"/>
            <w:vAlign w:val="center"/>
          </w:tcPr>
          <w:p w14:paraId="1D45F62A">
            <w:pPr>
              <w:pStyle w:val="102"/>
              <w:numPr>
                <w:ilvl w:val="0"/>
                <w:numId w:val="0"/>
              </w:numPr>
              <w:ind w:firstLine="960" w:firstLineChars="400"/>
              <w:jc w:val="both"/>
            </w:pPr>
            <w:r>
              <w:rPr>
                <w:rFonts w:hint="eastAsia"/>
              </w:rPr>
              <w:t>表1-1        与专项评价设置原则对比一览表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19"/>
              <w:gridCol w:w="3408"/>
              <w:gridCol w:w="2826"/>
            </w:tblGrid>
            <w:tr w14:paraId="2F8C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4F45DE62">
                  <w:pPr>
                    <w:autoSpaceDE w:val="0"/>
                    <w:autoSpaceDN w:val="0"/>
                    <w:adjustRightInd w:val="0"/>
                    <w:snapToGrid w:val="0"/>
                    <w:spacing w:line="240" w:lineRule="auto"/>
                    <w:ind w:firstLine="0" w:firstLineChars="0"/>
                    <w:jc w:val="center"/>
                    <w:rPr>
                      <w:b/>
                      <w:bCs/>
                      <w:kern w:val="0"/>
                      <w:sz w:val="21"/>
                      <w:szCs w:val="21"/>
                      <w:lang w:bidi="ar"/>
                    </w:rPr>
                  </w:pPr>
                  <w:r>
                    <w:rPr>
                      <w:b/>
                      <w:bCs/>
                      <w:kern w:val="0"/>
                      <w:sz w:val="21"/>
                      <w:szCs w:val="21"/>
                      <w:lang w:bidi="ar"/>
                    </w:rPr>
                    <w:t>专项评价的类别</w:t>
                  </w:r>
                </w:p>
              </w:tc>
              <w:tc>
                <w:tcPr>
                  <w:tcW w:w="3258" w:type="dxa"/>
                  <w:tcBorders>
                    <w:tl2br w:val="nil"/>
                    <w:tr2bl w:val="nil"/>
                  </w:tcBorders>
                  <w:vAlign w:val="center"/>
                </w:tcPr>
                <w:p w14:paraId="6348F2E6">
                  <w:pPr>
                    <w:autoSpaceDE w:val="0"/>
                    <w:autoSpaceDN w:val="0"/>
                    <w:adjustRightInd w:val="0"/>
                    <w:snapToGrid w:val="0"/>
                    <w:spacing w:line="240" w:lineRule="auto"/>
                    <w:ind w:firstLine="0" w:firstLineChars="0"/>
                    <w:jc w:val="center"/>
                    <w:rPr>
                      <w:b/>
                      <w:bCs/>
                      <w:kern w:val="0"/>
                      <w:sz w:val="21"/>
                      <w:szCs w:val="21"/>
                      <w:lang w:bidi="ar"/>
                    </w:rPr>
                  </w:pPr>
                  <w:r>
                    <w:rPr>
                      <w:b/>
                      <w:bCs/>
                      <w:kern w:val="0"/>
                      <w:sz w:val="21"/>
                      <w:szCs w:val="21"/>
                      <w:lang w:bidi="ar"/>
                    </w:rPr>
                    <w:t>设置原则</w:t>
                  </w:r>
                </w:p>
              </w:tc>
              <w:tc>
                <w:tcPr>
                  <w:tcW w:w="2702" w:type="dxa"/>
                  <w:tcBorders>
                    <w:tl2br w:val="nil"/>
                    <w:tr2bl w:val="nil"/>
                  </w:tcBorders>
                  <w:vAlign w:val="center"/>
                </w:tcPr>
                <w:p w14:paraId="17766DBF">
                  <w:pPr>
                    <w:autoSpaceDE w:val="0"/>
                    <w:autoSpaceDN w:val="0"/>
                    <w:adjustRightInd w:val="0"/>
                    <w:snapToGrid w:val="0"/>
                    <w:spacing w:line="240" w:lineRule="auto"/>
                    <w:ind w:firstLine="0" w:firstLineChars="0"/>
                    <w:jc w:val="center"/>
                    <w:rPr>
                      <w:b/>
                      <w:bCs/>
                      <w:kern w:val="0"/>
                      <w:sz w:val="21"/>
                      <w:szCs w:val="21"/>
                      <w:lang w:bidi="ar"/>
                    </w:rPr>
                  </w:pPr>
                  <w:r>
                    <w:rPr>
                      <w:b/>
                      <w:bCs/>
                      <w:kern w:val="0"/>
                      <w:sz w:val="21"/>
                      <w:szCs w:val="21"/>
                      <w:lang w:bidi="ar"/>
                    </w:rPr>
                    <w:t>与本项目对比</w:t>
                  </w:r>
                </w:p>
              </w:tc>
            </w:tr>
            <w:tr w14:paraId="418B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0A6CA0C4">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大气</w:t>
                  </w:r>
                </w:p>
              </w:tc>
              <w:tc>
                <w:tcPr>
                  <w:tcW w:w="3258" w:type="dxa"/>
                  <w:tcBorders>
                    <w:tl2br w:val="nil"/>
                    <w:tr2bl w:val="nil"/>
                  </w:tcBorders>
                  <w:vAlign w:val="center"/>
                </w:tcPr>
                <w:p w14:paraId="721C33CA">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排放废气含有有毒有害污染物</w:t>
                  </w:r>
                  <w:r>
                    <w:rPr>
                      <w:kern w:val="0"/>
                      <w:sz w:val="21"/>
                      <w:szCs w:val="21"/>
                      <w:vertAlign w:val="superscript"/>
                      <w:lang w:bidi="ar"/>
                    </w:rPr>
                    <w:t>1</w:t>
                  </w:r>
                  <w:r>
                    <w:rPr>
                      <w:kern w:val="0"/>
                      <w:sz w:val="21"/>
                      <w:szCs w:val="21"/>
                      <w:lang w:bidi="ar"/>
                    </w:rPr>
                    <w:t>、二噁英、苯并[a]芘、氰化物、氯气且厂界外500米范围内有环境空气保护目标</w:t>
                  </w:r>
                  <w:r>
                    <w:rPr>
                      <w:kern w:val="0"/>
                      <w:sz w:val="21"/>
                      <w:szCs w:val="21"/>
                      <w:vertAlign w:val="superscript"/>
                      <w:lang w:bidi="ar"/>
                    </w:rPr>
                    <w:t>2</w:t>
                  </w:r>
                  <w:r>
                    <w:rPr>
                      <w:kern w:val="0"/>
                      <w:sz w:val="21"/>
                      <w:szCs w:val="21"/>
                      <w:lang w:bidi="ar"/>
                    </w:rPr>
                    <w:t>的建设项目。</w:t>
                  </w:r>
                </w:p>
              </w:tc>
              <w:tc>
                <w:tcPr>
                  <w:tcW w:w="2702" w:type="dxa"/>
                  <w:tcBorders>
                    <w:tl2br w:val="nil"/>
                    <w:tr2bl w:val="nil"/>
                  </w:tcBorders>
                  <w:vAlign w:val="center"/>
                </w:tcPr>
                <w:p w14:paraId="4D67855D">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本项目产生的废气主要为颗粒物</w:t>
                  </w:r>
                  <w:r>
                    <w:rPr>
                      <w:rFonts w:hint="eastAsia"/>
                      <w:kern w:val="0"/>
                      <w:sz w:val="21"/>
                      <w:szCs w:val="21"/>
                      <w:lang w:bidi="ar"/>
                    </w:rPr>
                    <w:t>、非甲烷总烃</w:t>
                  </w:r>
                  <w:r>
                    <w:rPr>
                      <w:kern w:val="0"/>
                      <w:sz w:val="21"/>
                      <w:szCs w:val="21"/>
                      <w:lang w:bidi="ar"/>
                    </w:rPr>
                    <w:t>，不含有毒有害污染物</w:t>
                  </w:r>
                  <w:r>
                    <w:rPr>
                      <w:kern w:val="0"/>
                      <w:sz w:val="21"/>
                      <w:szCs w:val="21"/>
                      <w:vertAlign w:val="superscript"/>
                      <w:lang w:bidi="ar"/>
                    </w:rPr>
                    <w:t>1</w:t>
                  </w:r>
                  <w:r>
                    <w:rPr>
                      <w:kern w:val="0"/>
                      <w:sz w:val="21"/>
                      <w:szCs w:val="21"/>
                      <w:lang w:bidi="ar"/>
                    </w:rPr>
                    <w:t>、二噁英、苯并[a]芘、氰化物、氯气，因此本项目无需设置大气专项评价。</w:t>
                  </w:r>
                </w:p>
              </w:tc>
            </w:tr>
            <w:tr w14:paraId="2490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011CB41D">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地表水</w:t>
                  </w:r>
                </w:p>
              </w:tc>
              <w:tc>
                <w:tcPr>
                  <w:tcW w:w="3258" w:type="dxa"/>
                  <w:tcBorders>
                    <w:tl2br w:val="nil"/>
                    <w:tr2bl w:val="nil"/>
                  </w:tcBorders>
                  <w:vAlign w:val="center"/>
                </w:tcPr>
                <w:p w14:paraId="3506ACBB">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新增工业废水直排建设项目（槽罐车外送污水处理厂的除外）；</w:t>
                  </w:r>
                </w:p>
                <w:p w14:paraId="1AD1E80E">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新增废水直排的污水集中处理厂。</w:t>
                  </w:r>
                </w:p>
              </w:tc>
              <w:tc>
                <w:tcPr>
                  <w:tcW w:w="2702" w:type="dxa"/>
                  <w:tcBorders>
                    <w:tl2br w:val="nil"/>
                    <w:tr2bl w:val="nil"/>
                  </w:tcBorders>
                  <w:vAlign w:val="center"/>
                </w:tcPr>
                <w:p w14:paraId="5B9DAC53">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本项目生活污水经厂区化粪池处理后</w:t>
                  </w:r>
                  <w:r>
                    <w:rPr>
                      <w:rFonts w:hint="eastAsia"/>
                      <w:kern w:val="0"/>
                      <w:sz w:val="21"/>
                      <w:szCs w:val="21"/>
                      <w:lang w:bidi="ar"/>
                    </w:rPr>
                    <w:t>排入</w:t>
                  </w:r>
                  <w:r>
                    <w:rPr>
                      <w:kern w:val="0"/>
                      <w:sz w:val="21"/>
                      <w:szCs w:val="21"/>
                      <w:lang w:bidi="ar"/>
                    </w:rPr>
                    <w:t>河南新投水务有限公司（小尚庄污水处理厂）。</w:t>
                  </w:r>
                </w:p>
              </w:tc>
            </w:tr>
            <w:tr w14:paraId="2B07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49F5BE60">
                  <w:pPr>
                    <w:autoSpaceDE w:val="0"/>
                    <w:autoSpaceDN w:val="0"/>
                    <w:adjustRightInd w:val="0"/>
                    <w:snapToGrid w:val="0"/>
                    <w:spacing w:line="240" w:lineRule="auto"/>
                    <w:ind w:firstLine="0" w:firstLineChars="0"/>
                    <w:jc w:val="center"/>
                    <w:rPr>
                      <w:kern w:val="0"/>
                      <w:sz w:val="21"/>
                      <w:szCs w:val="21"/>
                      <w:lang w:bidi="ar"/>
                    </w:rPr>
                  </w:pPr>
                  <w:r>
                    <w:rPr>
                      <w:sz w:val="21"/>
                      <w:szCs w:val="21"/>
                    </w:rPr>
                    <w:t>地下水</w:t>
                  </w:r>
                </w:p>
              </w:tc>
              <w:tc>
                <w:tcPr>
                  <w:tcW w:w="3258" w:type="dxa"/>
                  <w:tcBorders>
                    <w:tl2br w:val="nil"/>
                    <w:tr2bl w:val="nil"/>
                  </w:tcBorders>
                  <w:vAlign w:val="center"/>
                </w:tcPr>
                <w:p w14:paraId="5C89ECE6">
                  <w:pPr>
                    <w:autoSpaceDE w:val="0"/>
                    <w:autoSpaceDN w:val="0"/>
                    <w:adjustRightInd w:val="0"/>
                    <w:snapToGrid w:val="0"/>
                    <w:spacing w:line="240" w:lineRule="auto"/>
                    <w:ind w:firstLine="0" w:firstLineChars="0"/>
                    <w:rPr>
                      <w:kern w:val="0"/>
                      <w:sz w:val="21"/>
                      <w:szCs w:val="21"/>
                      <w:lang w:bidi="ar"/>
                    </w:rPr>
                  </w:pPr>
                  <w:r>
                    <w:rPr>
                      <w:sz w:val="21"/>
                      <w:szCs w:val="21"/>
                    </w:rPr>
                    <w:t>地下水原则上不开展专项评价，涉及集中式饮用水水源和热水、矿泉水、温泉等特殊地下水资源保护区的开展地下水专项评价工作。</w:t>
                  </w:r>
                </w:p>
              </w:tc>
              <w:tc>
                <w:tcPr>
                  <w:tcW w:w="2702" w:type="dxa"/>
                  <w:tcBorders>
                    <w:tl2br w:val="nil"/>
                    <w:tr2bl w:val="nil"/>
                  </w:tcBorders>
                  <w:vAlign w:val="center"/>
                </w:tcPr>
                <w:p w14:paraId="5360E44C">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本项目不涉及</w:t>
                  </w:r>
                </w:p>
              </w:tc>
            </w:tr>
            <w:tr w14:paraId="719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3FB7F94C">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环境风险</w:t>
                  </w:r>
                </w:p>
              </w:tc>
              <w:tc>
                <w:tcPr>
                  <w:tcW w:w="3258" w:type="dxa"/>
                  <w:tcBorders>
                    <w:tl2br w:val="nil"/>
                    <w:tr2bl w:val="nil"/>
                  </w:tcBorders>
                  <w:vAlign w:val="center"/>
                </w:tcPr>
                <w:p w14:paraId="20FBD730">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有毒有害和易燃易爆危险物质储量超过临界量</w:t>
                  </w:r>
                  <w:r>
                    <w:rPr>
                      <w:kern w:val="0"/>
                      <w:sz w:val="21"/>
                      <w:szCs w:val="21"/>
                      <w:vertAlign w:val="superscript"/>
                      <w:lang w:bidi="ar"/>
                    </w:rPr>
                    <w:t>3</w:t>
                  </w:r>
                  <w:r>
                    <w:rPr>
                      <w:kern w:val="0"/>
                      <w:sz w:val="21"/>
                      <w:szCs w:val="21"/>
                      <w:lang w:bidi="ar"/>
                    </w:rPr>
                    <w:t>的建设项目。</w:t>
                  </w:r>
                </w:p>
              </w:tc>
              <w:tc>
                <w:tcPr>
                  <w:tcW w:w="2702" w:type="dxa"/>
                  <w:tcBorders>
                    <w:tl2br w:val="nil"/>
                    <w:tr2bl w:val="nil"/>
                  </w:tcBorders>
                  <w:vAlign w:val="center"/>
                </w:tcPr>
                <w:p w14:paraId="736957AE">
                  <w:pPr>
                    <w:autoSpaceDE w:val="0"/>
                    <w:autoSpaceDN w:val="0"/>
                    <w:adjustRightInd w:val="0"/>
                    <w:snapToGrid w:val="0"/>
                    <w:spacing w:line="240" w:lineRule="auto"/>
                    <w:ind w:firstLine="0" w:firstLineChars="0"/>
                    <w:rPr>
                      <w:kern w:val="0"/>
                      <w:sz w:val="21"/>
                      <w:szCs w:val="21"/>
                      <w:lang w:bidi="ar"/>
                    </w:rPr>
                  </w:pPr>
                  <w:r>
                    <w:rPr>
                      <w:sz w:val="21"/>
                      <w:szCs w:val="21"/>
                    </w:rPr>
                    <w:t>本项目厂区内风险物质总储存量远远小于临界量，无需设置环境风险专项评价。</w:t>
                  </w:r>
                </w:p>
              </w:tc>
            </w:tr>
            <w:tr w14:paraId="1927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8" w:type="dxa"/>
                  <w:tcBorders>
                    <w:tl2br w:val="nil"/>
                    <w:tr2bl w:val="nil"/>
                  </w:tcBorders>
                  <w:vAlign w:val="center"/>
                </w:tcPr>
                <w:p w14:paraId="141E9749">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生态</w:t>
                  </w:r>
                </w:p>
              </w:tc>
              <w:tc>
                <w:tcPr>
                  <w:tcW w:w="3258" w:type="dxa"/>
                  <w:tcBorders>
                    <w:tl2br w:val="nil"/>
                    <w:tr2bl w:val="nil"/>
                  </w:tcBorders>
                  <w:vAlign w:val="center"/>
                </w:tcPr>
                <w:p w14:paraId="123BB603">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取水口下游500米范围内有重要水生生物的自然产卵场、索饵场、越冬场和洄游通道的新增河道取水的污染类建设项目。</w:t>
                  </w:r>
                </w:p>
              </w:tc>
              <w:tc>
                <w:tcPr>
                  <w:tcW w:w="2702" w:type="dxa"/>
                  <w:tcBorders>
                    <w:tl2br w:val="nil"/>
                    <w:tr2bl w:val="nil"/>
                  </w:tcBorders>
                  <w:vAlign w:val="center"/>
                </w:tcPr>
                <w:p w14:paraId="420C09CF">
                  <w:pPr>
                    <w:autoSpaceDE w:val="0"/>
                    <w:autoSpaceDN w:val="0"/>
                    <w:adjustRightInd w:val="0"/>
                    <w:snapToGrid w:val="0"/>
                    <w:spacing w:line="240" w:lineRule="auto"/>
                    <w:ind w:firstLine="0" w:firstLineChars="0"/>
                    <w:rPr>
                      <w:kern w:val="0"/>
                      <w:sz w:val="21"/>
                      <w:szCs w:val="21"/>
                      <w:lang w:bidi="ar"/>
                    </w:rPr>
                  </w:pPr>
                  <w:r>
                    <w:rPr>
                      <w:sz w:val="21"/>
                      <w:szCs w:val="21"/>
                    </w:rPr>
                    <w:t>本项目不涉及河道取水，无需设置生态专项评价。</w:t>
                  </w:r>
                </w:p>
              </w:tc>
            </w:tr>
            <w:tr w14:paraId="2F7F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5" w:hRule="atLeast"/>
                <w:jc w:val="center"/>
              </w:trPr>
              <w:tc>
                <w:tcPr>
                  <w:tcW w:w="878" w:type="dxa"/>
                  <w:tcBorders>
                    <w:tl2br w:val="nil"/>
                    <w:tr2bl w:val="nil"/>
                  </w:tcBorders>
                  <w:vAlign w:val="center"/>
                </w:tcPr>
                <w:p w14:paraId="577ED823">
                  <w:pPr>
                    <w:autoSpaceDE w:val="0"/>
                    <w:autoSpaceDN w:val="0"/>
                    <w:adjustRightInd w:val="0"/>
                    <w:snapToGrid w:val="0"/>
                    <w:spacing w:line="240" w:lineRule="auto"/>
                    <w:ind w:firstLine="0" w:firstLineChars="0"/>
                    <w:jc w:val="center"/>
                    <w:rPr>
                      <w:kern w:val="0"/>
                      <w:sz w:val="21"/>
                      <w:szCs w:val="21"/>
                      <w:lang w:bidi="ar"/>
                    </w:rPr>
                  </w:pPr>
                  <w:r>
                    <w:rPr>
                      <w:kern w:val="0"/>
                      <w:sz w:val="21"/>
                      <w:szCs w:val="21"/>
                      <w:lang w:bidi="ar"/>
                    </w:rPr>
                    <w:t>海洋</w:t>
                  </w:r>
                </w:p>
              </w:tc>
              <w:tc>
                <w:tcPr>
                  <w:tcW w:w="3258" w:type="dxa"/>
                  <w:tcBorders>
                    <w:tl2br w:val="nil"/>
                    <w:tr2bl w:val="nil"/>
                  </w:tcBorders>
                  <w:vAlign w:val="center"/>
                </w:tcPr>
                <w:p w14:paraId="174350EC">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直接向海排放污染物的海洋工程建设项目。</w:t>
                  </w:r>
                </w:p>
              </w:tc>
              <w:tc>
                <w:tcPr>
                  <w:tcW w:w="2702" w:type="dxa"/>
                  <w:tcBorders>
                    <w:tl2br w:val="nil"/>
                    <w:tr2bl w:val="nil"/>
                  </w:tcBorders>
                  <w:vAlign w:val="center"/>
                </w:tcPr>
                <w:p w14:paraId="431B4B79">
                  <w:pPr>
                    <w:autoSpaceDE w:val="0"/>
                    <w:autoSpaceDN w:val="0"/>
                    <w:adjustRightInd w:val="0"/>
                    <w:snapToGrid w:val="0"/>
                    <w:spacing w:line="240" w:lineRule="auto"/>
                    <w:ind w:firstLine="0" w:firstLineChars="0"/>
                    <w:rPr>
                      <w:kern w:val="0"/>
                      <w:sz w:val="21"/>
                      <w:szCs w:val="21"/>
                      <w:lang w:bidi="ar"/>
                    </w:rPr>
                  </w:pPr>
                  <w:r>
                    <w:rPr>
                      <w:sz w:val="21"/>
                      <w:szCs w:val="21"/>
                    </w:rPr>
                    <w:t>本项目不涉及海洋工程，无需设置海洋专项评价。</w:t>
                  </w:r>
                </w:p>
              </w:tc>
            </w:tr>
            <w:tr w14:paraId="4870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838" w:type="dxa"/>
                  <w:gridSpan w:val="3"/>
                  <w:tcBorders>
                    <w:tl2br w:val="nil"/>
                    <w:tr2bl w:val="nil"/>
                  </w:tcBorders>
                  <w:vAlign w:val="center"/>
                </w:tcPr>
                <w:p w14:paraId="5405A0EE">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注：1.废气中有毒有害污染物指纳入《有毒有害大气污染物》的污染物（不包括无排放标准的污染物）。</w:t>
                  </w:r>
                </w:p>
                <w:p w14:paraId="4DE82D74">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2.环境空气保护目标指自然保护区、风景名胜区、居住区、文化区和农村地区中人群较集中的区域。</w:t>
                  </w:r>
                </w:p>
                <w:p w14:paraId="67AF3E56">
                  <w:pPr>
                    <w:autoSpaceDE w:val="0"/>
                    <w:autoSpaceDN w:val="0"/>
                    <w:adjustRightInd w:val="0"/>
                    <w:snapToGrid w:val="0"/>
                    <w:spacing w:line="240" w:lineRule="auto"/>
                    <w:ind w:firstLine="0" w:firstLineChars="0"/>
                    <w:rPr>
                      <w:kern w:val="0"/>
                      <w:sz w:val="21"/>
                      <w:szCs w:val="21"/>
                      <w:lang w:bidi="ar"/>
                    </w:rPr>
                  </w:pPr>
                  <w:r>
                    <w:rPr>
                      <w:kern w:val="0"/>
                      <w:sz w:val="21"/>
                      <w:szCs w:val="21"/>
                      <w:lang w:bidi="ar"/>
                    </w:rPr>
                    <w:t>3.临界量及其计算方法可参考《建设项目环境风险评价技术导则》（HJ 169）附录B、附录C。</w:t>
                  </w:r>
                </w:p>
              </w:tc>
            </w:tr>
          </w:tbl>
          <w:p w14:paraId="4D0DBD8D">
            <w:pPr>
              <w:autoSpaceDE w:val="0"/>
              <w:autoSpaceDN w:val="0"/>
              <w:adjustRightInd w:val="0"/>
              <w:snapToGrid w:val="0"/>
              <w:spacing w:line="520" w:lineRule="exact"/>
              <w:ind w:firstLine="480"/>
              <w:jc w:val="left"/>
              <w:rPr>
                <w:color w:val="000000" w:themeColor="text1"/>
                <w:kern w:val="0"/>
                <w:szCs w:val="21"/>
                <w14:textFill>
                  <w14:solidFill>
                    <w14:schemeClr w14:val="tx1"/>
                  </w14:solidFill>
                </w14:textFill>
              </w:rPr>
            </w:pPr>
            <w:r>
              <w:rPr>
                <w:kern w:val="0"/>
                <w:lang w:bidi="ar"/>
              </w:rPr>
              <w:t>综上所述，本项目无需设置专项评价。</w:t>
            </w:r>
          </w:p>
        </w:tc>
      </w:tr>
      <w:tr w14:paraId="5D636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2060" w:type="dxa"/>
            <w:gridSpan w:val="2"/>
            <w:vAlign w:val="center"/>
          </w:tcPr>
          <w:p w14:paraId="3B4317F3">
            <w:pPr>
              <w:keepNext w:val="0"/>
              <w:keepLines w:val="0"/>
              <w:pageBreakBefore w:val="0"/>
              <w:widowControl w:val="0"/>
              <w:kinsoku/>
              <w:wordWrap/>
              <w:overflowPunct/>
              <w:topLinePunct w:val="0"/>
              <w:autoSpaceDE w:val="0"/>
              <w:autoSpaceDN w:val="0"/>
              <w:bidi w:val="0"/>
              <w:adjustRightInd w:val="0"/>
              <w:snapToGrid w:val="0"/>
              <w:spacing w:line="360" w:lineRule="exact"/>
              <w:ind w:left="-72" w:leftChars="-30" w:right="-72" w:rightChars="-30" w:firstLine="0" w:firstLineChars="0"/>
              <w:jc w:val="center"/>
              <w:textAlignment w:val="auto"/>
              <w:rPr>
                <w:color w:val="000000" w:themeColor="text1"/>
                <w:kern w:val="0"/>
                <w14:textFill>
                  <w14:solidFill>
                    <w14:schemeClr w14:val="tx1"/>
                  </w14:solidFill>
                </w14:textFill>
              </w:rPr>
            </w:pPr>
            <w:r>
              <w:rPr>
                <w:b/>
                <w:bCs/>
                <w:color w:val="000000" w:themeColor="text1"/>
                <w14:textFill>
                  <w14:solidFill>
                    <w14:schemeClr w14:val="tx1"/>
                  </w14:solidFill>
                </w14:textFill>
              </w:rPr>
              <w:t>规划情况</w:t>
            </w:r>
          </w:p>
        </w:tc>
        <w:tc>
          <w:tcPr>
            <w:tcW w:w="7379" w:type="dxa"/>
            <w:gridSpan w:val="3"/>
            <w:vAlign w:val="center"/>
          </w:tcPr>
          <w:p w14:paraId="7432ED1F">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1、规划文件名称：《新乡市新能源电池专业园区发展规划（2022-2035）》</w:t>
            </w:r>
          </w:p>
          <w:p w14:paraId="7D3A99B6">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rFonts w:hint="eastAsia" w:eastAsia="宋体"/>
                <w:bCs/>
                <w:color w:val="000000" w:themeColor="text1"/>
                <w:lang w:val="en-US" w:eastAsia="zh-CN"/>
                <w14:textFill>
                  <w14:solidFill>
                    <w14:schemeClr w14:val="tx1"/>
                  </w14:solidFill>
                </w14:textFill>
              </w:rPr>
            </w:pPr>
            <w:r>
              <w:rPr>
                <w:rFonts w:hint="eastAsia"/>
                <w:bCs/>
                <w:color w:val="000000" w:themeColor="text1"/>
                <w14:textFill>
                  <w14:solidFill>
                    <w14:schemeClr w14:val="tx1"/>
                  </w14:solidFill>
                </w14:textFill>
              </w:rPr>
              <w:t>2、审批机关：凤泉区人民政府，报新乡市园区办备案</w:t>
            </w:r>
            <w:r>
              <w:rPr>
                <w:rFonts w:hint="eastAsia"/>
                <w:bCs/>
                <w:color w:val="000000" w:themeColor="text1"/>
                <w:lang w:val="en-US" w:eastAsia="zh-CN"/>
                <w14:textFill>
                  <w14:solidFill>
                    <w14:schemeClr w14:val="tx1"/>
                  </w14:solidFill>
                </w14:textFill>
              </w:rPr>
              <w:t>。</w:t>
            </w:r>
          </w:p>
          <w:p w14:paraId="31B4C875">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bCs/>
                <w:color w:val="000000" w:themeColor="text1"/>
                <w14:textFill>
                  <w14:solidFill>
                    <w14:schemeClr w14:val="tx1"/>
                  </w14:solidFill>
                </w14:textFill>
              </w:rPr>
            </w:pPr>
            <w:r>
              <w:rPr>
                <w:rFonts w:hint="eastAsia"/>
                <w:bCs/>
                <w:color w:val="000000" w:themeColor="text1"/>
                <w14:textFill>
                  <w14:solidFill>
                    <w14:schemeClr w14:val="tx1"/>
                  </w14:solidFill>
                </w14:textFill>
              </w:rPr>
              <w:t>3、审批文件名称及文号：区政府第11次常务会议工作部署（凤泉区人民政府第4期政府工作部署）</w:t>
            </w:r>
          </w:p>
        </w:tc>
      </w:tr>
      <w:tr w14:paraId="0474C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060" w:type="dxa"/>
            <w:gridSpan w:val="2"/>
            <w:vAlign w:val="center"/>
          </w:tcPr>
          <w:p w14:paraId="5F182901">
            <w:pPr>
              <w:keepNext w:val="0"/>
              <w:keepLines w:val="0"/>
              <w:pageBreakBefore w:val="0"/>
              <w:widowControl w:val="0"/>
              <w:kinsoku/>
              <w:wordWrap/>
              <w:overflowPunct/>
              <w:topLinePunct w:val="0"/>
              <w:bidi w:val="0"/>
              <w:adjustRightInd w:val="0"/>
              <w:snapToGrid w:val="0"/>
              <w:spacing w:line="360" w:lineRule="exact"/>
              <w:ind w:left="-72" w:leftChars="-30" w:right="-72" w:rightChars="-30" w:firstLine="0" w:firstLineChars="0"/>
              <w:jc w:val="center"/>
              <w:textAlignment w:val="auto"/>
              <w:rPr>
                <w:color w:val="000000" w:themeColor="text1"/>
                <w14:textFill>
                  <w14:solidFill>
                    <w14:schemeClr w14:val="tx1"/>
                  </w14:solidFill>
                </w14:textFill>
              </w:rPr>
            </w:pPr>
            <w:r>
              <w:rPr>
                <w:b/>
                <w:bCs/>
                <w:color w:val="000000" w:themeColor="text1"/>
                <w14:textFill>
                  <w14:solidFill>
                    <w14:schemeClr w14:val="tx1"/>
                  </w14:solidFill>
                </w14:textFill>
              </w:rPr>
              <w:t>规划环境影响评价情况</w:t>
            </w:r>
          </w:p>
        </w:tc>
        <w:tc>
          <w:tcPr>
            <w:tcW w:w="7379" w:type="dxa"/>
            <w:gridSpan w:val="3"/>
            <w:vAlign w:val="center"/>
          </w:tcPr>
          <w:p w14:paraId="705CFD92">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1、规划环境影响评价文件：《新乡市新能源电池专业园区发展规划（2022-2035）环境影响报告书》</w:t>
            </w:r>
          </w:p>
          <w:p w14:paraId="0970409C">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2、召集审查机关：新乡市生态环境局</w:t>
            </w:r>
          </w:p>
          <w:p w14:paraId="60447632">
            <w:pPr>
              <w:keepNext w:val="0"/>
              <w:keepLines w:val="0"/>
              <w:pageBreakBefore w:val="0"/>
              <w:widowControl w:val="0"/>
              <w:kinsoku/>
              <w:wordWrap/>
              <w:overflowPunct/>
              <w:topLinePunct w:val="0"/>
              <w:autoSpaceDE w:val="0"/>
              <w:autoSpaceDN w:val="0"/>
              <w:bidi w:val="0"/>
              <w:adjustRightInd w:val="0"/>
              <w:snapToGrid w:val="0"/>
              <w:spacing w:line="520" w:lineRule="exact"/>
              <w:ind w:firstLine="0" w:firstLineChars="0"/>
              <w:jc w:val="left"/>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3、审查文件名称及文号：《新乡市生态环境局关于新乡市新能源电池专业园区发展规划（2022-2035）环境影响报告书的审查意见》（新规环审查[2023]1号）。</w:t>
            </w:r>
          </w:p>
        </w:tc>
      </w:tr>
      <w:tr w14:paraId="3C21A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060" w:type="dxa"/>
            <w:gridSpan w:val="2"/>
            <w:vAlign w:val="center"/>
          </w:tcPr>
          <w:p w14:paraId="2DC96FD6">
            <w:pPr>
              <w:keepNext w:val="0"/>
              <w:keepLines w:val="0"/>
              <w:pageBreakBefore w:val="0"/>
              <w:widowControl w:val="0"/>
              <w:kinsoku/>
              <w:wordWrap/>
              <w:overflowPunct/>
              <w:topLinePunct w:val="0"/>
              <w:bidi w:val="0"/>
              <w:adjustRightInd w:val="0"/>
              <w:snapToGrid w:val="0"/>
              <w:spacing w:line="360" w:lineRule="exact"/>
              <w:ind w:left="-72" w:leftChars="-30" w:right="-72" w:rightChars="-30" w:firstLine="0" w:firstLineChars="0"/>
              <w:jc w:val="center"/>
              <w:textAlignment w:val="auto"/>
              <w:rPr>
                <w:color w:val="000000" w:themeColor="text1"/>
                <w14:textFill>
                  <w14:solidFill>
                    <w14:schemeClr w14:val="tx1"/>
                  </w14:solidFill>
                </w14:textFill>
              </w:rPr>
            </w:pPr>
            <w:r>
              <w:rPr>
                <w:b/>
                <w:bCs/>
                <w:color w:val="000000" w:themeColor="text1"/>
                <w:kern w:val="0"/>
                <w14:textFill>
                  <w14:solidFill>
                    <w14:schemeClr w14:val="tx1"/>
                  </w14:solidFill>
                </w14:textFill>
              </w:rPr>
              <w:t>规划环境影响评价符合性分析</w:t>
            </w:r>
          </w:p>
        </w:tc>
        <w:tc>
          <w:tcPr>
            <w:tcW w:w="7379" w:type="dxa"/>
            <w:gridSpan w:val="3"/>
            <w:vAlign w:val="center"/>
          </w:tcPr>
          <w:p w14:paraId="5497C358">
            <w:pPr>
              <w:keepNext w:val="0"/>
              <w:keepLines w:val="0"/>
              <w:pageBreakBefore w:val="0"/>
              <w:widowControl w:val="0"/>
              <w:kinsoku/>
              <w:wordWrap/>
              <w:overflowPunct/>
              <w:topLinePunct w:val="0"/>
              <w:bidi w:val="0"/>
              <w:snapToGrid w:val="0"/>
              <w:spacing w:line="520" w:lineRule="exact"/>
              <w:ind w:firstLine="482"/>
              <w:textAlignment w:val="auto"/>
              <w:rPr>
                <w:b/>
                <w:bCs/>
              </w:rPr>
            </w:pPr>
            <w:r>
              <w:rPr>
                <w:b/>
                <w:bCs/>
              </w:rPr>
              <w:t>1、本项目与新乡市新能源电池专业园区准入条件和负面清单相符性分析</w:t>
            </w:r>
          </w:p>
          <w:p w14:paraId="5F749DE5">
            <w:pPr>
              <w:keepNext w:val="0"/>
              <w:keepLines w:val="0"/>
              <w:pageBreakBefore w:val="0"/>
              <w:widowControl w:val="0"/>
              <w:kinsoku/>
              <w:wordWrap/>
              <w:overflowPunct/>
              <w:topLinePunct w:val="0"/>
              <w:autoSpaceDE w:val="0"/>
              <w:autoSpaceDN w:val="0"/>
              <w:bidi w:val="0"/>
              <w:adjustRightInd w:val="0"/>
              <w:snapToGrid w:val="0"/>
              <w:spacing w:line="520" w:lineRule="exact"/>
              <w:ind w:firstLine="480"/>
              <w:textAlignment w:val="auto"/>
            </w:pPr>
            <w:r>
              <w:t>（1）本项目位于</w:t>
            </w:r>
            <w:r>
              <w:rPr>
                <w:rFonts w:hint="eastAsia"/>
                <w:lang w:eastAsia="zh-CN"/>
              </w:rPr>
              <w:t>新乡市新能源电池专业园区标北路11号3A号厂房</w:t>
            </w:r>
            <w:r>
              <w:t>，属于新乡市新能源电池专业园区</w:t>
            </w:r>
            <w:r>
              <w:rPr>
                <w:rFonts w:hint="eastAsia"/>
              </w:rPr>
              <w:t>中片区</w:t>
            </w:r>
            <w:r>
              <w:t>，项目与新乡市新能源电池专业园区准入条件、负面清单相符性详见表</w:t>
            </w:r>
            <w:r>
              <w:rPr>
                <w:rFonts w:hint="eastAsia"/>
                <w:lang w:val="en-US" w:eastAsia="zh-CN"/>
              </w:rPr>
              <w:t>1-</w:t>
            </w:r>
            <w:r>
              <w:t>2和表</w:t>
            </w:r>
            <w:r>
              <w:rPr>
                <w:rFonts w:hint="eastAsia"/>
                <w:lang w:val="en-US" w:eastAsia="zh-CN"/>
              </w:rPr>
              <w:t>1-</w:t>
            </w:r>
            <w:r>
              <w:t>3。</w:t>
            </w:r>
          </w:p>
          <w:p w14:paraId="0075BB11">
            <w:pPr>
              <w:keepNext w:val="0"/>
              <w:keepLines w:val="0"/>
              <w:pageBreakBefore w:val="0"/>
              <w:widowControl w:val="0"/>
              <w:kinsoku/>
              <w:wordWrap/>
              <w:overflowPunct/>
              <w:topLinePunct w:val="0"/>
              <w:autoSpaceDE w:val="0"/>
              <w:autoSpaceDN w:val="0"/>
              <w:bidi w:val="0"/>
              <w:adjustRightInd w:val="0"/>
              <w:snapToGrid w:val="0"/>
              <w:spacing w:line="360" w:lineRule="exact"/>
              <w:ind w:firstLine="480"/>
              <w:textAlignment w:val="auto"/>
            </w:pPr>
          </w:p>
          <w:p w14:paraId="41CE8F58">
            <w:pPr>
              <w:keepNext w:val="0"/>
              <w:keepLines w:val="0"/>
              <w:pageBreakBefore w:val="0"/>
              <w:widowControl w:val="0"/>
              <w:kinsoku/>
              <w:wordWrap/>
              <w:overflowPunct/>
              <w:topLinePunct w:val="0"/>
              <w:autoSpaceDE w:val="0"/>
              <w:autoSpaceDN w:val="0"/>
              <w:bidi w:val="0"/>
              <w:adjustRightInd w:val="0"/>
              <w:snapToGrid w:val="0"/>
              <w:spacing w:line="360" w:lineRule="exact"/>
              <w:ind w:firstLine="480"/>
              <w:textAlignment w:val="auto"/>
            </w:pPr>
          </w:p>
        </w:tc>
      </w:tr>
      <w:tr w14:paraId="340D9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50" w:type="dxa"/>
            <w:vAlign w:val="center"/>
          </w:tcPr>
          <w:p w14:paraId="30592A45">
            <w:pPr>
              <w:autoSpaceDE w:val="0"/>
              <w:autoSpaceDN w:val="0"/>
              <w:adjustRightInd w:val="0"/>
              <w:snapToGrid w:val="0"/>
              <w:spacing w:line="240" w:lineRule="auto"/>
              <w:ind w:left="-72" w:leftChars="-30" w:right="-72" w:rightChars="-30" w:firstLine="0" w:firstLineChars="0"/>
              <w:jc w:val="center"/>
              <w:rPr>
                <w:color w:val="000000" w:themeColor="text1"/>
                <w:kern w:val="0"/>
                <w14:textFill>
                  <w14:solidFill>
                    <w14:schemeClr w14:val="tx1"/>
                  </w14:solidFill>
                </w14:textFill>
              </w:rPr>
            </w:pPr>
            <w:r>
              <w:rPr>
                <w:b/>
                <w:bCs/>
                <w:color w:val="000000" w:themeColor="text1"/>
                <w:kern w:val="0"/>
                <w14:textFill>
                  <w14:solidFill>
                    <w14:schemeClr w14:val="tx1"/>
                  </w14:solidFill>
                </w14:textFill>
              </w:rPr>
              <w:t>规划及规划环境影响评价符合性分析</w:t>
            </w:r>
          </w:p>
        </w:tc>
        <w:tc>
          <w:tcPr>
            <w:tcW w:w="8989" w:type="dxa"/>
            <w:gridSpan w:val="4"/>
            <w:vAlign w:val="center"/>
          </w:tcPr>
          <w:p w14:paraId="4BE1A8D2">
            <w:pPr>
              <w:keepNext w:val="0"/>
              <w:keepLines w:val="0"/>
              <w:pageBreakBefore w:val="0"/>
              <w:widowControl w:val="0"/>
              <w:kinsoku/>
              <w:wordWrap/>
              <w:overflowPunct/>
              <w:topLinePunct w:val="0"/>
              <w:autoSpaceDE/>
              <w:autoSpaceDN/>
              <w:bidi w:val="0"/>
              <w:adjustRightInd/>
              <w:snapToGrid w:val="0"/>
              <w:spacing w:line="520" w:lineRule="exact"/>
              <w:ind w:firstLine="1200" w:firstLineChars="500"/>
              <w:textAlignment w:val="auto"/>
              <w:rPr>
                <w:rFonts w:ascii="黑体" w:hAnsi="黑体" w:eastAsia="黑体" w:cs="黑体"/>
              </w:rPr>
            </w:pPr>
            <w:r>
              <w:rPr>
                <w:rFonts w:hint="eastAsia" w:ascii="黑体" w:hAnsi="黑体" w:eastAsia="黑体" w:cs="黑体"/>
              </w:rPr>
              <w:t>表1-2    与园区环境保护准入条件相符性分析一览表</w:t>
            </w:r>
          </w:p>
          <w:tbl>
            <w:tblPr>
              <w:tblStyle w:val="26"/>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3"/>
              <w:gridCol w:w="3406"/>
              <w:gridCol w:w="3864"/>
              <w:gridCol w:w="870"/>
            </w:tblGrid>
            <w:tr w14:paraId="3D51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tcBorders>
                    <w:tl2br w:val="nil"/>
                    <w:tr2bl w:val="nil"/>
                  </w:tcBorders>
                  <w:vAlign w:val="center"/>
                </w:tcPr>
                <w:p w14:paraId="56B33A4E">
                  <w:pPr>
                    <w:adjustRightInd w:val="0"/>
                    <w:snapToGrid w:val="0"/>
                    <w:spacing w:line="240" w:lineRule="auto"/>
                    <w:ind w:firstLine="0" w:firstLineChars="0"/>
                    <w:jc w:val="center"/>
                    <w:rPr>
                      <w:b/>
                      <w:bCs/>
                      <w:sz w:val="21"/>
                      <w:szCs w:val="21"/>
                    </w:rPr>
                  </w:pPr>
                  <w:r>
                    <w:rPr>
                      <w:b/>
                      <w:bCs/>
                      <w:sz w:val="21"/>
                      <w:szCs w:val="21"/>
                    </w:rPr>
                    <w:t>类别</w:t>
                  </w:r>
                </w:p>
              </w:tc>
              <w:tc>
                <w:tcPr>
                  <w:tcW w:w="3116" w:type="dxa"/>
                  <w:tcBorders>
                    <w:tl2br w:val="nil"/>
                    <w:tr2bl w:val="nil"/>
                  </w:tcBorders>
                  <w:vAlign w:val="center"/>
                </w:tcPr>
                <w:p w14:paraId="136F4FF9">
                  <w:pPr>
                    <w:adjustRightInd w:val="0"/>
                    <w:snapToGrid w:val="0"/>
                    <w:spacing w:line="240" w:lineRule="auto"/>
                    <w:ind w:firstLine="0" w:firstLineChars="0"/>
                    <w:jc w:val="center"/>
                    <w:rPr>
                      <w:b/>
                      <w:bCs/>
                      <w:sz w:val="21"/>
                      <w:szCs w:val="21"/>
                    </w:rPr>
                  </w:pPr>
                  <w:r>
                    <w:rPr>
                      <w:b/>
                      <w:bCs/>
                      <w:sz w:val="21"/>
                      <w:szCs w:val="21"/>
                    </w:rPr>
                    <w:t>准入条件</w:t>
                  </w:r>
                </w:p>
              </w:tc>
              <w:tc>
                <w:tcPr>
                  <w:tcW w:w="3535" w:type="dxa"/>
                  <w:tcBorders>
                    <w:tl2br w:val="nil"/>
                    <w:tr2bl w:val="nil"/>
                  </w:tcBorders>
                  <w:vAlign w:val="center"/>
                </w:tcPr>
                <w:p w14:paraId="44F9AAF9">
                  <w:pPr>
                    <w:adjustRightInd w:val="0"/>
                    <w:snapToGrid w:val="0"/>
                    <w:spacing w:line="240" w:lineRule="auto"/>
                    <w:ind w:firstLine="0" w:firstLineChars="0"/>
                    <w:jc w:val="center"/>
                    <w:rPr>
                      <w:b/>
                      <w:bCs/>
                      <w:sz w:val="21"/>
                      <w:szCs w:val="21"/>
                    </w:rPr>
                  </w:pPr>
                  <w:r>
                    <w:rPr>
                      <w:b/>
                      <w:bCs/>
                      <w:sz w:val="21"/>
                      <w:szCs w:val="21"/>
                    </w:rPr>
                    <w:t>本项目情况</w:t>
                  </w:r>
                </w:p>
              </w:tc>
              <w:tc>
                <w:tcPr>
                  <w:tcW w:w="796" w:type="dxa"/>
                  <w:tcBorders>
                    <w:tl2br w:val="nil"/>
                    <w:tr2bl w:val="nil"/>
                  </w:tcBorders>
                  <w:vAlign w:val="center"/>
                </w:tcPr>
                <w:p w14:paraId="13C0F1F6">
                  <w:pPr>
                    <w:adjustRightInd w:val="0"/>
                    <w:snapToGrid w:val="0"/>
                    <w:spacing w:line="240" w:lineRule="auto"/>
                    <w:ind w:firstLine="0" w:firstLineChars="0"/>
                    <w:jc w:val="center"/>
                    <w:rPr>
                      <w:b/>
                      <w:bCs/>
                      <w:sz w:val="21"/>
                      <w:szCs w:val="21"/>
                    </w:rPr>
                  </w:pPr>
                  <w:r>
                    <w:rPr>
                      <w:b/>
                      <w:bCs/>
                      <w:sz w:val="21"/>
                      <w:szCs w:val="21"/>
                    </w:rPr>
                    <w:t>相符性</w:t>
                  </w:r>
                </w:p>
              </w:tc>
            </w:tr>
            <w:tr w14:paraId="317C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restart"/>
                  <w:tcBorders>
                    <w:tl2br w:val="nil"/>
                    <w:tr2bl w:val="nil"/>
                  </w:tcBorders>
                  <w:vAlign w:val="center"/>
                </w:tcPr>
                <w:p w14:paraId="733F1E5F">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空间布局约束</w:t>
                  </w:r>
                </w:p>
              </w:tc>
              <w:tc>
                <w:tcPr>
                  <w:tcW w:w="3116" w:type="dxa"/>
                  <w:tcBorders>
                    <w:tl2br w:val="nil"/>
                    <w:tr2bl w:val="nil"/>
                  </w:tcBorders>
                  <w:vAlign w:val="center"/>
                </w:tcPr>
                <w:p w14:paraId="373F23F6">
                  <w:pPr>
                    <w:adjustRightInd w:val="0"/>
                    <w:snapToGrid w:val="0"/>
                    <w:spacing w:line="240" w:lineRule="auto"/>
                    <w:ind w:firstLine="0" w:firstLineChars="0"/>
                    <w:rPr>
                      <w:sz w:val="21"/>
                      <w:szCs w:val="21"/>
                    </w:rPr>
                  </w:pPr>
                  <w:r>
                    <w:rPr>
                      <w:sz w:val="21"/>
                      <w:szCs w:val="21"/>
                    </w:rPr>
                    <w:t>1.鼓励依托龙头企业发展上下游关联度强、技术水平高、绿色安全环保的企业和项目，进一步补链、延链、强链。</w:t>
                  </w:r>
                </w:p>
              </w:tc>
              <w:tc>
                <w:tcPr>
                  <w:tcW w:w="3535" w:type="dxa"/>
                  <w:vMerge w:val="restart"/>
                  <w:tcBorders>
                    <w:tl2br w:val="nil"/>
                    <w:tr2bl w:val="nil"/>
                  </w:tcBorders>
                  <w:vAlign w:val="center"/>
                </w:tcPr>
                <w:p w14:paraId="3E17429D">
                  <w:pPr>
                    <w:adjustRightInd w:val="0"/>
                    <w:snapToGrid w:val="0"/>
                    <w:spacing w:line="240" w:lineRule="auto"/>
                    <w:ind w:firstLine="0" w:firstLineChars="0"/>
                    <w:rPr>
                      <w:sz w:val="21"/>
                      <w:szCs w:val="21"/>
                    </w:rPr>
                  </w:pPr>
                  <w:r>
                    <w:rPr>
                      <w:sz w:val="21"/>
                      <w:szCs w:val="21"/>
                    </w:rPr>
                    <w:t>本项目位于</w:t>
                  </w:r>
                  <w:r>
                    <w:rPr>
                      <w:rFonts w:hint="eastAsia"/>
                      <w:sz w:val="21"/>
                      <w:szCs w:val="21"/>
                      <w:lang w:eastAsia="zh-CN"/>
                    </w:rPr>
                    <w:t>新乡市新能源电池专业园区标北路11号3A号厂房</w:t>
                  </w:r>
                  <w:r>
                    <w:rPr>
                      <w:rFonts w:hint="eastAsia"/>
                      <w:sz w:val="21"/>
                      <w:szCs w:val="21"/>
                    </w:rPr>
                    <w:t>，属于新乡市新能源电池专业园区中片区</w:t>
                  </w:r>
                  <w:r>
                    <w:rPr>
                      <w:sz w:val="21"/>
                      <w:szCs w:val="21"/>
                    </w:rPr>
                    <w:t>，</w:t>
                  </w:r>
                  <w:r>
                    <w:rPr>
                      <w:rFonts w:hint="eastAsia"/>
                      <w:sz w:val="21"/>
                      <w:szCs w:val="21"/>
                    </w:rPr>
                    <w:t>本项目属于棉纺织及印染精加工业</w:t>
                  </w:r>
                  <w:r>
                    <w:rPr>
                      <w:snapToGrid w:val="0"/>
                      <w:sz w:val="21"/>
                      <w:szCs w:val="21"/>
                    </w:rPr>
                    <w:t>，</w:t>
                  </w:r>
                  <w:r>
                    <w:rPr>
                      <w:rFonts w:hint="eastAsia"/>
                      <w:sz w:val="21"/>
                      <w:szCs w:val="21"/>
                    </w:rPr>
                    <w:t>与园区主导产业不冲突</w:t>
                  </w:r>
                  <w:r>
                    <w:rPr>
                      <w:sz w:val="21"/>
                      <w:szCs w:val="21"/>
                    </w:rPr>
                    <w:t>，允许入驻。</w:t>
                  </w:r>
                  <w:r>
                    <w:rPr>
                      <w:rFonts w:hint="eastAsia"/>
                      <w:sz w:val="21"/>
                      <w:szCs w:val="21"/>
                    </w:rPr>
                    <w:t>经查阅《产业结构调整指导目录》（2024年本），本项目生产规模、生产设备、生产工艺均不属于 “限制类”或“淘汰类”，为“允许类”，符合国家产业政策要求。</w:t>
                  </w:r>
                </w:p>
              </w:tc>
              <w:tc>
                <w:tcPr>
                  <w:tcW w:w="796" w:type="dxa"/>
                  <w:tcBorders>
                    <w:tl2br w:val="nil"/>
                    <w:tr2bl w:val="nil"/>
                  </w:tcBorders>
                  <w:vAlign w:val="center"/>
                </w:tcPr>
                <w:p w14:paraId="2B70E269">
                  <w:pPr>
                    <w:adjustRightInd w:val="0"/>
                    <w:snapToGrid w:val="0"/>
                    <w:spacing w:line="240" w:lineRule="auto"/>
                    <w:ind w:firstLine="0" w:firstLineChars="0"/>
                    <w:jc w:val="center"/>
                    <w:rPr>
                      <w:sz w:val="21"/>
                      <w:szCs w:val="21"/>
                    </w:rPr>
                  </w:pPr>
                  <w:r>
                    <w:rPr>
                      <w:sz w:val="21"/>
                      <w:szCs w:val="21"/>
                    </w:rPr>
                    <w:t>符合</w:t>
                  </w:r>
                </w:p>
              </w:tc>
            </w:tr>
            <w:tr w14:paraId="79E5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0A83E5B3">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231BFF02">
                  <w:pPr>
                    <w:adjustRightInd w:val="0"/>
                    <w:snapToGrid w:val="0"/>
                    <w:spacing w:line="240" w:lineRule="auto"/>
                    <w:ind w:firstLine="0" w:firstLineChars="0"/>
                    <w:rPr>
                      <w:sz w:val="21"/>
                      <w:szCs w:val="21"/>
                    </w:rPr>
                  </w:pPr>
                  <w:r>
                    <w:rPr>
                      <w:sz w:val="21"/>
                      <w:szCs w:val="21"/>
                    </w:rPr>
                    <w:t>2.园区引入项目应符合园区产业定位、产业发展规划、《产业结构调整指导目录》（以最新版为准）及相关环保政策、行业审批原则、行业准入条件等要求。</w:t>
                  </w:r>
                </w:p>
              </w:tc>
              <w:tc>
                <w:tcPr>
                  <w:tcW w:w="3535" w:type="dxa"/>
                  <w:vMerge w:val="continue"/>
                  <w:tcBorders>
                    <w:tl2br w:val="nil"/>
                    <w:tr2bl w:val="nil"/>
                  </w:tcBorders>
                  <w:vAlign w:val="center"/>
                </w:tcPr>
                <w:p w14:paraId="4F96F614">
                  <w:pPr>
                    <w:adjustRightInd w:val="0"/>
                    <w:snapToGrid w:val="0"/>
                    <w:spacing w:line="240" w:lineRule="auto"/>
                    <w:ind w:firstLine="0" w:firstLineChars="0"/>
                    <w:rPr>
                      <w:kern w:val="0"/>
                      <w:sz w:val="21"/>
                      <w:szCs w:val="21"/>
                    </w:rPr>
                  </w:pPr>
                </w:p>
              </w:tc>
              <w:tc>
                <w:tcPr>
                  <w:tcW w:w="796" w:type="dxa"/>
                  <w:tcBorders>
                    <w:tl2br w:val="nil"/>
                    <w:tr2bl w:val="nil"/>
                  </w:tcBorders>
                  <w:vAlign w:val="center"/>
                </w:tcPr>
                <w:p w14:paraId="26D88D1B">
                  <w:pPr>
                    <w:adjustRightInd w:val="0"/>
                    <w:snapToGrid w:val="0"/>
                    <w:spacing w:line="240" w:lineRule="auto"/>
                    <w:ind w:firstLine="0" w:firstLineChars="0"/>
                    <w:jc w:val="center"/>
                    <w:rPr>
                      <w:sz w:val="21"/>
                      <w:szCs w:val="21"/>
                    </w:rPr>
                  </w:pPr>
                  <w:r>
                    <w:rPr>
                      <w:sz w:val="21"/>
                      <w:szCs w:val="21"/>
                    </w:rPr>
                    <w:t>符合</w:t>
                  </w:r>
                </w:p>
              </w:tc>
            </w:tr>
            <w:tr w14:paraId="3F33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70" w:type="dxa"/>
                  <w:vMerge w:val="continue"/>
                  <w:tcBorders>
                    <w:tl2br w:val="nil"/>
                    <w:tr2bl w:val="nil"/>
                  </w:tcBorders>
                  <w:vAlign w:val="center"/>
                </w:tcPr>
                <w:p w14:paraId="70C15008">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0417B86E">
                  <w:pPr>
                    <w:adjustRightInd w:val="0"/>
                    <w:snapToGrid w:val="0"/>
                    <w:spacing w:line="240" w:lineRule="auto"/>
                    <w:ind w:firstLine="0" w:firstLineChars="0"/>
                    <w:rPr>
                      <w:sz w:val="21"/>
                      <w:szCs w:val="21"/>
                    </w:rPr>
                  </w:pPr>
                  <w:r>
                    <w:rPr>
                      <w:sz w:val="21"/>
                      <w:szCs w:val="21"/>
                    </w:rPr>
                    <w:t>3.表面处理产业园内可入驻电池及其他产业相关的电镀项目，园区内表面处理产业园外仅入驻主导产业相关的电镀项目，禁止在凤泉区其他区域引入电镀项目。</w:t>
                  </w:r>
                </w:p>
              </w:tc>
              <w:tc>
                <w:tcPr>
                  <w:tcW w:w="3535" w:type="dxa"/>
                  <w:tcBorders>
                    <w:tl2br w:val="nil"/>
                    <w:tr2bl w:val="nil"/>
                  </w:tcBorders>
                  <w:vAlign w:val="center"/>
                </w:tcPr>
                <w:p w14:paraId="1C35B304">
                  <w:pPr>
                    <w:adjustRightInd w:val="0"/>
                    <w:snapToGrid w:val="0"/>
                    <w:spacing w:line="240" w:lineRule="auto"/>
                    <w:ind w:firstLine="0" w:firstLineChars="0"/>
                    <w:jc w:val="left"/>
                    <w:rPr>
                      <w:kern w:val="0"/>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与园区主导产业不冲突</w:t>
                  </w:r>
                  <w:r>
                    <w:rPr>
                      <w:kern w:val="0"/>
                      <w:sz w:val="21"/>
                      <w:szCs w:val="21"/>
                    </w:rPr>
                    <w:t>。</w:t>
                  </w:r>
                </w:p>
              </w:tc>
              <w:tc>
                <w:tcPr>
                  <w:tcW w:w="796" w:type="dxa"/>
                  <w:tcBorders>
                    <w:tl2br w:val="nil"/>
                    <w:tr2bl w:val="nil"/>
                  </w:tcBorders>
                  <w:vAlign w:val="center"/>
                </w:tcPr>
                <w:p w14:paraId="6918104D">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1724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70" w:type="dxa"/>
                  <w:vMerge w:val="continue"/>
                  <w:tcBorders>
                    <w:tl2br w:val="nil"/>
                    <w:tr2bl w:val="nil"/>
                  </w:tcBorders>
                  <w:vAlign w:val="center"/>
                </w:tcPr>
                <w:p w14:paraId="12EDFAB0">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56F9E4BA">
                  <w:pPr>
                    <w:adjustRightInd w:val="0"/>
                    <w:snapToGrid w:val="0"/>
                    <w:spacing w:line="240" w:lineRule="auto"/>
                    <w:ind w:firstLine="0" w:firstLineChars="0"/>
                    <w:rPr>
                      <w:sz w:val="21"/>
                      <w:szCs w:val="21"/>
                    </w:rPr>
                  </w:pPr>
                  <w:r>
                    <w:rPr>
                      <w:sz w:val="21"/>
                      <w:szCs w:val="21"/>
                    </w:rPr>
                    <w:t>4.鼓励引入与电池相关的研发项目，允许科创中心依托现有医药、新材料等产业进行研发、试验。</w:t>
                  </w:r>
                </w:p>
              </w:tc>
              <w:tc>
                <w:tcPr>
                  <w:tcW w:w="3535" w:type="dxa"/>
                  <w:tcBorders>
                    <w:tl2br w:val="nil"/>
                    <w:tr2bl w:val="nil"/>
                  </w:tcBorders>
                  <w:vAlign w:val="center"/>
                </w:tcPr>
                <w:p w14:paraId="03510EDB">
                  <w:pPr>
                    <w:adjustRightInd w:val="0"/>
                    <w:snapToGrid w:val="0"/>
                    <w:spacing w:line="240" w:lineRule="auto"/>
                    <w:ind w:firstLine="0" w:firstLineChars="0"/>
                    <w:rPr>
                      <w:kern w:val="0"/>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与园区主导产业不冲突</w:t>
                  </w:r>
                  <w:r>
                    <w:rPr>
                      <w:kern w:val="0"/>
                      <w:sz w:val="21"/>
                      <w:szCs w:val="21"/>
                    </w:rPr>
                    <w:t>。</w:t>
                  </w:r>
                </w:p>
              </w:tc>
              <w:tc>
                <w:tcPr>
                  <w:tcW w:w="796" w:type="dxa"/>
                  <w:tcBorders>
                    <w:tl2br w:val="nil"/>
                    <w:tr2bl w:val="nil"/>
                  </w:tcBorders>
                  <w:vAlign w:val="center"/>
                </w:tcPr>
                <w:p w14:paraId="6BCFFDE9">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0156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1E5B6337">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38B33199">
                  <w:pPr>
                    <w:adjustRightInd w:val="0"/>
                    <w:snapToGrid w:val="0"/>
                    <w:spacing w:line="240" w:lineRule="auto"/>
                    <w:ind w:firstLine="0" w:firstLineChars="0"/>
                    <w:rPr>
                      <w:sz w:val="21"/>
                      <w:szCs w:val="21"/>
                    </w:rPr>
                  </w:pPr>
                  <w:r>
                    <w:rPr>
                      <w:sz w:val="21"/>
                      <w:szCs w:val="21"/>
                    </w:rPr>
                    <w:t>5.园区内现有化工企业在不扩大用地规模、“增产减污”或“增产不增污”的条件下，可在产业链上适当发展。</w:t>
                  </w:r>
                </w:p>
              </w:tc>
              <w:tc>
                <w:tcPr>
                  <w:tcW w:w="3535" w:type="dxa"/>
                  <w:tcBorders>
                    <w:tl2br w:val="nil"/>
                    <w:tr2bl w:val="nil"/>
                  </w:tcBorders>
                  <w:vAlign w:val="center"/>
                </w:tcPr>
                <w:p w14:paraId="2CDE1A66">
                  <w:pPr>
                    <w:adjustRightInd w:val="0"/>
                    <w:snapToGrid w:val="0"/>
                    <w:spacing w:line="240" w:lineRule="auto"/>
                    <w:ind w:firstLine="0" w:firstLineChars="0"/>
                    <w:rPr>
                      <w:kern w:val="0"/>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不属于化工项目，与园区主导产业不冲突</w:t>
                  </w:r>
                  <w:r>
                    <w:rPr>
                      <w:kern w:val="0"/>
                      <w:sz w:val="21"/>
                      <w:szCs w:val="21"/>
                    </w:rPr>
                    <w:t>。</w:t>
                  </w:r>
                </w:p>
              </w:tc>
              <w:tc>
                <w:tcPr>
                  <w:tcW w:w="796" w:type="dxa"/>
                  <w:tcBorders>
                    <w:tl2br w:val="nil"/>
                    <w:tr2bl w:val="nil"/>
                  </w:tcBorders>
                  <w:vAlign w:val="center"/>
                </w:tcPr>
                <w:p w14:paraId="7155B403">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4DE1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284051D5">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6253C400">
                  <w:pPr>
                    <w:adjustRightInd w:val="0"/>
                    <w:snapToGrid w:val="0"/>
                    <w:spacing w:line="240" w:lineRule="auto"/>
                    <w:ind w:firstLine="0" w:firstLineChars="0"/>
                    <w:rPr>
                      <w:sz w:val="21"/>
                      <w:szCs w:val="21"/>
                      <w:highlight w:val="none"/>
                    </w:rPr>
                  </w:pPr>
                  <w:r>
                    <w:rPr>
                      <w:sz w:val="21"/>
                      <w:szCs w:val="21"/>
                      <w:highlight w:val="none"/>
                    </w:rPr>
                    <w:t>6.禁止建设生产和使用高VOCs含量的溶剂型涂料、油墨、胶粘剂等项目。</w:t>
                  </w:r>
                </w:p>
              </w:tc>
              <w:tc>
                <w:tcPr>
                  <w:tcW w:w="3535" w:type="dxa"/>
                  <w:tcBorders>
                    <w:tl2br w:val="nil"/>
                    <w:tr2bl w:val="nil"/>
                  </w:tcBorders>
                  <w:vAlign w:val="center"/>
                </w:tcPr>
                <w:p w14:paraId="7074A797">
                  <w:pPr>
                    <w:adjustRightInd w:val="0"/>
                    <w:snapToGrid w:val="0"/>
                    <w:spacing w:line="240" w:lineRule="auto"/>
                    <w:ind w:firstLine="0" w:firstLineChars="0"/>
                    <w:rPr>
                      <w:kern w:val="0"/>
                      <w:sz w:val="21"/>
                      <w:szCs w:val="21"/>
                      <w:highlight w:val="none"/>
                    </w:rPr>
                  </w:pPr>
                  <w:r>
                    <w:rPr>
                      <w:bCs/>
                      <w:color w:val="000000"/>
                      <w:sz w:val="21"/>
                      <w:szCs w:val="21"/>
                      <w:highlight w:val="none"/>
                      <w:lang w:val="zh-CN"/>
                    </w:rPr>
                    <w:t>本项目</w:t>
                  </w:r>
                  <w:r>
                    <w:rPr>
                      <w:rFonts w:hint="eastAsia"/>
                      <w:bCs/>
                      <w:color w:val="000000"/>
                      <w:sz w:val="21"/>
                      <w:szCs w:val="21"/>
                      <w:highlight w:val="none"/>
                      <w:lang w:val="zh-CN"/>
                    </w:rPr>
                    <w:t>使用</w:t>
                  </w:r>
                  <w:r>
                    <w:rPr>
                      <w:rFonts w:hint="eastAsia"/>
                      <w:color w:val="000000" w:themeColor="text1"/>
                      <w:sz w:val="21"/>
                      <w:szCs w:val="21"/>
                      <w:highlight w:val="none"/>
                      <w:lang w:eastAsia="zh-CN"/>
                      <w14:textFill>
                        <w14:solidFill>
                          <w14:schemeClr w14:val="tx1"/>
                        </w14:solidFill>
                      </w14:textFill>
                    </w:rPr>
                    <w:t>水性丙烯酸油墨</w:t>
                  </w:r>
                  <w:r>
                    <w:rPr>
                      <w:rFonts w:hint="eastAsia"/>
                      <w:bCs/>
                      <w:color w:val="000000"/>
                      <w:sz w:val="21"/>
                      <w:szCs w:val="21"/>
                      <w:highlight w:val="none"/>
                      <w:lang w:val="zh-CN"/>
                    </w:rPr>
                    <w:t>符合</w:t>
                  </w:r>
                  <w:r>
                    <w:rPr>
                      <w:rFonts w:hint="eastAsia"/>
                      <w:color w:val="000000" w:themeColor="text1"/>
                      <w:sz w:val="21"/>
                      <w:szCs w:val="21"/>
                      <w:highlight w:val="none"/>
                      <w14:textFill>
                        <w14:solidFill>
                          <w14:schemeClr w14:val="tx1"/>
                        </w14:solidFill>
                      </w14:textFill>
                    </w:rPr>
                    <w:t>《油墨中可挥发性有机化合物（VOCs）含量限值》</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GB38507-2020</w:t>
                  </w:r>
                  <w:r>
                    <w:rPr>
                      <w:rFonts w:hint="eastAsia"/>
                      <w:color w:val="000000" w:themeColor="text1"/>
                      <w:sz w:val="21"/>
                      <w:szCs w:val="21"/>
                      <w:highlight w:val="none"/>
                      <w:lang w:eastAsia="zh-CN"/>
                      <w14:textFill>
                        <w14:solidFill>
                          <w14:schemeClr w14:val="tx1"/>
                        </w14:solidFill>
                      </w14:textFill>
                    </w:rPr>
                    <w:t>）</w:t>
                  </w:r>
                  <w:r>
                    <w:rPr>
                      <w:bCs/>
                      <w:color w:val="000000"/>
                      <w:sz w:val="21"/>
                      <w:szCs w:val="21"/>
                      <w:highlight w:val="none"/>
                      <w:lang w:val="zh-CN"/>
                    </w:rPr>
                    <w:t>、</w:t>
                  </w:r>
                  <w:r>
                    <w:rPr>
                      <w:rFonts w:hint="eastAsia"/>
                      <w:bCs/>
                      <w:color w:val="000000"/>
                      <w:sz w:val="21"/>
                      <w:szCs w:val="21"/>
                      <w:highlight w:val="none"/>
                      <w:lang w:val="zh-CN"/>
                    </w:rPr>
                    <w:t>水性丙烯酸</w:t>
                  </w:r>
                  <w:r>
                    <w:rPr>
                      <w:bCs/>
                      <w:color w:val="000000"/>
                      <w:sz w:val="21"/>
                      <w:szCs w:val="21"/>
                      <w:highlight w:val="none"/>
                      <w:lang w:val="zh-CN"/>
                    </w:rPr>
                    <w:t>胶浆</w:t>
                  </w:r>
                  <w:r>
                    <w:rPr>
                      <w:rFonts w:hint="eastAsia"/>
                      <w:bCs/>
                      <w:color w:val="000000"/>
                      <w:sz w:val="21"/>
                      <w:szCs w:val="21"/>
                      <w:highlight w:val="none"/>
                      <w:lang w:val="zh-CN"/>
                    </w:rPr>
                    <w:t>符合</w:t>
                  </w:r>
                  <w:r>
                    <w:rPr>
                      <w:rFonts w:hint="eastAsia"/>
                      <w:color w:val="000000" w:themeColor="text1"/>
                      <w:sz w:val="21"/>
                      <w:szCs w:val="21"/>
                      <w:highlight w:val="none"/>
                      <w14:textFill>
                        <w14:solidFill>
                          <w14:schemeClr w14:val="tx1"/>
                        </w14:solidFill>
                      </w14:textFill>
                    </w:rPr>
                    <w:t>《胶粘剂挥发性有机化合物限值》（GB 33372-2020）限值要求</w:t>
                  </w:r>
                  <w:r>
                    <w:rPr>
                      <w:rFonts w:hint="eastAsia"/>
                      <w:color w:val="000000" w:themeColor="text1"/>
                      <w:sz w:val="21"/>
                      <w:szCs w:val="21"/>
                      <w:highlight w:val="none"/>
                      <w:lang w:eastAsia="zh-CN"/>
                      <w14:textFill>
                        <w14:solidFill>
                          <w14:schemeClr w14:val="tx1"/>
                        </w14:solidFill>
                      </w14:textFill>
                    </w:rPr>
                    <w:t>，不属于高VOCs含量的溶剂型油墨、胶粘剂</w:t>
                  </w:r>
                  <w:r>
                    <w:rPr>
                      <w:rFonts w:hint="eastAsia"/>
                      <w:bCs/>
                      <w:color w:val="000000"/>
                      <w:sz w:val="21"/>
                      <w:szCs w:val="21"/>
                      <w:highlight w:val="none"/>
                      <w:lang w:val="zh-CN"/>
                    </w:rPr>
                    <w:t>。</w:t>
                  </w:r>
                </w:p>
              </w:tc>
              <w:tc>
                <w:tcPr>
                  <w:tcW w:w="796" w:type="dxa"/>
                  <w:tcBorders>
                    <w:tl2br w:val="nil"/>
                    <w:tr2bl w:val="nil"/>
                  </w:tcBorders>
                  <w:vAlign w:val="center"/>
                </w:tcPr>
                <w:p w14:paraId="661608C0">
                  <w:pPr>
                    <w:adjustRightInd w:val="0"/>
                    <w:snapToGrid w:val="0"/>
                    <w:spacing w:line="240" w:lineRule="auto"/>
                    <w:ind w:firstLine="0" w:firstLineChars="0"/>
                    <w:jc w:val="center"/>
                    <w:rPr>
                      <w:sz w:val="21"/>
                      <w:szCs w:val="21"/>
                    </w:rPr>
                  </w:pPr>
                  <w:r>
                    <w:rPr>
                      <w:rFonts w:hint="eastAsia"/>
                      <w:sz w:val="21"/>
                      <w:szCs w:val="21"/>
                    </w:rPr>
                    <w:t>不涉及</w:t>
                  </w:r>
                </w:p>
              </w:tc>
            </w:tr>
            <w:tr w14:paraId="6B4F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8" w:hRule="atLeast"/>
                <w:jc w:val="center"/>
              </w:trPr>
              <w:tc>
                <w:tcPr>
                  <w:tcW w:w="570" w:type="dxa"/>
                  <w:vMerge w:val="continue"/>
                  <w:tcBorders>
                    <w:tl2br w:val="nil"/>
                    <w:tr2bl w:val="nil"/>
                  </w:tcBorders>
                  <w:vAlign w:val="center"/>
                </w:tcPr>
                <w:p w14:paraId="6BF85143">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0A243BC9">
                  <w:pPr>
                    <w:adjustRightInd w:val="0"/>
                    <w:snapToGrid w:val="0"/>
                    <w:spacing w:line="240" w:lineRule="auto"/>
                    <w:ind w:firstLine="0" w:firstLineChars="0"/>
                    <w:rPr>
                      <w:sz w:val="21"/>
                      <w:szCs w:val="21"/>
                    </w:rPr>
                  </w:pPr>
                  <w:r>
                    <w:rPr>
                      <w:sz w:val="21"/>
                      <w:szCs w:val="21"/>
                    </w:rPr>
                    <w:t>7.新建非铅酸电池回收项目应入驻西片区。</w:t>
                  </w:r>
                </w:p>
              </w:tc>
              <w:tc>
                <w:tcPr>
                  <w:tcW w:w="3535" w:type="dxa"/>
                  <w:tcBorders>
                    <w:tl2br w:val="nil"/>
                    <w:tr2bl w:val="nil"/>
                  </w:tcBorders>
                  <w:vAlign w:val="center"/>
                </w:tcPr>
                <w:p w14:paraId="3CD9F3F6">
                  <w:pPr>
                    <w:adjustRightInd w:val="0"/>
                    <w:snapToGrid w:val="0"/>
                    <w:spacing w:line="240" w:lineRule="auto"/>
                    <w:ind w:firstLine="0" w:firstLineChars="0"/>
                    <w:rPr>
                      <w:kern w:val="0"/>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不属于非铅酸电池回收项目</w:t>
                  </w:r>
                  <w:r>
                    <w:rPr>
                      <w:kern w:val="0"/>
                      <w:sz w:val="21"/>
                      <w:szCs w:val="21"/>
                    </w:rPr>
                    <w:t>。</w:t>
                  </w:r>
                </w:p>
              </w:tc>
              <w:tc>
                <w:tcPr>
                  <w:tcW w:w="796" w:type="dxa"/>
                  <w:tcBorders>
                    <w:tl2br w:val="nil"/>
                    <w:tr2bl w:val="nil"/>
                  </w:tcBorders>
                  <w:vAlign w:val="center"/>
                </w:tcPr>
                <w:p w14:paraId="5993C65A">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343A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637B4DA1">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43552815">
                  <w:pPr>
                    <w:adjustRightInd w:val="0"/>
                    <w:snapToGrid w:val="0"/>
                    <w:spacing w:line="240" w:lineRule="auto"/>
                    <w:ind w:firstLine="0" w:firstLineChars="0"/>
                    <w:rPr>
                      <w:sz w:val="21"/>
                      <w:szCs w:val="21"/>
                    </w:rPr>
                  </w:pPr>
                  <w:r>
                    <w:rPr>
                      <w:sz w:val="21"/>
                      <w:szCs w:val="21"/>
                    </w:rPr>
                    <w:t>8.禁止新、改、扩建“两高”项目，与主导产业相关的项目除外。</w:t>
                  </w:r>
                </w:p>
              </w:tc>
              <w:tc>
                <w:tcPr>
                  <w:tcW w:w="3535" w:type="dxa"/>
                  <w:tcBorders>
                    <w:tl2br w:val="nil"/>
                    <w:tr2bl w:val="nil"/>
                  </w:tcBorders>
                  <w:vAlign w:val="center"/>
                </w:tcPr>
                <w:p w14:paraId="66096484">
                  <w:pPr>
                    <w:adjustRightInd w:val="0"/>
                    <w:snapToGrid w:val="0"/>
                    <w:spacing w:line="240" w:lineRule="auto"/>
                    <w:ind w:firstLine="0" w:firstLineChars="0"/>
                    <w:jc w:val="center"/>
                    <w:rPr>
                      <w:kern w:val="0"/>
                      <w:sz w:val="21"/>
                      <w:szCs w:val="21"/>
                    </w:rPr>
                  </w:pPr>
                  <w:r>
                    <w:rPr>
                      <w:kern w:val="0"/>
                      <w:sz w:val="21"/>
                      <w:szCs w:val="21"/>
                    </w:rPr>
                    <w:t>本项目不属于</w:t>
                  </w:r>
                  <w:r>
                    <w:rPr>
                      <w:rFonts w:hint="eastAsia"/>
                      <w:sz w:val="21"/>
                      <w:szCs w:val="21"/>
                    </w:rPr>
                    <w:t>“</w:t>
                  </w:r>
                  <w:r>
                    <w:rPr>
                      <w:sz w:val="21"/>
                      <w:szCs w:val="21"/>
                    </w:rPr>
                    <w:t>两高</w:t>
                  </w:r>
                  <w:r>
                    <w:rPr>
                      <w:rFonts w:hint="eastAsia"/>
                      <w:sz w:val="21"/>
                      <w:szCs w:val="21"/>
                    </w:rPr>
                    <w:t>”</w:t>
                  </w:r>
                  <w:r>
                    <w:rPr>
                      <w:sz w:val="21"/>
                      <w:szCs w:val="21"/>
                    </w:rPr>
                    <w:t>项目。</w:t>
                  </w:r>
                </w:p>
              </w:tc>
              <w:tc>
                <w:tcPr>
                  <w:tcW w:w="796" w:type="dxa"/>
                  <w:tcBorders>
                    <w:tl2br w:val="nil"/>
                    <w:tr2bl w:val="nil"/>
                  </w:tcBorders>
                  <w:vAlign w:val="center"/>
                </w:tcPr>
                <w:p w14:paraId="52548108">
                  <w:pPr>
                    <w:adjustRightInd w:val="0"/>
                    <w:snapToGrid w:val="0"/>
                    <w:spacing w:line="240" w:lineRule="auto"/>
                    <w:ind w:firstLine="0" w:firstLineChars="0"/>
                    <w:jc w:val="center"/>
                    <w:rPr>
                      <w:sz w:val="21"/>
                      <w:szCs w:val="21"/>
                    </w:rPr>
                  </w:pPr>
                  <w:r>
                    <w:rPr>
                      <w:sz w:val="21"/>
                      <w:szCs w:val="21"/>
                    </w:rPr>
                    <w:t>符合</w:t>
                  </w:r>
                </w:p>
              </w:tc>
            </w:tr>
            <w:tr w14:paraId="4C30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0B5B2F9D">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3B0F561C">
                  <w:pPr>
                    <w:adjustRightInd w:val="0"/>
                    <w:snapToGrid w:val="0"/>
                    <w:spacing w:line="240" w:lineRule="auto"/>
                    <w:ind w:firstLine="0" w:firstLineChars="0"/>
                    <w:rPr>
                      <w:sz w:val="21"/>
                      <w:szCs w:val="21"/>
                    </w:rPr>
                  </w:pPr>
                  <w:r>
                    <w:rPr>
                      <w:sz w:val="21"/>
                      <w:szCs w:val="21"/>
                    </w:rPr>
                    <w:t>9、新建、改建、扩建项目须符合生态环境保护法律法规和相关法定规划，满足重点污染物排放总量控制、碳排放达峰目标、生态环境准入清单、相关规划环评和相应行业建设项目环境准入条件、环评文件审批原则要求。</w:t>
                  </w:r>
                </w:p>
              </w:tc>
              <w:tc>
                <w:tcPr>
                  <w:tcW w:w="3535" w:type="dxa"/>
                  <w:tcBorders>
                    <w:tl2br w:val="nil"/>
                    <w:tr2bl w:val="nil"/>
                  </w:tcBorders>
                  <w:vAlign w:val="center"/>
                </w:tcPr>
                <w:p w14:paraId="0281F446">
                  <w:pPr>
                    <w:adjustRightInd w:val="0"/>
                    <w:snapToGrid w:val="0"/>
                    <w:spacing w:line="240" w:lineRule="auto"/>
                    <w:ind w:firstLine="0" w:firstLineChars="0"/>
                    <w:rPr>
                      <w:kern w:val="0"/>
                      <w:sz w:val="21"/>
                      <w:szCs w:val="21"/>
                    </w:rPr>
                  </w:pPr>
                  <w:r>
                    <w:rPr>
                      <w:kern w:val="0"/>
                      <w:sz w:val="21"/>
                      <w:szCs w:val="21"/>
                    </w:rPr>
                    <w:t>本项目为</w:t>
                  </w:r>
                  <w:r>
                    <w:rPr>
                      <w:rFonts w:hint="eastAsia"/>
                      <w:kern w:val="0"/>
                      <w:sz w:val="21"/>
                      <w:szCs w:val="21"/>
                    </w:rPr>
                    <w:t>新建</w:t>
                  </w:r>
                  <w:r>
                    <w:rPr>
                      <w:kern w:val="0"/>
                      <w:sz w:val="21"/>
                      <w:szCs w:val="21"/>
                    </w:rPr>
                    <w:t>项目，</w:t>
                  </w:r>
                  <w:r>
                    <w:rPr>
                      <w:sz w:val="21"/>
                      <w:szCs w:val="21"/>
                    </w:rPr>
                    <w:t>符合生态环境保护法律法规和相关法定规划，满足重点污染物排放总量控制、碳排放达峰目标、生态环境准入清单、相关规划环评和相应行业建设项目环境准入条件、环评文件审批原则要求。</w:t>
                  </w:r>
                </w:p>
              </w:tc>
              <w:tc>
                <w:tcPr>
                  <w:tcW w:w="796" w:type="dxa"/>
                  <w:tcBorders>
                    <w:tl2br w:val="nil"/>
                    <w:tr2bl w:val="nil"/>
                  </w:tcBorders>
                  <w:vAlign w:val="center"/>
                </w:tcPr>
                <w:p w14:paraId="513C77C5">
                  <w:pPr>
                    <w:adjustRightInd w:val="0"/>
                    <w:snapToGrid w:val="0"/>
                    <w:spacing w:line="240" w:lineRule="auto"/>
                    <w:ind w:firstLine="0" w:firstLineChars="0"/>
                    <w:jc w:val="center"/>
                    <w:rPr>
                      <w:sz w:val="21"/>
                      <w:szCs w:val="21"/>
                    </w:rPr>
                  </w:pPr>
                  <w:r>
                    <w:rPr>
                      <w:sz w:val="21"/>
                      <w:szCs w:val="21"/>
                    </w:rPr>
                    <w:t>符合</w:t>
                  </w:r>
                </w:p>
              </w:tc>
            </w:tr>
            <w:tr w14:paraId="381C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restart"/>
                  <w:tcBorders>
                    <w:tl2br w:val="nil"/>
                    <w:tr2bl w:val="nil"/>
                  </w:tcBorders>
                  <w:vAlign w:val="center"/>
                </w:tcPr>
                <w:p w14:paraId="5DBD4DD6">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污染物排放管控</w:t>
                  </w:r>
                </w:p>
              </w:tc>
              <w:tc>
                <w:tcPr>
                  <w:tcW w:w="3116" w:type="dxa"/>
                  <w:tcBorders>
                    <w:tl2br w:val="nil"/>
                    <w:tr2bl w:val="nil"/>
                  </w:tcBorders>
                  <w:vAlign w:val="center"/>
                </w:tcPr>
                <w:p w14:paraId="5A338195">
                  <w:pPr>
                    <w:adjustRightInd w:val="0"/>
                    <w:snapToGrid w:val="0"/>
                    <w:spacing w:line="240" w:lineRule="auto"/>
                    <w:ind w:firstLine="0" w:firstLineChars="0"/>
                    <w:rPr>
                      <w:sz w:val="21"/>
                      <w:szCs w:val="21"/>
                    </w:rPr>
                  </w:pPr>
                  <w:r>
                    <w:rPr>
                      <w:sz w:val="21"/>
                      <w:szCs w:val="21"/>
                    </w:rPr>
                    <w:t>1.引进项目的生产工艺、设备、污染治理技术，以及单位产品水耗、能耗、物耗、污染物排放和资源利用率等均需达到同行业国内先进水平或国际领先水平。</w:t>
                  </w:r>
                </w:p>
              </w:tc>
              <w:tc>
                <w:tcPr>
                  <w:tcW w:w="3535" w:type="dxa"/>
                  <w:tcBorders>
                    <w:tl2br w:val="nil"/>
                    <w:tr2bl w:val="nil"/>
                  </w:tcBorders>
                  <w:vAlign w:val="center"/>
                </w:tcPr>
                <w:p w14:paraId="0B22763F">
                  <w:pPr>
                    <w:adjustRightInd w:val="0"/>
                    <w:snapToGrid w:val="0"/>
                    <w:spacing w:line="240" w:lineRule="auto"/>
                    <w:ind w:firstLine="0" w:firstLineChars="0"/>
                    <w:rPr>
                      <w:sz w:val="21"/>
                      <w:szCs w:val="21"/>
                    </w:rPr>
                  </w:pPr>
                  <w:r>
                    <w:rPr>
                      <w:sz w:val="21"/>
                      <w:szCs w:val="21"/>
                    </w:rPr>
                    <w:t>本项目生产工艺、设备、污染治理技术、单位产品能耗、污染物排放量等清洁生产指标均能达到国内同类行业先进水平。</w:t>
                  </w:r>
                </w:p>
              </w:tc>
              <w:tc>
                <w:tcPr>
                  <w:tcW w:w="796" w:type="dxa"/>
                  <w:tcBorders>
                    <w:tl2br w:val="nil"/>
                    <w:tr2bl w:val="nil"/>
                  </w:tcBorders>
                  <w:vAlign w:val="center"/>
                </w:tcPr>
                <w:p w14:paraId="2A231B31">
                  <w:pPr>
                    <w:adjustRightInd w:val="0"/>
                    <w:snapToGrid w:val="0"/>
                    <w:spacing w:line="240" w:lineRule="auto"/>
                    <w:ind w:firstLine="0" w:firstLineChars="0"/>
                    <w:jc w:val="center"/>
                    <w:rPr>
                      <w:sz w:val="21"/>
                      <w:szCs w:val="21"/>
                    </w:rPr>
                  </w:pPr>
                  <w:r>
                    <w:rPr>
                      <w:sz w:val="21"/>
                      <w:szCs w:val="21"/>
                    </w:rPr>
                    <w:t>符合</w:t>
                  </w:r>
                </w:p>
              </w:tc>
            </w:tr>
            <w:tr w14:paraId="18AC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42A918EE">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7653EF81">
                  <w:pPr>
                    <w:adjustRightInd w:val="0"/>
                    <w:snapToGrid w:val="0"/>
                    <w:spacing w:line="240" w:lineRule="auto"/>
                    <w:ind w:firstLine="0" w:firstLineChars="0"/>
                    <w:rPr>
                      <w:sz w:val="21"/>
                      <w:szCs w:val="21"/>
                    </w:rPr>
                  </w:pPr>
                  <w:r>
                    <w:rPr>
                      <w:sz w:val="21"/>
                      <w:szCs w:val="21"/>
                    </w:rPr>
                    <w:t>2.鼓励现有电池制造企业采用先进生产及污染治理工艺，提高清洁生产水平。</w:t>
                  </w:r>
                </w:p>
              </w:tc>
              <w:tc>
                <w:tcPr>
                  <w:tcW w:w="3535" w:type="dxa"/>
                  <w:tcBorders>
                    <w:tl2br w:val="nil"/>
                    <w:tr2bl w:val="nil"/>
                  </w:tcBorders>
                  <w:vAlign w:val="center"/>
                </w:tcPr>
                <w:p w14:paraId="33A27801">
                  <w:pPr>
                    <w:adjustRightInd w:val="0"/>
                    <w:snapToGrid w:val="0"/>
                    <w:spacing w:line="240" w:lineRule="auto"/>
                    <w:ind w:firstLine="0" w:firstLineChars="0"/>
                    <w:rPr>
                      <w:sz w:val="21"/>
                      <w:szCs w:val="21"/>
                    </w:rPr>
                  </w:pPr>
                  <w:r>
                    <w:rPr>
                      <w:kern w:val="0"/>
                      <w:sz w:val="21"/>
                      <w:szCs w:val="21"/>
                    </w:rPr>
                    <w:t>本项目为</w:t>
                  </w:r>
                  <w:r>
                    <w:rPr>
                      <w:rFonts w:hint="eastAsia"/>
                      <w:kern w:val="0"/>
                      <w:sz w:val="21"/>
                      <w:szCs w:val="21"/>
                    </w:rPr>
                    <w:t>新建</w:t>
                  </w:r>
                  <w:r>
                    <w:rPr>
                      <w:kern w:val="0"/>
                      <w:sz w:val="21"/>
                      <w:szCs w:val="21"/>
                    </w:rPr>
                    <w:t>项目，</w:t>
                  </w:r>
                  <w:r>
                    <w:rPr>
                      <w:sz w:val="21"/>
                      <w:szCs w:val="21"/>
                    </w:rPr>
                    <w:t>属于</w:t>
                  </w:r>
                  <w:r>
                    <w:rPr>
                      <w:rFonts w:hint="eastAsia"/>
                      <w:sz w:val="21"/>
                      <w:szCs w:val="21"/>
                    </w:rPr>
                    <w:t>棉纺织及印染精加工业</w:t>
                  </w:r>
                  <w:r>
                    <w:rPr>
                      <w:snapToGrid w:val="0"/>
                      <w:sz w:val="21"/>
                      <w:szCs w:val="21"/>
                    </w:rPr>
                    <w:t>，</w:t>
                  </w:r>
                  <w:r>
                    <w:rPr>
                      <w:rFonts w:hint="eastAsia"/>
                      <w:sz w:val="21"/>
                      <w:szCs w:val="21"/>
                    </w:rPr>
                    <w:t>不属于</w:t>
                  </w:r>
                  <w:r>
                    <w:rPr>
                      <w:sz w:val="21"/>
                      <w:szCs w:val="21"/>
                    </w:rPr>
                    <w:t>电池制造</w:t>
                  </w:r>
                  <w:r>
                    <w:rPr>
                      <w:rFonts w:hint="eastAsia"/>
                      <w:sz w:val="21"/>
                      <w:szCs w:val="21"/>
                    </w:rPr>
                    <w:t>业。</w:t>
                  </w:r>
                </w:p>
              </w:tc>
              <w:tc>
                <w:tcPr>
                  <w:tcW w:w="796" w:type="dxa"/>
                  <w:tcBorders>
                    <w:tl2br w:val="nil"/>
                    <w:tr2bl w:val="nil"/>
                  </w:tcBorders>
                  <w:vAlign w:val="center"/>
                </w:tcPr>
                <w:p w14:paraId="037AB814">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281F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1D062ED7">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1F2C2079">
                  <w:pPr>
                    <w:adjustRightInd w:val="0"/>
                    <w:snapToGrid w:val="0"/>
                    <w:spacing w:line="240" w:lineRule="auto"/>
                    <w:ind w:firstLine="0" w:firstLineChars="0"/>
                    <w:rPr>
                      <w:sz w:val="21"/>
                      <w:szCs w:val="21"/>
                    </w:rPr>
                  </w:pPr>
                  <w:r>
                    <w:rPr>
                      <w:sz w:val="21"/>
                      <w:szCs w:val="21"/>
                    </w:rPr>
                    <w:t>3.规范表面处理产业园电镀项目建设，电镀生产线离地架空建设；配套的废气、废水处理设施必须采用可靠、成熟的处理工艺，确保正常运行，做到达标排放。</w:t>
                  </w:r>
                </w:p>
              </w:tc>
              <w:tc>
                <w:tcPr>
                  <w:tcW w:w="3535" w:type="dxa"/>
                  <w:tcBorders>
                    <w:tl2br w:val="nil"/>
                    <w:tr2bl w:val="nil"/>
                  </w:tcBorders>
                  <w:vAlign w:val="center"/>
                </w:tcPr>
                <w:p w14:paraId="5C338F36">
                  <w:pPr>
                    <w:adjustRightInd w:val="0"/>
                    <w:snapToGrid w:val="0"/>
                    <w:spacing w:line="240" w:lineRule="auto"/>
                    <w:ind w:firstLine="0" w:firstLineChars="0"/>
                    <w:rPr>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不涉及电镀工艺</w:t>
                  </w:r>
                  <w:r>
                    <w:rPr>
                      <w:kern w:val="0"/>
                      <w:sz w:val="21"/>
                      <w:szCs w:val="21"/>
                    </w:rPr>
                    <w:t>。</w:t>
                  </w:r>
                </w:p>
              </w:tc>
              <w:tc>
                <w:tcPr>
                  <w:tcW w:w="796" w:type="dxa"/>
                  <w:tcBorders>
                    <w:tl2br w:val="nil"/>
                    <w:tr2bl w:val="nil"/>
                  </w:tcBorders>
                  <w:vAlign w:val="center"/>
                </w:tcPr>
                <w:p w14:paraId="6BFA5F9A">
                  <w:pPr>
                    <w:adjustRightInd w:val="0"/>
                    <w:snapToGrid w:val="0"/>
                    <w:spacing w:line="240" w:lineRule="auto"/>
                    <w:ind w:firstLine="0" w:firstLineChars="0"/>
                    <w:jc w:val="center"/>
                    <w:rPr>
                      <w:sz w:val="21"/>
                      <w:szCs w:val="21"/>
                    </w:rPr>
                  </w:pPr>
                  <w:r>
                    <w:rPr>
                      <w:rFonts w:hint="eastAsia"/>
                      <w:sz w:val="21"/>
                      <w:szCs w:val="21"/>
                    </w:rPr>
                    <w:t>不涉及</w:t>
                  </w:r>
                </w:p>
              </w:tc>
            </w:tr>
            <w:tr w14:paraId="6FF6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28483877">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75EBB718">
                  <w:pPr>
                    <w:adjustRightInd w:val="0"/>
                    <w:snapToGrid w:val="0"/>
                    <w:spacing w:line="240" w:lineRule="auto"/>
                    <w:ind w:firstLine="0" w:firstLineChars="0"/>
                    <w:rPr>
                      <w:sz w:val="21"/>
                      <w:szCs w:val="21"/>
                    </w:rPr>
                  </w:pPr>
                  <w:r>
                    <w:rPr>
                      <w:sz w:val="21"/>
                      <w:szCs w:val="21"/>
                    </w:rPr>
                    <w:t>4.园区内镀铬、镍、铅、镉的电镀工段废水（包括含铬钝化、镍封、退镍工序等）及相应清洗废水应全部回用，其他废水经厂内污水处理设施处理后尽可能回用。</w:t>
                  </w:r>
                </w:p>
              </w:tc>
              <w:tc>
                <w:tcPr>
                  <w:tcW w:w="3535" w:type="dxa"/>
                  <w:tcBorders>
                    <w:tl2br w:val="nil"/>
                    <w:tr2bl w:val="nil"/>
                  </w:tcBorders>
                  <w:vAlign w:val="center"/>
                </w:tcPr>
                <w:p w14:paraId="20F0001E">
                  <w:pPr>
                    <w:adjustRightInd w:val="0"/>
                    <w:snapToGrid w:val="0"/>
                    <w:spacing w:line="240" w:lineRule="auto"/>
                    <w:ind w:firstLine="0" w:firstLineChars="0"/>
                    <w:rPr>
                      <w:sz w:val="21"/>
                      <w:szCs w:val="21"/>
                    </w:rPr>
                  </w:pPr>
                  <w:r>
                    <w:rPr>
                      <w:rFonts w:hint="eastAsia"/>
                      <w:kern w:val="0"/>
                      <w:sz w:val="21"/>
                      <w:szCs w:val="21"/>
                    </w:rPr>
                    <w:t>本项目属于棉纺织及印染精加工业</w:t>
                  </w:r>
                  <w:r>
                    <w:rPr>
                      <w:kern w:val="0"/>
                      <w:sz w:val="21"/>
                      <w:szCs w:val="21"/>
                    </w:rPr>
                    <w:t>，</w:t>
                  </w:r>
                  <w:r>
                    <w:rPr>
                      <w:rFonts w:hint="eastAsia"/>
                      <w:kern w:val="0"/>
                      <w:sz w:val="21"/>
                      <w:szCs w:val="21"/>
                    </w:rPr>
                    <w:t>不涉及电镀工艺</w:t>
                  </w:r>
                  <w:r>
                    <w:rPr>
                      <w:kern w:val="0"/>
                      <w:sz w:val="21"/>
                      <w:szCs w:val="21"/>
                    </w:rPr>
                    <w:t>。</w:t>
                  </w:r>
                </w:p>
              </w:tc>
              <w:tc>
                <w:tcPr>
                  <w:tcW w:w="796" w:type="dxa"/>
                  <w:tcBorders>
                    <w:tl2br w:val="nil"/>
                    <w:tr2bl w:val="nil"/>
                  </w:tcBorders>
                  <w:vAlign w:val="center"/>
                </w:tcPr>
                <w:p w14:paraId="773057D0">
                  <w:pPr>
                    <w:adjustRightInd w:val="0"/>
                    <w:snapToGrid w:val="0"/>
                    <w:spacing w:line="240" w:lineRule="auto"/>
                    <w:ind w:firstLine="0" w:firstLineChars="0"/>
                    <w:jc w:val="center"/>
                    <w:rPr>
                      <w:sz w:val="21"/>
                      <w:szCs w:val="21"/>
                    </w:rPr>
                  </w:pPr>
                  <w:r>
                    <w:rPr>
                      <w:rFonts w:hint="eastAsia"/>
                      <w:sz w:val="21"/>
                      <w:szCs w:val="21"/>
                    </w:rPr>
                    <w:t>不涉及</w:t>
                  </w:r>
                </w:p>
              </w:tc>
            </w:tr>
            <w:tr w14:paraId="66F7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55F62E1D">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4EDC7B1D">
                  <w:pPr>
                    <w:adjustRightInd w:val="0"/>
                    <w:snapToGrid w:val="0"/>
                    <w:spacing w:line="240" w:lineRule="auto"/>
                    <w:ind w:firstLine="0" w:firstLineChars="0"/>
                    <w:rPr>
                      <w:sz w:val="21"/>
                      <w:szCs w:val="21"/>
                    </w:rPr>
                  </w:pPr>
                  <w:r>
                    <w:rPr>
                      <w:sz w:val="21"/>
                      <w:szCs w:val="21"/>
                    </w:rPr>
                    <w:t>5.电池回收项目应采用较为先进的电池回收工艺。</w:t>
                  </w:r>
                </w:p>
              </w:tc>
              <w:tc>
                <w:tcPr>
                  <w:tcW w:w="3535" w:type="dxa"/>
                  <w:tcBorders>
                    <w:tl2br w:val="nil"/>
                    <w:tr2bl w:val="nil"/>
                  </w:tcBorders>
                  <w:vAlign w:val="center"/>
                </w:tcPr>
                <w:p w14:paraId="50748313">
                  <w:pPr>
                    <w:adjustRightInd w:val="0"/>
                    <w:snapToGrid w:val="0"/>
                    <w:spacing w:line="240" w:lineRule="auto"/>
                    <w:ind w:firstLine="0" w:firstLineChars="0"/>
                    <w:rPr>
                      <w:sz w:val="21"/>
                      <w:szCs w:val="21"/>
                    </w:rPr>
                  </w:pPr>
                  <w:r>
                    <w:rPr>
                      <w:sz w:val="21"/>
                      <w:szCs w:val="21"/>
                    </w:rPr>
                    <w:t>本项目属于</w:t>
                  </w:r>
                  <w:r>
                    <w:rPr>
                      <w:rFonts w:hint="eastAsia"/>
                      <w:sz w:val="21"/>
                      <w:szCs w:val="21"/>
                    </w:rPr>
                    <w:t>棉纺织及印染精加工业</w:t>
                  </w:r>
                  <w:r>
                    <w:rPr>
                      <w:sz w:val="21"/>
                      <w:szCs w:val="21"/>
                    </w:rPr>
                    <w:t>，不属于电池回收项目。</w:t>
                  </w:r>
                </w:p>
              </w:tc>
              <w:tc>
                <w:tcPr>
                  <w:tcW w:w="796" w:type="dxa"/>
                  <w:tcBorders>
                    <w:tl2br w:val="nil"/>
                    <w:tr2bl w:val="nil"/>
                  </w:tcBorders>
                  <w:vAlign w:val="center"/>
                </w:tcPr>
                <w:p w14:paraId="54D2FF13">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0D73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109EB1CC">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5A928706">
                  <w:pPr>
                    <w:adjustRightInd w:val="0"/>
                    <w:snapToGrid w:val="0"/>
                    <w:spacing w:line="240" w:lineRule="auto"/>
                    <w:ind w:firstLine="0" w:firstLineChars="0"/>
                    <w:rPr>
                      <w:sz w:val="21"/>
                      <w:szCs w:val="21"/>
                      <w:highlight w:val="none"/>
                    </w:rPr>
                  </w:pPr>
                  <w:r>
                    <w:rPr>
                      <w:sz w:val="21"/>
                      <w:szCs w:val="21"/>
                      <w:highlight w:val="none"/>
                    </w:rPr>
                    <w:t>6.新、改、扩建排放VOCs的项目，应从源头加强控制，使用低（无）VOCs含量的原辅材料，配套安装高效收集、治理设施。</w:t>
                  </w:r>
                </w:p>
              </w:tc>
              <w:tc>
                <w:tcPr>
                  <w:tcW w:w="3535" w:type="dxa"/>
                  <w:tcBorders>
                    <w:tl2br w:val="nil"/>
                    <w:tr2bl w:val="nil"/>
                  </w:tcBorders>
                  <w:vAlign w:val="center"/>
                </w:tcPr>
                <w:p w14:paraId="21885A82">
                  <w:pPr>
                    <w:adjustRightInd w:val="0"/>
                    <w:snapToGrid w:val="0"/>
                    <w:spacing w:line="240" w:lineRule="auto"/>
                    <w:ind w:firstLine="0" w:firstLineChars="0"/>
                    <w:rPr>
                      <w:sz w:val="21"/>
                      <w:szCs w:val="21"/>
                      <w:highlight w:val="none"/>
                    </w:rPr>
                  </w:pPr>
                  <w:r>
                    <w:rPr>
                      <w:sz w:val="21"/>
                      <w:szCs w:val="21"/>
                      <w:highlight w:val="none"/>
                    </w:rPr>
                    <w:t>本项目为</w:t>
                  </w:r>
                  <w:r>
                    <w:rPr>
                      <w:rFonts w:hint="eastAsia"/>
                      <w:sz w:val="21"/>
                      <w:szCs w:val="21"/>
                      <w:highlight w:val="none"/>
                    </w:rPr>
                    <w:t>新建</w:t>
                  </w:r>
                  <w:r>
                    <w:rPr>
                      <w:sz w:val="21"/>
                      <w:szCs w:val="21"/>
                      <w:highlight w:val="none"/>
                    </w:rPr>
                    <w:t>项目，</w:t>
                  </w:r>
                  <w:r>
                    <w:rPr>
                      <w:sz w:val="21"/>
                      <w:szCs w:val="21"/>
                      <w:highlight w:val="none"/>
                      <w:lang w:val="zh-CN"/>
                    </w:rPr>
                    <w:t>项目</w:t>
                  </w:r>
                  <w:r>
                    <w:rPr>
                      <w:rFonts w:hint="eastAsia"/>
                      <w:sz w:val="21"/>
                      <w:szCs w:val="21"/>
                      <w:highlight w:val="none"/>
                      <w:lang w:val="zh-CN"/>
                    </w:rPr>
                    <w:t>使用</w:t>
                  </w:r>
                  <w:r>
                    <w:rPr>
                      <w:rFonts w:hint="eastAsia"/>
                      <w:sz w:val="21"/>
                      <w:szCs w:val="21"/>
                      <w:highlight w:val="none"/>
                      <w:lang w:eastAsia="zh-CN"/>
                    </w:rPr>
                    <w:t>水性丙烯酸油墨</w:t>
                  </w:r>
                  <w:r>
                    <w:rPr>
                      <w:rFonts w:hint="eastAsia"/>
                      <w:sz w:val="21"/>
                      <w:szCs w:val="21"/>
                      <w:highlight w:val="none"/>
                      <w:lang w:val="zh-CN"/>
                    </w:rPr>
                    <w:t>符合</w:t>
                  </w:r>
                  <w:r>
                    <w:rPr>
                      <w:rFonts w:hint="eastAsia"/>
                      <w:sz w:val="21"/>
                      <w:szCs w:val="21"/>
                      <w:highlight w:val="none"/>
                      <w:lang w:eastAsia="zh-CN"/>
                    </w:rPr>
                    <w:t>《油墨中可挥发性有机化合物（VOCs）含量限值》（GB38507-2020）、水性丙烯酸胶浆</w:t>
                  </w:r>
                  <w:r>
                    <w:rPr>
                      <w:rFonts w:hint="eastAsia"/>
                      <w:sz w:val="21"/>
                      <w:szCs w:val="21"/>
                      <w:highlight w:val="none"/>
                      <w:lang w:val="zh-CN"/>
                    </w:rPr>
                    <w:t>符合</w:t>
                  </w:r>
                  <w:r>
                    <w:rPr>
                      <w:rFonts w:hint="eastAsia"/>
                      <w:sz w:val="21"/>
                      <w:szCs w:val="21"/>
                      <w:highlight w:val="none"/>
                    </w:rPr>
                    <w:t>《胶粘剂挥发性有机化合物限值》（GB 33372-2020）限值要求</w:t>
                  </w:r>
                  <w:r>
                    <w:rPr>
                      <w:rFonts w:hint="eastAsia"/>
                      <w:sz w:val="21"/>
                      <w:szCs w:val="21"/>
                      <w:highlight w:val="none"/>
                      <w:lang w:eastAsia="zh-CN"/>
                    </w:rPr>
                    <w:t>，</w:t>
                  </w:r>
                  <w:r>
                    <w:rPr>
                      <w:rFonts w:hint="eastAsia"/>
                      <w:color w:val="000000" w:themeColor="text1"/>
                      <w:sz w:val="21"/>
                      <w:szCs w:val="21"/>
                      <w:highlight w:val="none"/>
                      <w:lang w:eastAsia="zh-CN"/>
                      <w14:textFill>
                        <w14:solidFill>
                          <w14:schemeClr w14:val="tx1"/>
                        </w14:solidFill>
                      </w14:textFill>
                    </w:rPr>
                    <w:t>属于低VOCs含量的油墨、胶粘剂</w:t>
                  </w:r>
                  <w:r>
                    <w:rPr>
                      <w:rFonts w:hint="eastAsia"/>
                      <w:sz w:val="21"/>
                      <w:szCs w:val="21"/>
                      <w:highlight w:val="none"/>
                      <w:lang w:val="zh-CN"/>
                    </w:rPr>
                    <w:t>。</w:t>
                  </w:r>
                </w:p>
              </w:tc>
              <w:tc>
                <w:tcPr>
                  <w:tcW w:w="796" w:type="dxa"/>
                  <w:tcBorders>
                    <w:tl2br w:val="nil"/>
                    <w:tr2bl w:val="nil"/>
                  </w:tcBorders>
                  <w:vAlign w:val="center"/>
                </w:tcPr>
                <w:p w14:paraId="57FFA22B">
                  <w:pPr>
                    <w:adjustRightInd w:val="0"/>
                    <w:snapToGrid w:val="0"/>
                    <w:spacing w:line="240" w:lineRule="auto"/>
                    <w:ind w:firstLine="0" w:firstLineChars="0"/>
                    <w:jc w:val="center"/>
                    <w:rPr>
                      <w:sz w:val="21"/>
                      <w:szCs w:val="21"/>
                    </w:rPr>
                  </w:pPr>
                  <w:r>
                    <w:rPr>
                      <w:rFonts w:hint="eastAsia"/>
                      <w:sz w:val="21"/>
                      <w:szCs w:val="21"/>
                    </w:rPr>
                    <w:t>不涉及</w:t>
                  </w:r>
                </w:p>
              </w:tc>
            </w:tr>
            <w:tr w14:paraId="41C3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2BE0B1BB">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5D4CDE8A">
                  <w:pPr>
                    <w:adjustRightInd w:val="0"/>
                    <w:snapToGrid w:val="0"/>
                    <w:spacing w:line="240" w:lineRule="auto"/>
                    <w:ind w:firstLine="0" w:firstLineChars="0"/>
                    <w:rPr>
                      <w:sz w:val="21"/>
                      <w:szCs w:val="21"/>
                    </w:rPr>
                  </w:pPr>
                  <w:r>
                    <w:rPr>
                      <w:sz w:val="21"/>
                      <w:szCs w:val="21"/>
                    </w:rPr>
                    <w:t>7.新建项目的污染物排放指标需满足区域用水、排水及水污染物总量控制指标要求。</w:t>
                  </w:r>
                </w:p>
              </w:tc>
              <w:tc>
                <w:tcPr>
                  <w:tcW w:w="3535" w:type="dxa"/>
                  <w:tcBorders>
                    <w:tl2br w:val="nil"/>
                    <w:tr2bl w:val="nil"/>
                  </w:tcBorders>
                  <w:vAlign w:val="center"/>
                </w:tcPr>
                <w:p w14:paraId="0AD58C4F">
                  <w:pPr>
                    <w:adjustRightInd w:val="0"/>
                    <w:snapToGrid w:val="0"/>
                    <w:spacing w:line="240" w:lineRule="auto"/>
                    <w:ind w:firstLine="0" w:firstLineChars="0"/>
                    <w:rPr>
                      <w:sz w:val="21"/>
                      <w:szCs w:val="21"/>
                    </w:rPr>
                  </w:pPr>
                  <w:r>
                    <w:rPr>
                      <w:sz w:val="21"/>
                      <w:szCs w:val="21"/>
                    </w:rPr>
                    <w:t>本项目为</w:t>
                  </w:r>
                  <w:r>
                    <w:rPr>
                      <w:rFonts w:hint="eastAsia"/>
                      <w:sz w:val="21"/>
                      <w:szCs w:val="21"/>
                      <w:lang w:eastAsia="zh-CN"/>
                    </w:rPr>
                    <w:t>新建</w:t>
                  </w:r>
                  <w:r>
                    <w:rPr>
                      <w:sz w:val="21"/>
                      <w:szCs w:val="21"/>
                    </w:rPr>
                    <w:t>项目，</w:t>
                  </w:r>
                  <w:r>
                    <w:rPr>
                      <w:rFonts w:hint="eastAsia"/>
                      <w:sz w:val="21"/>
                      <w:szCs w:val="21"/>
                    </w:rPr>
                    <w:t>本项目污染物排放指标</w:t>
                  </w:r>
                  <w:r>
                    <w:rPr>
                      <w:sz w:val="21"/>
                      <w:szCs w:val="21"/>
                    </w:rPr>
                    <w:t>满足区域用水、排水及水污染物总量控制指标要求。</w:t>
                  </w:r>
                </w:p>
              </w:tc>
              <w:tc>
                <w:tcPr>
                  <w:tcW w:w="796" w:type="dxa"/>
                  <w:tcBorders>
                    <w:tl2br w:val="nil"/>
                    <w:tr2bl w:val="nil"/>
                  </w:tcBorders>
                  <w:vAlign w:val="center"/>
                </w:tcPr>
                <w:p w14:paraId="75A919C6">
                  <w:pPr>
                    <w:adjustRightInd w:val="0"/>
                    <w:snapToGrid w:val="0"/>
                    <w:spacing w:line="240" w:lineRule="auto"/>
                    <w:ind w:firstLine="0" w:firstLineChars="0"/>
                    <w:jc w:val="center"/>
                    <w:rPr>
                      <w:sz w:val="21"/>
                      <w:szCs w:val="21"/>
                    </w:rPr>
                  </w:pPr>
                  <w:r>
                    <w:rPr>
                      <w:sz w:val="21"/>
                      <w:szCs w:val="21"/>
                    </w:rPr>
                    <w:t>符合</w:t>
                  </w:r>
                </w:p>
              </w:tc>
            </w:tr>
            <w:tr w14:paraId="0DBC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2C05B887">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1A690084">
                  <w:pPr>
                    <w:adjustRightInd w:val="0"/>
                    <w:snapToGrid w:val="0"/>
                    <w:spacing w:line="240" w:lineRule="auto"/>
                    <w:ind w:firstLine="0" w:firstLineChars="0"/>
                    <w:rPr>
                      <w:sz w:val="21"/>
                      <w:szCs w:val="21"/>
                    </w:rPr>
                  </w:pPr>
                  <w:r>
                    <w:rPr>
                      <w:sz w:val="21"/>
                      <w:szCs w:val="21"/>
                    </w:rPr>
                    <w:t>8.强化项目环评及“三同时”管理，国家、省绩效分级重点行业企业新建、扩建项目达到A级绩效水平，改建项目达到B级以上绩效水平。</w:t>
                  </w:r>
                </w:p>
              </w:tc>
              <w:tc>
                <w:tcPr>
                  <w:tcW w:w="3535" w:type="dxa"/>
                  <w:tcBorders>
                    <w:tl2br w:val="nil"/>
                    <w:tr2bl w:val="nil"/>
                  </w:tcBorders>
                  <w:vAlign w:val="center"/>
                </w:tcPr>
                <w:p w14:paraId="50FDB5FB">
                  <w:pPr>
                    <w:adjustRightInd w:val="0"/>
                    <w:snapToGrid w:val="0"/>
                    <w:spacing w:line="240" w:lineRule="auto"/>
                    <w:ind w:firstLine="0" w:firstLineChars="0"/>
                    <w:rPr>
                      <w:sz w:val="21"/>
                      <w:szCs w:val="21"/>
                    </w:rPr>
                  </w:pPr>
                  <w:r>
                    <w:rPr>
                      <w:sz w:val="21"/>
                      <w:szCs w:val="21"/>
                    </w:rPr>
                    <w:t>本项目为</w:t>
                  </w:r>
                  <w:r>
                    <w:rPr>
                      <w:rFonts w:hint="eastAsia"/>
                      <w:sz w:val="21"/>
                      <w:szCs w:val="21"/>
                    </w:rPr>
                    <w:t>新</w:t>
                  </w:r>
                  <w:r>
                    <w:rPr>
                      <w:sz w:val="21"/>
                      <w:szCs w:val="21"/>
                    </w:rPr>
                    <w:t>建项目，将严格按照环评及“三同时”管理，满足</w:t>
                  </w:r>
                  <w:r>
                    <w:rPr>
                      <w:rFonts w:hint="eastAsia"/>
                      <w:sz w:val="21"/>
                      <w:szCs w:val="21"/>
                    </w:rPr>
                    <w:t>《河南省重污染天气重点行业应急减排措施制定技术指南</w:t>
                  </w:r>
                  <w:r>
                    <w:rPr>
                      <w:rFonts w:hint="eastAsia"/>
                      <w:sz w:val="21"/>
                      <w:szCs w:val="21"/>
                      <w:lang w:eastAsia="zh-CN"/>
                    </w:rPr>
                    <w:t xml:space="preserve">（2024年修订版）》 </w:t>
                  </w:r>
                  <w:r>
                    <w:rPr>
                      <w:rFonts w:hint="eastAsia"/>
                      <w:sz w:val="21"/>
                      <w:szCs w:val="21"/>
                    </w:rPr>
                    <w:t>“纺织印染与服饰制造”绩效分级A级要求</w:t>
                  </w:r>
                  <w:r>
                    <w:rPr>
                      <w:sz w:val="21"/>
                      <w:szCs w:val="21"/>
                    </w:rPr>
                    <w:t>。</w:t>
                  </w:r>
                </w:p>
              </w:tc>
              <w:tc>
                <w:tcPr>
                  <w:tcW w:w="796" w:type="dxa"/>
                  <w:tcBorders>
                    <w:tl2br w:val="nil"/>
                    <w:tr2bl w:val="nil"/>
                  </w:tcBorders>
                  <w:vAlign w:val="center"/>
                </w:tcPr>
                <w:p w14:paraId="1CB834CE">
                  <w:pPr>
                    <w:adjustRightInd w:val="0"/>
                    <w:snapToGrid w:val="0"/>
                    <w:spacing w:line="240" w:lineRule="auto"/>
                    <w:ind w:firstLine="0" w:firstLineChars="0"/>
                    <w:jc w:val="center"/>
                    <w:rPr>
                      <w:sz w:val="21"/>
                      <w:szCs w:val="21"/>
                    </w:rPr>
                  </w:pPr>
                  <w:r>
                    <w:rPr>
                      <w:sz w:val="21"/>
                      <w:szCs w:val="21"/>
                    </w:rPr>
                    <w:t>符合</w:t>
                  </w:r>
                </w:p>
              </w:tc>
            </w:tr>
            <w:tr w14:paraId="4DAF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restart"/>
                  <w:tcBorders>
                    <w:tl2br w:val="nil"/>
                    <w:tr2bl w:val="nil"/>
                  </w:tcBorders>
                  <w:vAlign w:val="center"/>
                </w:tcPr>
                <w:p w14:paraId="18CF3986">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环境风险防控</w:t>
                  </w:r>
                </w:p>
              </w:tc>
              <w:tc>
                <w:tcPr>
                  <w:tcW w:w="3116" w:type="dxa"/>
                  <w:tcBorders>
                    <w:tl2br w:val="nil"/>
                    <w:tr2bl w:val="nil"/>
                  </w:tcBorders>
                  <w:vAlign w:val="center"/>
                </w:tcPr>
                <w:p w14:paraId="4F49E55A">
                  <w:pPr>
                    <w:adjustRightInd w:val="0"/>
                    <w:snapToGrid w:val="0"/>
                    <w:spacing w:line="240" w:lineRule="auto"/>
                    <w:ind w:firstLine="0" w:firstLineChars="0"/>
                    <w:rPr>
                      <w:sz w:val="21"/>
                      <w:szCs w:val="21"/>
                    </w:rPr>
                  </w:pPr>
                  <w:r>
                    <w:rPr>
                      <w:sz w:val="21"/>
                      <w:szCs w:val="21"/>
                    </w:rPr>
                    <w:t>1.规范园区建设，对涉重行业及化工企业加强管理，建立土壤和地下水污染隐患排查治理制度、风险防控体系和长效监管机制。</w:t>
                  </w:r>
                </w:p>
              </w:tc>
              <w:tc>
                <w:tcPr>
                  <w:tcW w:w="3535" w:type="dxa"/>
                  <w:tcBorders>
                    <w:tl2br w:val="nil"/>
                    <w:tr2bl w:val="nil"/>
                  </w:tcBorders>
                  <w:vAlign w:val="center"/>
                </w:tcPr>
                <w:p w14:paraId="3278E365">
                  <w:pPr>
                    <w:adjustRightInd w:val="0"/>
                    <w:snapToGrid w:val="0"/>
                    <w:spacing w:line="240" w:lineRule="auto"/>
                    <w:ind w:firstLine="0" w:firstLineChars="0"/>
                    <w:jc w:val="center"/>
                    <w:rPr>
                      <w:sz w:val="21"/>
                      <w:szCs w:val="21"/>
                    </w:rPr>
                  </w:pPr>
                  <w:r>
                    <w:rPr>
                      <w:sz w:val="21"/>
                      <w:szCs w:val="21"/>
                    </w:rPr>
                    <w:t>本项目属于</w:t>
                  </w:r>
                  <w:r>
                    <w:rPr>
                      <w:rFonts w:hint="eastAsia"/>
                      <w:sz w:val="21"/>
                      <w:szCs w:val="21"/>
                    </w:rPr>
                    <w:t>棉纺织及印染精加工业</w:t>
                  </w:r>
                  <w:r>
                    <w:rPr>
                      <w:sz w:val="21"/>
                      <w:szCs w:val="21"/>
                    </w:rPr>
                    <w:t>，</w:t>
                  </w:r>
                  <w:r>
                    <w:rPr>
                      <w:rFonts w:hint="eastAsia"/>
                      <w:sz w:val="21"/>
                      <w:szCs w:val="21"/>
                    </w:rPr>
                    <w:t>不属于涉重行业及化工企业。</w:t>
                  </w:r>
                </w:p>
              </w:tc>
              <w:tc>
                <w:tcPr>
                  <w:tcW w:w="796" w:type="dxa"/>
                  <w:tcBorders>
                    <w:tl2br w:val="nil"/>
                    <w:tr2bl w:val="nil"/>
                  </w:tcBorders>
                  <w:vAlign w:val="center"/>
                </w:tcPr>
                <w:p w14:paraId="639CBC1E">
                  <w:pPr>
                    <w:adjustRightInd w:val="0"/>
                    <w:snapToGrid w:val="0"/>
                    <w:spacing w:line="240" w:lineRule="auto"/>
                    <w:ind w:firstLine="0" w:firstLineChars="0"/>
                    <w:jc w:val="center"/>
                    <w:rPr>
                      <w:sz w:val="21"/>
                      <w:szCs w:val="21"/>
                    </w:rPr>
                  </w:pPr>
                  <w:r>
                    <w:rPr>
                      <w:sz w:val="21"/>
                      <w:szCs w:val="21"/>
                    </w:rPr>
                    <w:t>不</w:t>
                  </w:r>
                  <w:r>
                    <w:rPr>
                      <w:rFonts w:hint="eastAsia"/>
                      <w:sz w:val="21"/>
                      <w:szCs w:val="21"/>
                    </w:rPr>
                    <w:t>属于</w:t>
                  </w:r>
                </w:p>
              </w:tc>
            </w:tr>
            <w:tr w14:paraId="7EEB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4DCCE0CB">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69B7A0D8">
                  <w:pPr>
                    <w:widowControl/>
                    <w:adjustRightInd w:val="0"/>
                    <w:snapToGrid w:val="0"/>
                    <w:spacing w:line="240" w:lineRule="auto"/>
                    <w:ind w:firstLine="0" w:firstLineChars="0"/>
                    <w:textAlignment w:val="center"/>
                    <w:rPr>
                      <w:sz w:val="21"/>
                      <w:szCs w:val="21"/>
                    </w:rPr>
                  </w:pPr>
                  <w:r>
                    <w:rPr>
                      <w:sz w:val="21"/>
                      <w:szCs w:val="21"/>
                    </w:rPr>
                    <w:t>2.有色金属冶炼、铅酸蓄电池、石油加工、化工、电镀、制革和危险化学品生产、储存、使用等企业在拆除生产设施设备、污染治理设施时，要事先制定残留污染物清理和安全处置方案。</w:t>
                  </w:r>
                </w:p>
              </w:tc>
              <w:tc>
                <w:tcPr>
                  <w:tcW w:w="3535" w:type="dxa"/>
                  <w:tcBorders>
                    <w:tl2br w:val="nil"/>
                    <w:tr2bl w:val="nil"/>
                  </w:tcBorders>
                  <w:vAlign w:val="center"/>
                </w:tcPr>
                <w:p w14:paraId="60A20FA5">
                  <w:pPr>
                    <w:adjustRightInd w:val="0"/>
                    <w:snapToGrid w:val="0"/>
                    <w:spacing w:line="240" w:lineRule="auto"/>
                    <w:ind w:firstLine="0" w:firstLineChars="0"/>
                    <w:rPr>
                      <w:sz w:val="21"/>
                      <w:szCs w:val="21"/>
                    </w:rPr>
                  </w:pPr>
                  <w:r>
                    <w:rPr>
                      <w:kern w:val="0"/>
                      <w:sz w:val="21"/>
                      <w:szCs w:val="21"/>
                    </w:rPr>
                    <w:t>本项目为</w:t>
                  </w:r>
                  <w:r>
                    <w:rPr>
                      <w:rFonts w:hint="eastAsia"/>
                      <w:kern w:val="0"/>
                      <w:sz w:val="21"/>
                      <w:szCs w:val="21"/>
                    </w:rPr>
                    <w:t>新建</w:t>
                  </w:r>
                  <w:r>
                    <w:rPr>
                      <w:kern w:val="0"/>
                      <w:sz w:val="21"/>
                      <w:szCs w:val="21"/>
                    </w:rPr>
                    <w:t>项目，</w:t>
                  </w:r>
                  <w:r>
                    <w:rPr>
                      <w:sz w:val="21"/>
                      <w:szCs w:val="21"/>
                    </w:rPr>
                    <w:t>本项目属于</w:t>
                  </w:r>
                  <w:r>
                    <w:rPr>
                      <w:rFonts w:hint="eastAsia"/>
                      <w:sz w:val="21"/>
                      <w:szCs w:val="21"/>
                    </w:rPr>
                    <w:t>棉纺织及印染精加工业</w:t>
                  </w:r>
                  <w:r>
                    <w:rPr>
                      <w:snapToGrid w:val="0"/>
                      <w:sz w:val="21"/>
                      <w:szCs w:val="21"/>
                    </w:rPr>
                    <w:t>，</w:t>
                  </w:r>
                  <w:r>
                    <w:rPr>
                      <w:sz w:val="21"/>
                      <w:szCs w:val="21"/>
                    </w:rPr>
                    <w:t>不属于有色金属冶炼、铅酸蓄电池、石油加工、化工、电镀、制革和危险化学品生产、储存、使用等行业。</w:t>
                  </w:r>
                </w:p>
              </w:tc>
              <w:tc>
                <w:tcPr>
                  <w:tcW w:w="796" w:type="dxa"/>
                  <w:tcBorders>
                    <w:tl2br w:val="nil"/>
                    <w:tr2bl w:val="nil"/>
                  </w:tcBorders>
                  <w:vAlign w:val="center"/>
                </w:tcPr>
                <w:p w14:paraId="2C31C83B">
                  <w:pPr>
                    <w:adjustRightInd w:val="0"/>
                    <w:snapToGrid w:val="0"/>
                    <w:spacing w:line="240" w:lineRule="auto"/>
                    <w:ind w:firstLine="0" w:firstLineChars="0"/>
                    <w:jc w:val="center"/>
                    <w:rPr>
                      <w:sz w:val="21"/>
                      <w:szCs w:val="21"/>
                    </w:rPr>
                  </w:pPr>
                  <w:r>
                    <w:rPr>
                      <w:sz w:val="21"/>
                      <w:szCs w:val="21"/>
                    </w:rPr>
                    <w:t>符合</w:t>
                  </w:r>
                </w:p>
              </w:tc>
            </w:tr>
            <w:tr w14:paraId="6FE6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70" w:type="dxa"/>
                  <w:vMerge w:val="continue"/>
                  <w:tcBorders>
                    <w:tl2br w:val="nil"/>
                    <w:tr2bl w:val="nil"/>
                  </w:tcBorders>
                  <w:vAlign w:val="center"/>
                </w:tcPr>
                <w:p w14:paraId="5706C435">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116" w:type="dxa"/>
                  <w:tcBorders>
                    <w:tl2br w:val="nil"/>
                    <w:tr2bl w:val="nil"/>
                  </w:tcBorders>
                  <w:vAlign w:val="center"/>
                </w:tcPr>
                <w:p w14:paraId="5FBC58D7">
                  <w:pPr>
                    <w:adjustRightInd w:val="0"/>
                    <w:snapToGrid w:val="0"/>
                    <w:spacing w:line="240" w:lineRule="auto"/>
                    <w:ind w:firstLine="0" w:firstLineChars="0"/>
                    <w:rPr>
                      <w:sz w:val="21"/>
                      <w:szCs w:val="21"/>
                    </w:rPr>
                  </w:pPr>
                  <w:r>
                    <w:rPr>
                      <w:sz w:val="21"/>
                      <w:szCs w:val="21"/>
                    </w:rPr>
                    <w:t>3.高关注地块划分污染风险等级，纳入优先管控名录。</w:t>
                  </w:r>
                </w:p>
              </w:tc>
              <w:tc>
                <w:tcPr>
                  <w:tcW w:w="3535" w:type="dxa"/>
                  <w:tcBorders>
                    <w:tl2br w:val="nil"/>
                    <w:tr2bl w:val="nil"/>
                  </w:tcBorders>
                  <w:vAlign w:val="center"/>
                </w:tcPr>
                <w:p w14:paraId="27605769">
                  <w:pPr>
                    <w:adjustRightInd w:val="0"/>
                    <w:snapToGrid w:val="0"/>
                    <w:spacing w:line="240" w:lineRule="auto"/>
                    <w:ind w:firstLine="0" w:firstLineChars="0"/>
                    <w:jc w:val="center"/>
                    <w:rPr>
                      <w:sz w:val="21"/>
                      <w:szCs w:val="21"/>
                    </w:rPr>
                  </w:pPr>
                  <w:r>
                    <w:rPr>
                      <w:sz w:val="21"/>
                      <w:szCs w:val="21"/>
                    </w:rPr>
                    <w:t>本项目选址不属于高关注地块。</w:t>
                  </w:r>
                </w:p>
              </w:tc>
              <w:tc>
                <w:tcPr>
                  <w:tcW w:w="796" w:type="dxa"/>
                  <w:tcBorders>
                    <w:tl2br w:val="nil"/>
                    <w:tr2bl w:val="nil"/>
                  </w:tcBorders>
                  <w:vAlign w:val="center"/>
                </w:tcPr>
                <w:p w14:paraId="706A54C9">
                  <w:pPr>
                    <w:adjustRightInd w:val="0"/>
                    <w:snapToGrid w:val="0"/>
                    <w:spacing w:line="240" w:lineRule="auto"/>
                    <w:ind w:firstLine="0" w:firstLineChars="0"/>
                    <w:jc w:val="center"/>
                    <w:rPr>
                      <w:sz w:val="21"/>
                      <w:szCs w:val="21"/>
                    </w:rPr>
                  </w:pPr>
                  <w:r>
                    <w:rPr>
                      <w:sz w:val="21"/>
                      <w:szCs w:val="21"/>
                    </w:rPr>
                    <w:t>符合</w:t>
                  </w:r>
                </w:p>
              </w:tc>
            </w:tr>
          </w:tbl>
          <w:p w14:paraId="4B14D6B0">
            <w:pPr>
              <w:pStyle w:val="102"/>
              <w:keepNext/>
              <w:keepLines w:val="0"/>
              <w:pageBreakBefore w:val="0"/>
              <w:widowControl w:val="0"/>
              <w:numPr>
                <w:ilvl w:val="0"/>
                <w:numId w:val="0"/>
              </w:numPr>
              <w:kinsoku/>
              <w:wordWrap/>
              <w:overflowPunct/>
              <w:topLinePunct w:val="0"/>
              <w:autoSpaceDE/>
              <w:autoSpaceDN/>
              <w:bidi w:val="0"/>
              <w:adjustRightInd/>
              <w:snapToGrid/>
              <w:spacing w:line="520" w:lineRule="exact"/>
              <w:ind w:firstLine="1440" w:firstLineChars="600"/>
              <w:jc w:val="both"/>
              <w:textAlignment w:val="center"/>
            </w:pPr>
            <w:r>
              <w:t>表</w:t>
            </w:r>
            <w:r>
              <w:rPr>
                <w:rFonts w:hint="eastAsia"/>
              </w:rPr>
              <w:t>1-</w:t>
            </w:r>
            <w:r>
              <w:t>3      与园区负面清单相符性分析一览表</w:t>
            </w:r>
          </w:p>
          <w:tbl>
            <w:tblPr>
              <w:tblStyle w:val="26"/>
              <w:tblpPr w:leftFromText="180" w:rightFromText="180" w:vertAnchor="text" w:tblpXSpec="center" w:tblpY="1"/>
              <w:tblOverlap w:val="never"/>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8"/>
              <w:gridCol w:w="3664"/>
              <w:gridCol w:w="3479"/>
              <w:gridCol w:w="790"/>
            </w:tblGrid>
            <w:tr w14:paraId="5FD3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tcBorders>
                    <w:tl2br w:val="nil"/>
                    <w:tr2bl w:val="nil"/>
                  </w:tcBorders>
                  <w:vAlign w:val="center"/>
                </w:tcPr>
                <w:p w14:paraId="5AD1F1D3">
                  <w:pPr>
                    <w:spacing w:line="240" w:lineRule="auto"/>
                    <w:ind w:firstLine="0" w:firstLineChars="0"/>
                    <w:jc w:val="center"/>
                    <w:rPr>
                      <w:b/>
                      <w:bCs/>
                      <w:sz w:val="21"/>
                      <w:szCs w:val="21"/>
                    </w:rPr>
                  </w:pPr>
                  <w:r>
                    <w:rPr>
                      <w:b/>
                      <w:bCs/>
                      <w:sz w:val="21"/>
                      <w:szCs w:val="21"/>
                    </w:rPr>
                    <w:t>类别</w:t>
                  </w:r>
                </w:p>
              </w:tc>
              <w:tc>
                <w:tcPr>
                  <w:tcW w:w="3421" w:type="dxa"/>
                  <w:tcBorders>
                    <w:tl2br w:val="nil"/>
                    <w:tr2bl w:val="nil"/>
                  </w:tcBorders>
                  <w:vAlign w:val="center"/>
                </w:tcPr>
                <w:p w14:paraId="4E029678">
                  <w:pPr>
                    <w:spacing w:line="240" w:lineRule="auto"/>
                    <w:ind w:firstLine="0" w:firstLineChars="0"/>
                    <w:jc w:val="center"/>
                    <w:rPr>
                      <w:b/>
                      <w:bCs/>
                      <w:sz w:val="21"/>
                      <w:szCs w:val="21"/>
                    </w:rPr>
                  </w:pPr>
                  <w:r>
                    <w:rPr>
                      <w:b/>
                      <w:bCs/>
                      <w:sz w:val="21"/>
                      <w:szCs w:val="21"/>
                    </w:rPr>
                    <w:t>负面清单</w:t>
                  </w:r>
                </w:p>
              </w:tc>
              <w:tc>
                <w:tcPr>
                  <w:tcW w:w="3248" w:type="dxa"/>
                  <w:tcBorders>
                    <w:tl2br w:val="nil"/>
                    <w:tr2bl w:val="nil"/>
                  </w:tcBorders>
                  <w:vAlign w:val="center"/>
                </w:tcPr>
                <w:p w14:paraId="4535967E">
                  <w:pPr>
                    <w:spacing w:line="240" w:lineRule="auto"/>
                    <w:ind w:firstLine="0" w:firstLineChars="0"/>
                    <w:jc w:val="center"/>
                    <w:rPr>
                      <w:b/>
                      <w:bCs/>
                      <w:sz w:val="21"/>
                      <w:szCs w:val="21"/>
                    </w:rPr>
                  </w:pPr>
                  <w:r>
                    <w:rPr>
                      <w:b/>
                      <w:bCs/>
                      <w:sz w:val="21"/>
                      <w:szCs w:val="21"/>
                    </w:rPr>
                    <w:t>本项目情况</w:t>
                  </w:r>
                </w:p>
              </w:tc>
              <w:tc>
                <w:tcPr>
                  <w:tcW w:w="738" w:type="dxa"/>
                  <w:tcBorders>
                    <w:tl2br w:val="nil"/>
                    <w:tr2bl w:val="nil"/>
                  </w:tcBorders>
                  <w:vAlign w:val="center"/>
                </w:tcPr>
                <w:p w14:paraId="2526EDD7">
                  <w:pPr>
                    <w:spacing w:line="240" w:lineRule="auto"/>
                    <w:ind w:firstLine="0" w:firstLineChars="0"/>
                    <w:jc w:val="center"/>
                    <w:rPr>
                      <w:b/>
                      <w:bCs/>
                      <w:sz w:val="21"/>
                      <w:szCs w:val="21"/>
                    </w:rPr>
                  </w:pPr>
                  <w:r>
                    <w:rPr>
                      <w:b/>
                      <w:bCs/>
                      <w:sz w:val="21"/>
                      <w:szCs w:val="21"/>
                    </w:rPr>
                    <w:t>相符性</w:t>
                  </w:r>
                </w:p>
              </w:tc>
            </w:tr>
            <w:tr w14:paraId="607B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restart"/>
                  <w:tcBorders>
                    <w:tl2br w:val="nil"/>
                    <w:tr2bl w:val="nil"/>
                  </w:tcBorders>
                  <w:vAlign w:val="center"/>
                </w:tcPr>
                <w:p w14:paraId="56439580">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r>
                    <w:rPr>
                      <w:rFonts w:ascii="Times New Roman" w:hAnsi="Times New Roman" w:cs="Times New Roman"/>
                      <w:b w:val="0"/>
                      <w:bCs w:val="0"/>
                      <w:sz w:val="21"/>
                      <w:szCs w:val="21"/>
                    </w:rPr>
                    <w:t>空间布局约束</w:t>
                  </w:r>
                </w:p>
              </w:tc>
              <w:tc>
                <w:tcPr>
                  <w:tcW w:w="3421" w:type="dxa"/>
                  <w:tcBorders>
                    <w:tl2br w:val="nil"/>
                    <w:tr2bl w:val="nil"/>
                  </w:tcBorders>
                  <w:vAlign w:val="center"/>
                </w:tcPr>
                <w:p w14:paraId="05274FB8">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1.禁止不符合新乡市、河南省、国家等重金属污染防控政策要求的项目入驻。</w:t>
                  </w:r>
                </w:p>
              </w:tc>
              <w:tc>
                <w:tcPr>
                  <w:tcW w:w="3248" w:type="dxa"/>
                  <w:tcBorders>
                    <w:tl2br w:val="nil"/>
                    <w:tr2bl w:val="nil"/>
                  </w:tcBorders>
                  <w:vAlign w:val="center"/>
                </w:tcPr>
                <w:p w14:paraId="23AC4FCE">
                  <w:pPr>
                    <w:pStyle w:val="103"/>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本项目不涉及重金属。</w:t>
                  </w:r>
                </w:p>
              </w:tc>
              <w:tc>
                <w:tcPr>
                  <w:tcW w:w="738" w:type="dxa"/>
                  <w:tcBorders>
                    <w:tl2br w:val="nil"/>
                    <w:tr2bl w:val="nil"/>
                  </w:tcBorders>
                  <w:vAlign w:val="center"/>
                </w:tcPr>
                <w:p w14:paraId="6957C466">
                  <w:pPr>
                    <w:spacing w:line="240" w:lineRule="auto"/>
                    <w:ind w:firstLine="0" w:firstLineChars="0"/>
                    <w:jc w:val="center"/>
                    <w:rPr>
                      <w:sz w:val="21"/>
                      <w:szCs w:val="21"/>
                    </w:rPr>
                  </w:pPr>
                  <w:r>
                    <w:rPr>
                      <w:sz w:val="21"/>
                      <w:szCs w:val="21"/>
                    </w:rPr>
                    <w:t>不</w:t>
                  </w:r>
                  <w:r>
                    <w:rPr>
                      <w:rFonts w:hint="eastAsia"/>
                      <w:sz w:val="21"/>
                      <w:szCs w:val="21"/>
                    </w:rPr>
                    <w:t>涉及</w:t>
                  </w:r>
                </w:p>
              </w:tc>
            </w:tr>
            <w:tr w14:paraId="72EA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54CAA1E4">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2A227C10">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2.禁止不符合《废电池污染防治技术政策》、《废锂离子动力蓄电池处理污染控制技术规范》的电池回收项目入驻。</w:t>
                  </w:r>
                </w:p>
              </w:tc>
              <w:tc>
                <w:tcPr>
                  <w:tcW w:w="3248" w:type="dxa"/>
                  <w:vMerge w:val="restart"/>
                  <w:tcBorders>
                    <w:tl2br w:val="nil"/>
                    <w:tr2bl w:val="nil"/>
                  </w:tcBorders>
                  <w:vAlign w:val="center"/>
                </w:tcPr>
                <w:p w14:paraId="147E0EA9">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本项目为</w:t>
                  </w:r>
                  <w:r>
                    <w:rPr>
                      <w:rFonts w:hint="eastAsia" w:ascii="Times New Roman" w:hAnsi="Times New Roman" w:cs="Times New Roman"/>
                      <w:b w:val="0"/>
                      <w:bCs w:val="0"/>
                      <w:sz w:val="21"/>
                      <w:szCs w:val="21"/>
                    </w:rPr>
                    <w:t>新建</w:t>
                  </w:r>
                  <w:r>
                    <w:rPr>
                      <w:rFonts w:ascii="Times New Roman" w:hAnsi="Times New Roman" w:cs="Times New Roman"/>
                      <w:b w:val="0"/>
                      <w:bCs w:val="0"/>
                      <w:sz w:val="21"/>
                      <w:szCs w:val="21"/>
                    </w:rPr>
                    <w:t>项目，属于</w:t>
                  </w:r>
                  <w:r>
                    <w:rPr>
                      <w:rFonts w:hint="eastAsia" w:ascii="Times New Roman" w:hAnsi="Times New Roman" w:cs="Times New Roman"/>
                      <w:b w:val="0"/>
                      <w:bCs w:val="0"/>
                      <w:sz w:val="21"/>
                      <w:szCs w:val="21"/>
                    </w:rPr>
                    <w:t>棉纺织及印染精加工业</w:t>
                  </w:r>
                  <w:r>
                    <w:rPr>
                      <w:rFonts w:ascii="Times New Roman" w:hAnsi="Times New Roman" w:cs="Times New Roman"/>
                      <w:b w:val="0"/>
                      <w:bCs w:val="0"/>
                      <w:sz w:val="21"/>
                      <w:szCs w:val="21"/>
                    </w:rPr>
                    <w:t>，不属于电池回收项目</w:t>
                  </w:r>
                  <w:r>
                    <w:rPr>
                      <w:rFonts w:hint="eastAsia" w:ascii="Times New Roman" w:hAnsi="Times New Roman" w:cs="Times New Roman"/>
                      <w:b w:val="0"/>
                      <w:bCs w:val="0"/>
                      <w:sz w:val="21"/>
                      <w:szCs w:val="21"/>
                    </w:rPr>
                    <w:t>、</w:t>
                  </w:r>
                  <w:r>
                    <w:rPr>
                      <w:rFonts w:ascii="Times New Roman" w:hAnsi="Times New Roman" w:cs="Times New Roman"/>
                      <w:b w:val="0"/>
                      <w:bCs w:val="0"/>
                      <w:sz w:val="21"/>
                      <w:szCs w:val="21"/>
                    </w:rPr>
                    <w:t>铅酸电池回收项目</w:t>
                  </w:r>
                  <w:r>
                    <w:rPr>
                      <w:rFonts w:hint="eastAsia" w:ascii="Times New Roman" w:hAnsi="Times New Roman" w:cs="Times New Roman"/>
                      <w:b w:val="0"/>
                      <w:bCs w:val="0"/>
                      <w:sz w:val="21"/>
                      <w:szCs w:val="21"/>
                    </w:rPr>
                    <w:t>、</w:t>
                  </w:r>
                  <w:r>
                    <w:rPr>
                      <w:rFonts w:ascii="Times New Roman" w:hAnsi="Times New Roman" w:cs="Times New Roman"/>
                      <w:b w:val="0"/>
                      <w:bCs w:val="0"/>
                      <w:sz w:val="21"/>
                      <w:szCs w:val="21"/>
                    </w:rPr>
                    <w:t>铅酸电池项目。</w:t>
                  </w:r>
                </w:p>
              </w:tc>
              <w:tc>
                <w:tcPr>
                  <w:tcW w:w="738" w:type="dxa"/>
                  <w:tcBorders>
                    <w:tl2br w:val="nil"/>
                    <w:tr2bl w:val="nil"/>
                  </w:tcBorders>
                  <w:vAlign w:val="center"/>
                </w:tcPr>
                <w:p w14:paraId="2AC3C88F">
                  <w:pPr>
                    <w:spacing w:line="240" w:lineRule="auto"/>
                    <w:ind w:firstLine="0" w:firstLineChars="0"/>
                    <w:jc w:val="center"/>
                    <w:rPr>
                      <w:sz w:val="21"/>
                      <w:szCs w:val="21"/>
                    </w:rPr>
                  </w:pPr>
                  <w:r>
                    <w:rPr>
                      <w:sz w:val="21"/>
                      <w:szCs w:val="21"/>
                    </w:rPr>
                    <w:t>不</w:t>
                  </w:r>
                  <w:r>
                    <w:rPr>
                      <w:rFonts w:hint="eastAsia"/>
                      <w:sz w:val="21"/>
                      <w:szCs w:val="21"/>
                    </w:rPr>
                    <w:t>属于</w:t>
                  </w:r>
                </w:p>
              </w:tc>
            </w:tr>
            <w:tr w14:paraId="0348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68FC8525">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1E90679F">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3.禁止铅酸电池回收项目入驻。</w:t>
                  </w:r>
                </w:p>
              </w:tc>
              <w:tc>
                <w:tcPr>
                  <w:tcW w:w="3248" w:type="dxa"/>
                  <w:vMerge w:val="continue"/>
                  <w:tcBorders>
                    <w:tl2br w:val="nil"/>
                    <w:tr2bl w:val="nil"/>
                  </w:tcBorders>
                  <w:vAlign w:val="center"/>
                </w:tcPr>
                <w:p w14:paraId="084BE9FF">
                  <w:pPr>
                    <w:pStyle w:val="103"/>
                    <w:spacing w:before="0" w:beforeAutospacing="0" w:after="0" w:afterAutospacing="0" w:line="240" w:lineRule="auto"/>
                    <w:ind w:left="0" w:firstLine="0" w:firstLineChars="0"/>
                    <w:jc w:val="both"/>
                    <w:rPr>
                      <w:rFonts w:ascii="Times New Roman" w:hAnsi="Times New Roman" w:cs="Times New Roman"/>
                      <w:b w:val="0"/>
                      <w:bCs w:val="0"/>
                      <w:sz w:val="21"/>
                      <w:szCs w:val="21"/>
                    </w:rPr>
                  </w:pPr>
                </w:p>
              </w:tc>
              <w:tc>
                <w:tcPr>
                  <w:tcW w:w="738" w:type="dxa"/>
                  <w:tcBorders>
                    <w:tl2br w:val="nil"/>
                    <w:tr2bl w:val="nil"/>
                  </w:tcBorders>
                  <w:vAlign w:val="center"/>
                </w:tcPr>
                <w:p w14:paraId="6C79590C">
                  <w:pPr>
                    <w:spacing w:line="240" w:lineRule="auto"/>
                    <w:ind w:firstLine="0" w:firstLineChars="0"/>
                    <w:jc w:val="center"/>
                    <w:rPr>
                      <w:sz w:val="21"/>
                      <w:szCs w:val="21"/>
                    </w:rPr>
                  </w:pPr>
                  <w:r>
                    <w:rPr>
                      <w:sz w:val="21"/>
                      <w:szCs w:val="21"/>
                    </w:rPr>
                    <w:t>不</w:t>
                  </w:r>
                  <w:r>
                    <w:rPr>
                      <w:rFonts w:hint="eastAsia"/>
                      <w:sz w:val="21"/>
                      <w:szCs w:val="21"/>
                    </w:rPr>
                    <w:t>属于</w:t>
                  </w:r>
                </w:p>
              </w:tc>
            </w:tr>
            <w:tr w14:paraId="423E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4FC15E3E">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3A647630">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4.禁止新建铅酸电池项目入驻。</w:t>
                  </w:r>
                </w:p>
              </w:tc>
              <w:tc>
                <w:tcPr>
                  <w:tcW w:w="3248" w:type="dxa"/>
                  <w:vMerge w:val="continue"/>
                  <w:tcBorders>
                    <w:tl2br w:val="nil"/>
                    <w:tr2bl w:val="nil"/>
                  </w:tcBorders>
                  <w:vAlign w:val="center"/>
                </w:tcPr>
                <w:p w14:paraId="4335C34D">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p>
              </w:tc>
              <w:tc>
                <w:tcPr>
                  <w:tcW w:w="738" w:type="dxa"/>
                  <w:tcBorders>
                    <w:tl2br w:val="nil"/>
                    <w:tr2bl w:val="nil"/>
                  </w:tcBorders>
                  <w:vAlign w:val="center"/>
                </w:tcPr>
                <w:p w14:paraId="3CB79791">
                  <w:pPr>
                    <w:spacing w:line="240" w:lineRule="auto"/>
                    <w:ind w:firstLine="0" w:firstLineChars="0"/>
                    <w:jc w:val="center"/>
                    <w:rPr>
                      <w:sz w:val="21"/>
                      <w:szCs w:val="21"/>
                    </w:rPr>
                  </w:pPr>
                  <w:r>
                    <w:rPr>
                      <w:sz w:val="21"/>
                      <w:szCs w:val="21"/>
                    </w:rPr>
                    <w:t>不</w:t>
                  </w:r>
                  <w:r>
                    <w:rPr>
                      <w:rFonts w:hint="eastAsia"/>
                      <w:sz w:val="21"/>
                      <w:szCs w:val="21"/>
                    </w:rPr>
                    <w:t>属于</w:t>
                  </w:r>
                </w:p>
              </w:tc>
            </w:tr>
            <w:tr w14:paraId="470C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577FED8D">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2C55D1C6">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5.禁止与主导产业无关的“两高”项目入驻。</w:t>
                  </w:r>
                </w:p>
              </w:tc>
              <w:tc>
                <w:tcPr>
                  <w:tcW w:w="3248" w:type="dxa"/>
                  <w:tcBorders>
                    <w:tl2br w:val="nil"/>
                    <w:tr2bl w:val="nil"/>
                  </w:tcBorders>
                  <w:vAlign w:val="center"/>
                </w:tcPr>
                <w:p w14:paraId="638629D3">
                  <w:pPr>
                    <w:pStyle w:val="103"/>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本项目不属于</w:t>
                  </w:r>
                  <w:r>
                    <w:rPr>
                      <w:rFonts w:hint="eastAsia" w:ascii="Times New Roman" w:hAnsi="Times New Roman" w:cs="Times New Roman"/>
                      <w:b w:val="0"/>
                      <w:bCs w:val="0"/>
                      <w:sz w:val="21"/>
                      <w:szCs w:val="21"/>
                      <w:lang w:eastAsia="zh-CN"/>
                    </w:rPr>
                    <w:t>“</w:t>
                  </w:r>
                  <w:r>
                    <w:rPr>
                      <w:rFonts w:ascii="Times New Roman" w:hAnsi="Times New Roman" w:cs="Times New Roman"/>
                      <w:b w:val="0"/>
                      <w:bCs w:val="0"/>
                      <w:sz w:val="21"/>
                      <w:szCs w:val="21"/>
                    </w:rPr>
                    <w:t>两高</w:t>
                  </w:r>
                  <w:r>
                    <w:rPr>
                      <w:rFonts w:hint="eastAsia" w:ascii="Times New Roman" w:hAnsi="Times New Roman" w:cs="Times New Roman"/>
                      <w:b w:val="0"/>
                      <w:bCs w:val="0"/>
                      <w:sz w:val="21"/>
                      <w:szCs w:val="21"/>
                      <w:lang w:eastAsia="zh-CN"/>
                    </w:rPr>
                    <w:t>”</w:t>
                  </w:r>
                  <w:r>
                    <w:rPr>
                      <w:rFonts w:ascii="Times New Roman" w:hAnsi="Times New Roman" w:cs="Times New Roman"/>
                      <w:b w:val="0"/>
                      <w:bCs w:val="0"/>
                      <w:sz w:val="21"/>
                      <w:szCs w:val="21"/>
                    </w:rPr>
                    <w:t>项目。</w:t>
                  </w:r>
                </w:p>
              </w:tc>
              <w:tc>
                <w:tcPr>
                  <w:tcW w:w="738" w:type="dxa"/>
                  <w:tcBorders>
                    <w:tl2br w:val="nil"/>
                    <w:tr2bl w:val="nil"/>
                  </w:tcBorders>
                  <w:vAlign w:val="center"/>
                </w:tcPr>
                <w:p w14:paraId="11AEF7A7">
                  <w:pPr>
                    <w:spacing w:line="240" w:lineRule="auto"/>
                    <w:ind w:firstLine="0" w:firstLineChars="0"/>
                    <w:jc w:val="center"/>
                    <w:rPr>
                      <w:sz w:val="21"/>
                      <w:szCs w:val="21"/>
                    </w:rPr>
                  </w:pPr>
                  <w:r>
                    <w:rPr>
                      <w:sz w:val="21"/>
                      <w:szCs w:val="21"/>
                    </w:rPr>
                    <w:t>不</w:t>
                  </w:r>
                  <w:r>
                    <w:rPr>
                      <w:rFonts w:hint="eastAsia"/>
                      <w:sz w:val="21"/>
                      <w:szCs w:val="21"/>
                    </w:rPr>
                    <w:t>属于</w:t>
                  </w:r>
                </w:p>
              </w:tc>
            </w:tr>
            <w:tr w14:paraId="1072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295425FC">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3EEEE7B2">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6.禁止引入钢铁、水泥、平板玻璃、铅蓄电池、皮革鞣制加工等不符合园区产业定位且污染较重的项目。</w:t>
                  </w:r>
                </w:p>
              </w:tc>
              <w:tc>
                <w:tcPr>
                  <w:tcW w:w="3248" w:type="dxa"/>
                  <w:tcBorders>
                    <w:tl2br w:val="nil"/>
                    <w:tr2bl w:val="nil"/>
                  </w:tcBorders>
                  <w:vAlign w:val="center"/>
                </w:tcPr>
                <w:p w14:paraId="190B5D55">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本项目为</w:t>
                  </w:r>
                  <w:r>
                    <w:rPr>
                      <w:rFonts w:hint="eastAsia" w:ascii="Times New Roman" w:hAnsi="Times New Roman" w:cs="Times New Roman"/>
                      <w:b w:val="0"/>
                      <w:bCs w:val="0"/>
                      <w:sz w:val="21"/>
                      <w:szCs w:val="21"/>
                    </w:rPr>
                    <w:t>新建</w:t>
                  </w:r>
                  <w:r>
                    <w:rPr>
                      <w:rFonts w:ascii="Times New Roman" w:hAnsi="Times New Roman" w:cs="Times New Roman"/>
                      <w:b w:val="0"/>
                      <w:bCs w:val="0"/>
                      <w:sz w:val="21"/>
                      <w:szCs w:val="21"/>
                    </w:rPr>
                    <w:t>项目，属于</w:t>
                  </w:r>
                  <w:r>
                    <w:rPr>
                      <w:rFonts w:hint="eastAsia" w:ascii="Times New Roman" w:hAnsi="Times New Roman" w:cs="Times New Roman"/>
                      <w:b w:val="0"/>
                      <w:bCs w:val="0"/>
                      <w:sz w:val="21"/>
                      <w:szCs w:val="21"/>
                    </w:rPr>
                    <w:t>棉纺织及印染精加工业</w:t>
                  </w:r>
                  <w:r>
                    <w:rPr>
                      <w:rFonts w:ascii="Times New Roman" w:hAnsi="Times New Roman" w:cs="Times New Roman"/>
                      <w:b w:val="0"/>
                      <w:bCs w:val="0"/>
                      <w:sz w:val="21"/>
                      <w:szCs w:val="21"/>
                    </w:rPr>
                    <w:t>，不属于钢铁、水泥、平板玻璃、铅蓄电池、皮革鞣制加工等行业。</w:t>
                  </w:r>
                </w:p>
              </w:tc>
              <w:tc>
                <w:tcPr>
                  <w:tcW w:w="738" w:type="dxa"/>
                  <w:tcBorders>
                    <w:tl2br w:val="nil"/>
                    <w:tr2bl w:val="nil"/>
                  </w:tcBorders>
                  <w:vAlign w:val="center"/>
                </w:tcPr>
                <w:p w14:paraId="060C7336">
                  <w:pPr>
                    <w:spacing w:line="240" w:lineRule="auto"/>
                    <w:ind w:firstLine="0" w:firstLineChars="0"/>
                    <w:jc w:val="center"/>
                    <w:rPr>
                      <w:sz w:val="21"/>
                      <w:szCs w:val="21"/>
                    </w:rPr>
                  </w:pPr>
                  <w:r>
                    <w:rPr>
                      <w:sz w:val="21"/>
                      <w:szCs w:val="21"/>
                    </w:rPr>
                    <w:t>不</w:t>
                  </w:r>
                  <w:r>
                    <w:rPr>
                      <w:rFonts w:hint="eastAsia"/>
                      <w:sz w:val="21"/>
                      <w:szCs w:val="21"/>
                    </w:rPr>
                    <w:t>属于</w:t>
                  </w:r>
                </w:p>
              </w:tc>
            </w:tr>
            <w:tr w14:paraId="5415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4BB27A84">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12DACEEF">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7.禁止入驻达不到《电镀行业清洁生产评价指标体系》、《电池行业清洁生产评价指标体系》清洁生产先进水平要求的项目。</w:t>
                  </w:r>
                </w:p>
              </w:tc>
              <w:tc>
                <w:tcPr>
                  <w:tcW w:w="3248" w:type="dxa"/>
                  <w:tcBorders>
                    <w:tl2br w:val="nil"/>
                    <w:tr2bl w:val="nil"/>
                  </w:tcBorders>
                  <w:vAlign w:val="center"/>
                </w:tcPr>
                <w:p w14:paraId="74921D4D">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本项目为</w:t>
                  </w:r>
                  <w:r>
                    <w:rPr>
                      <w:rFonts w:hint="eastAsia" w:ascii="Times New Roman" w:hAnsi="Times New Roman" w:cs="Times New Roman"/>
                      <w:b w:val="0"/>
                      <w:bCs w:val="0"/>
                      <w:sz w:val="21"/>
                      <w:szCs w:val="21"/>
                    </w:rPr>
                    <w:t>新建</w:t>
                  </w:r>
                  <w:r>
                    <w:rPr>
                      <w:rFonts w:ascii="Times New Roman" w:hAnsi="Times New Roman" w:cs="Times New Roman"/>
                      <w:b w:val="0"/>
                      <w:bCs w:val="0"/>
                      <w:sz w:val="21"/>
                      <w:szCs w:val="21"/>
                    </w:rPr>
                    <w:t>项目，属于</w:t>
                  </w:r>
                  <w:r>
                    <w:rPr>
                      <w:rFonts w:hint="eastAsia" w:ascii="Times New Roman" w:hAnsi="Times New Roman" w:cs="Times New Roman"/>
                      <w:b w:val="0"/>
                      <w:bCs w:val="0"/>
                      <w:sz w:val="21"/>
                      <w:szCs w:val="21"/>
                    </w:rPr>
                    <w:t>棉纺织及印染精加工业</w:t>
                  </w:r>
                  <w:r>
                    <w:rPr>
                      <w:rFonts w:ascii="Times New Roman" w:hAnsi="Times New Roman" w:cs="Times New Roman"/>
                      <w:b w:val="0"/>
                      <w:bCs w:val="0"/>
                      <w:sz w:val="21"/>
                      <w:szCs w:val="21"/>
                    </w:rPr>
                    <w:t>，</w:t>
                  </w:r>
                  <w:r>
                    <w:rPr>
                      <w:rFonts w:hint="eastAsia" w:ascii="Times New Roman" w:hAnsi="Times New Roman" w:cs="Times New Roman"/>
                      <w:b w:val="0"/>
                      <w:bCs w:val="0"/>
                      <w:sz w:val="21"/>
                      <w:szCs w:val="21"/>
                    </w:rPr>
                    <w:t>不属于电镀、电池行业。</w:t>
                  </w:r>
                </w:p>
              </w:tc>
              <w:tc>
                <w:tcPr>
                  <w:tcW w:w="738" w:type="dxa"/>
                  <w:tcBorders>
                    <w:tl2br w:val="nil"/>
                    <w:tr2bl w:val="nil"/>
                  </w:tcBorders>
                  <w:vAlign w:val="center"/>
                </w:tcPr>
                <w:p w14:paraId="3A64EC64">
                  <w:pPr>
                    <w:spacing w:line="240" w:lineRule="auto"/>
                    <w:ind w:firstLine="0" w:firstLineChars="0"/>
                    <w:jc w:val="center"/>
                    <w:rPr>
                      <w:sz w:val="21"/>
                      <w:szCs w:val="21"/>
                    </w:rPr>
                  </w:pPr>
                  <w:r>
                    <w:rPr>
                      <w:sz w:val="21"/>
                      <w:szCs w:val="21"/>
                    </w:rPr>
                    <w:t>不</w:t>
                  </w:r>
                  <w:r>
                    <w:rPr>
                      <w:rFonts w:hint="eastAsia"/>
                      <w:sz w:val="21"/>
                      <w:szCs w:val="21"/>
                    </w:rPr>
                    <w:t>属于</w:t>
                  </w:r>
                </w:p>
              </w:tc>
            </w:tr>
            <w:tr w14:paraId="466B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3DF39BD1">
                  <w:pPr>
                    <w:pStyle w:val="103"/>
                    <w:spacing w:before="0" w:beforeAutospacing="0" w:after="0" w:afterAutospacing="0" w:line="240" w:lineRule="auto"/>
                    <w:ind w:left="0" w:firstLine="0" w:firstLineChars="0"/>
                    <w:jc w:val="center"/>
                    <w:rPr>
                      <w:rFonts w:ascii="Times New Roman" w:hAnsi="Times New Roman" w:cs="Times New Roman"/>
                      <w:b w:val="0"/>
                      <w:bCs w:val="0"/>
                      <w:sz w:val="21"/>
                      <w:szCs w:val="21"/>
                    </w:rPr>
                  </w:pPr>
                </w:p>
              </w:tc>
              <w:tc>
                <w:tcPr>
                  <w:tcW w:w="3421" w:type="dxa"/>
                  <w:tcBorders>
                    <w:tl2br w:val="nil"/>
                    <w:tr2bl w:val="nil"/>
                  </w:tcBorders>
                  <w:vAlign w:val="center"/>
                </w:tcPr>
                <w:p w14:paraId="245E3D36">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8.</w:t>
                  </w:r>
                  <w:r>
                    <w:rPr>
                      <w:rFonts w:hint="eastAsia" w:ascii="Times New Roman" w:hAnsi="Times New Roman" w:cs="Times New Roman"/>
                      <w:b w:val="0"/>
                      <w:bCs w:val="0"/>
                      <w:sz w:val="21"/>
                      <w:szCs w:val="21"/>
                    </w:rPr>
                    <w:t>西</w:t>
                  </w:r>
                  <w:r>
                    <w:rPr>
                      <w:rFonts w:ascii="Times New Roman" w:hAnsi="Times New Roman" w:cs="Times New Roman"/>
                      <w:b w:val="0"/>
                      <w:bCs w:val="0"/>
                      <w:sz w:val="21"/>
                      <w:szCs w:val="21"/>
                    </w:rPr>
                    <w:t>片区：表面处理产业园区外禁止入驻与主导产业不符的独立电镀项目。</w:t>
                  </w:r>
                </w:p>
                <w:p w14:paraId="76612663">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hint="eastAsia" w:ascii="Times New Roman" w:hAnsi="Times New Roman" w:cs="Times New Roman"/>
                      <w:b w:val="0"/>
                      <w:bCs w:val="0"/>
                      <w:sz w:val="21"/>
                      <w:szCs w:val="21"/>
                    </w:rPr>
                    <w:t>东</w:t>
                  </w:r>
                  <w:r>
                    <w:rPr>
                      <w:rFonts w:ascii="Times New Roman" w:hAnsi="Times New Roman" w:cs="Times New Roman"/>
                      <w:b w:val="0"/>
                      <w:bCs w:val="0"/>
                      <w:sz w:val="21"/>
                      <w:szCs w:val="21"/>
                    </w:rPr>
                    <w:t>片区：科创中心禁止化学原料及化学制品制造业生产性项目入驻。</w:t>
                  </w:r>
                </w:p>
              </w:tc>
              <w:tc>
                <w:tcPr>
                  <w:tcW w:w="3248" w:type="dxa"/>
                  <w:tcBorders>
                    <w:tl2br w:val="nil"/>
                    <w:tr2bl w:val="nil"/>
                  </w:tcBorders>
                  <w:vAlign w:val="center"/>
                </w:tcPr>
                <w:p w14:paraId="0A9AE471">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本项目位于</w:t>
                  </w:r>
                  <w:r>
                    <w:rPr>
                      <w:rFonts w:hint="eastAsia" w:ascii="Times New Roman" w:hAnsi="Times New Roman" w:cs="Times New Roman"/>
                      <w:b w:val="0"/>
                      <w:bCs w:val="0"/>
                      <w:sz w:val="21"/>
                      <w:szCs w:val="21"/>
                      <w:lang w:eastAsia="zh-CN"/>
                    </w:rPr>
                    <w:t>新乡市新能源电池专业园区标北路11号3A号厂房</w:t>
                  </w:r>
                  <w:r>
                    <w:rPr>
                      <w:rFonts w:ascii="Times New Roman" w:hAnsi="Times New Roman" w:cs="Times New Roman"/>
                      <w:b w:val="0"/>
                      <w:bCs w:val="0"/>
                      <w:sz w:val="21"/>
                      <w:szCs w:val="21"/>
                    </w:rPr>
                    <w:t>，属于新乡市新能源电池专业园区</w:t>
                  </w:r>
                  <w:r>
                    <w:rPr>
                      <w:rFonts w:hint="eastAsia" w:ascii="Times New Roman" w:hAnsi="Times New Roman" w:cs="Times New Roman"/>
                      <w:b w:val="0"/>
                      <w:bCs w:val="0"/>
                      <w:sz w:val="21"/>
                      <w:szCs w:val="21"/>
                    </w:rPr>
                    <w:t>中片区。</w:t>
                  </w:r>
                  <w:r>
                    <w:rPr>
                      <w:rFonts w:ascii="Times New Roman" w:hAnsi="Times New Roman" w:cs="Times New Roman"/>
                      <w:b w:val="0"/>
                      <w:bCs w:val="0"/>
                      <w:sz w:val="21"/>
                      <w:szCs w:val="21"/>
                    </w:rPr>
                    <w:t>本项目属于</w:t>
                  </w:r>
                  <w:r>
                    <w:rPr>
                      <w:rFonts w:hint="eastAsia" w:ascii="Times New Roman" w:hAnsi="Times New Roman" w:cs="Times New Roman"/>
                      <w:b w:val="0"/>
                      <w:bCs w:val="0"/>
                      <w:sz w:val="21"/>
                      <w:szCs w:val="21"/>
                    </w:rPr>
                    <w:t>棉纺织及印染精加工业</w:t>
                  </w:r>
                  <w:r>
                    <w:rPr>
                      <w:rFonts w:ascii="Times New Roman" w:hAnsi="Times New Roman" w:cs="Times New Roman"/>
                      <w:b w:val="0"/>
                      <w:bCs w:val="0"/>
                      <w:sz w:val="21"/>
                      <w:szCs w:val="21"/>
                    </w:rPr>
                    <w:t>，不属于电镀项目。</w:t>
                  </w:r>
                </w:p>
              </w:tc>
              <w:tc>
                <w:tcPr>
                  <w:tcW w:w="738" w:type="dxa"/>
                  <w:tcBorders>
                    <w:tl2br w:val="nil"/>
                    <w:tr2bl w:val="nil"/>
                  </w:tcBorders>
                  <w:vAlign w:val="center"/>
                </w:tcPr>
                <w:p w14:paraId="675D9B9D">
                  <w:pPr>
                    <w:spacing w:line="240" w:lineRule="auto"/>
                    <w:ind w:firstLine="0" w:firstLineChars="0"/>
                    <w:jc w:val="center"/>
                    <w:rPr>
                      <w:sz w:val="21"/>
                      <w:szCs w:val="21"/>
                    </w:rPr>
                  </w:pPr>
                  <w:r>
                    <w:rPr>
                      <w:sz w:val="21"/>
                      <w:szCs w:val="21"/>
                    </w:rPr>
                    <w:t>不</w:t>
                  </w:r>
                  <w:r>
                    <w:rPr>
                      <w:rFonts w:hint="eastAsia"/>
                      <w:sz w:val="21"/>
                      <w:szCs w:val="21"/>
                    </w:rPr>
                    <w:t>属于</w:t>
                  </w:r>
                </w:p>
              </w:tc>
            </w:tr>
            <w:tr w14:paraId="7BB6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restart"/>
                  <w:tcBorders>
                    <w:tl2br w:val="nil"/>
                    <w:tr2bl w:val="nil"/>
                  </w:tcBorders>
                  <w:vAlign w:val="center"/>
                </w:tcPr>
                <w:p w14:paraId="067EECDB">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污染物排放管控</w:t>
                  </w:r>
                </w:p>
              </w:tc>
              <w:tc>
                <w:tcPr>
                  <w:tcW w:w="3421" w:type="dxa"/>
                  <w:tcBorders>
                    <w:tl2br w:val="nil"/>
                    <w:tr2bl w:val="nil"/>
                  </w:tcBorders>
                  <w:vAlign w:val="center"/>
                </w:tcPr>
                <w:p w14:paraId="02EE83D6">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1.禁止新建燃煤锅炉项目。</w:t>
                  </w:r>
                </w:p>
              </w:tc>
              <w:tc>
                <w:tcPr>
                  <w:tcW w:w="3248" w:type="dxa"/>
                  <w:tcBorders>
                    <w:tl2br w:val="nil"/>
                    <w:tr2bl w:val="nil"/>
                  </w:tcBorders>
                  <w:vAlign w:val="center"/>
                </w:tcPr>
                <w:p w14:paraId="0FB44C1A">
                  <w:pPr>
                    <w:pStyle w:val="103"/>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本项目不涉及锅炉。</w:t>
                  </w:r>
                </w:p>
              </w:tc>
              <w:tc>
                <w:tcPr>
                  <w:tcW w:w="738" w:type="dxa"/>
                  <w:tcBorders>
                    <w:tl2br w:val="nil"/>
                    <w:tr2bl w:val="nil"/>
                  </w:tcBorders>
                  <w:vAlign w:val="center"/>
                </w:tcPr>
                <w:p w14:paraId="48EEDC65">
                  <w:pPr>
                    <w:spacing w:line="240" w:lineRule="auto"/>
                    <w:ind w:firstLine="0" w:firstLineChars="0"/>
                    <w:jc w:val="center"/>
                    <w:rPr>
                      <w:sz w:val="21"/>
                      <w:szCs w:val="21"/>
                    </w:rPr>
                  </w:pPr>
                  <w:r>
                    <w:rPr>
                      <w:sz w:val="21"/>
                      <w:szCs w:val="21"/>
                    </w:rPr>
                    <w:t>不涉及</w:t>
                  </w:r>
                </w:p>
              </w:tc>
            </w:tr>
            <w:tr w14:paraId="4C87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6F4AB140">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421" w:type="dxa"/>
                  <w:tcBorders>
                    <w:tl2br w:val="nil"/>
                    <w:tr2bl w:val="nil"/>
                  </w:tcBorders>
                  <w:vAlign w:val="center"/>
                </w:tcPr>
                <w:p w14:paraId="34443F93">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2.入驻企业使用溶剂型涂料时，调漆、喷漆、流平、烘干、清洗等涉VOCs工序禁止采用低效治理技术。</w:t>
                  </w:r>
                </w:p>
              </w:tc>
              <w:tc>
                <w:tcPr>
                  <w:tcW w:w="3248" w:type="dxa"/>
                  <w:tcBorders>
                    <w:tl2br w:val="nil"/>
                    <w:tr2bl w:val="nil"/>
                  </w:tcBorders>
                  <w:vAlign w:val="center"/>
                </w:tcPr>
                <w:p w14:paraId="32905F07">
                  <w:pPr>
                    <w:pStyle w:val="103"/>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本项目不涉及使用溶剂型涂料。</w:t>
                  </w:r>
                </w:p>
              </w:tc>
              <w:tc>
                <w:tcPr>
                  <w:tcW w:w="738" w:type="dxa"/>
                  <w:tcBorders>
                    <w:tl2br w:val="nil"/>
                    <w:tr2bl w:val="nil"/>
                  </w:tcBorders>
                  <w:vAlign w:val="center"/>
                </w:tcPr>
                <w:p w14:paraId="35A1EE04">
                  <w:pPr>
                    <w:spacing w:line="240" w:lineRule="auto"/>
                    <w:ind w:firstLine="0" w:firstLineChars="0"/>
                    <w:jc w:val="center"/>
                    <w:rPr>
                      <w:sz w:val="21"/>
                      <w:szCs w:val="21"/>
                    </w:rPr>
                  </w:pPr>
                  <w:r>
                    <w:rPr>
                      <w:sz w:val="21"/>
                      <w:szCs w:val="21"/>
                    </w:rPr>
                    <w:t>不涉及</w:t>
                  </w:r>
                </w:p>
              </w:tc>
            </w:tr>
            <w:tr w14:paraId="550B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vMerge w:val="continue"/>
                  <w:tcBorders>
                    <w:tl2br w:val="nil"/>
                    <w:tr2bl w:val="nil"/>
                  </w:tcBorders>
                  <w:vAlign w:val="center"/>
                </w:tcPr>
                <w:p w14:paraId="5C7EF50C">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p>
              </w:tc>
              <w:tc>
                <w:tcPr>
                  <w:tcW w:w="3421" w:type="dxa"/>
                  <w:tcBorders>
                    <w:tl2br w:val="nil"/>
                    <w:tr2bl w:val="nil"/>
                  </w:tcBorders>
                  <w:vAlign w:val="center"/>
                </w:tcPr>
                <w:p w14:paraId="686EB6FC">
                  <w:pPr>
                    <w:pStyle w:val="103"/>
                    <w:spacing w:before="0" w:beforeAutospacing="0" w:after="0" w:afterAutospacing="0" w:line="240" w:lineRule="auto"/>
                    <w:ind w:left="0" w:firstLine="0" w:firstLineChars="0"/>
                    <w:jc w:val="both"/>
                    <w:outlineLvl w:val="9"/>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rPr>
                    <w:t>3.禁止建设生产和使用高VOCs含量的溶剂型涂料、油墨、胶粘剂项目，限制喷漆工序使用含苯漆料。</w:t>
                  </w:r>
                </w:p>
              </w:tc>
              <w:tc>
                <w:tcPr>
                  <w:tcW w:w="3248" w:type="dxa"/>
                  <w:tcBorders>
                    <w:tl2br w:val="nil"/>
                    <w:tr2bl w:val="nil"/>
                  </w:tcBorders>
                  <w:vAlign w:val="center"/>
                </w:tcPr>
                <w:p w14:paraId="4F255BEA">
                  <w:pPr>
                    <w:pStyle w:val="103"/>
                    <w:spacing w:before="0" w:beforeAutospacing="0" w:after="0" w:afterAutospacing="0" w:line="240" w:lineRule="auto"/>
                    <w:ind w:left="0" w:firstLine="0" w:firstLineChars="0"/>
                    <w:jc w:val="both"/>
                    <w:outlineLvl w:val="9"/>
                    <w:rPr>
                      <w:rFonts w:ascii="Times New Roman" w:hAnsi="Times New Roman" w:cs="Times New Roman"/>
                      <w:b w:val="0"/>
                      <w:bCs w:val="0"/>
                      <w:color w:val="auto"/>
                      <w:sz w:val="21"/>
                      <w:szCs w:val="21"/>
                      <w:highlight w:val="none"/>
                    </w:rPr>
                  </w:pPr>
                  <w:r>
                    <w:rPr>
                      <w:rFonts w:ascii="Times New Roman" w:hAnsi="Times New Roman" w:cs="Times New Roman"/>
                      <w:b w:val="0"/>
                      <w:bCs w:val="0"/>
                      <w:color w:val="auto"/>
                      <w:sz w:val="21"/>
                      <w:szCs w:val="21"/>
                      <w:highlight w:val="none"/>
                      <w:lang w:val="zh-CN"/>
                    </w:rPr>
                    <w:t>项目</w:t>
                  </w:r>
                  <w:r>
                    <w:rPr>
                      <w:rFonts w:hint="eastAsia" w:ascii="Times New Roman" w:hAnsi="Times New Roman" w:cs="Times New Roman"/>
                      <w:b w:val="0"/>
                      <w:bCs w:val="0"/>
                      <w:color w:val="auto"/>
                      <w:sz w:val="21"/>
                      <w:szCs w:val="21"/>
                      <w:highlight w:val="none"/>
                      <w:lang w:val="zh-CN"/>
                    </w:rPr>
                    <w:t>使用</w:t>
                  </w:r>
                  <w:r>
                    <w:rPr>
                      <w:rFonts w:hint="eastAsia" w:ascii="Times New Roman" w:hAnsi="Times New Roman" w:cs="Times New Roman"/>
                      <w:b w:val="0"/>
                      <w:bCs w:val="0"/>
                      <w:color w:val="auto"/>
                      <w:sz w:val="21"/>
                      <w:szCs w:val="21"/>
                      <w:highlight w:val="none"/>
                      <w:lang w:eastAsia="zh-CN"/>
                    </w:rPr>
                    <w:t>水性丙烯酸油墨</w:t>
                  </w:r>
                  <w:r>
                    <w:rPr>
                      <w:rFonts w:hint="eastAsia" w:ascii="Times New Roman" w:hAnsi="Times New Roman" w:cs="Times New Roman"/>
                      <w:b w:val="0"/>
                      <w:bCs w:val="0"/>
                      <w:color w:val="auto"/>
                      <w:sz w:val="21"/>
                      <w:szCs w:val="21"/>
                      <w:highlight w:val="none"/>
                      <w:lang w:val="zh-CN"/>
                    </w:rPr>
                    <w:t>符合</w:t>
                  </w:r>
                  <w:r>
                    <w:rPr>
                      <w:rFonts w:hint="eastAsia" w:ascii="Times New Roman" w:hAnsi="Times New Roman" w:cs="Times New Roman"/>
                      <w:b w:val="0"/>
                      <w:bCs w:val="0"/>
                      <w:color w:val="auto"/>
                      <w:sz w:val="21"/>
                      <w:szCs w:val="21"/>
                      <w:highlight w:val="none"/>
                      <w:lang w:eastAsia="zh-CN"/>
                    </w:rPr>
                    <w:t>《油墨中可挥发性有机化合物（VOCs）含量限值》（GB38507-2020）、水性丙烯酸胶浆</w:t>
                  </w:r>
                  <w:r>
                    <w:rPr>
                      <w:rFonts w:hint="eastAsia" w:ascii="Times New Roman" w:hAnsi="Times New Roman" w:cs="Times New Roman"/>
                      <w:b w:val="0"/>
                      <w:bCs w:val="0"/>
                      <w:color w:val="auto"/>
                      <w:sz w:val="21"/>
                      <w:szCs w:val="21"/>
                      <w:highlight w:val="none"/>
                      <w:lang w:val="zh-CN"/>
                    </w:rPr>
                    <w:t>符合</w:t>
                  </w:r>
                  <w:r>
                    <w:rPr>
                      <w:rFonts w:hint="eastAsia" w:ascii="Times New Roman" w:hAnsi="Times New Roman" w:cs="Times New Roman"/>
                      <w:b w:val="0"/>
                      <w:bCs w:val="0"/>
                      <w:color w:val="auto"/>
                      <w:sz w:val="21"/>
                      <w:szCs w:val="21"/>
                      <w:highlight w:val="none"/>
                    </w:rPr>
                    <w:t>《胶粘剂挥发性有机化合物限值》（GB 33372-2020）限值要求</w:t>
                  </w:r>
                  <w:r>
                    <w:rPr>
                      <w:rFonts w:hint="eastAsia" w:ascii="Times New Roman" w:hAnsi="Times New Roman" w:cs="Times New Roman"/>
                      <w:b w:val="0"/>
                      <w:bCs w:val="0"/>
                      <w:color w:val="auto"/>
                      <w:sz w:val="21"/>
                      <w:szCs w:val="21"/>
                      <w:highlight w:val="none"/>
                      <w:lang w:eastAsia="zh-CN"/>
                    </w:rPr>
                    <w:t>，属于低VOCs含量的油墨、胶粘剂</w:t>
                  </w:r>
                  <w:r>
                    <w:rPr>
                      <w:rFonts w:ascii="Times New Roman" w:hAnsi="Times New Roman" w:cs="Times New Roman"/>
                      <w:b w:val="0"/>
                      <w:bCs w:val="0"/>
                      <w:color w:val="auto"/>
                      <w:sz w:val="21"/>
                      <w:szCs w:val="21"/>
                      <w:highlight w:val="none"/>
                    </w:rPr>
                    <w:t>。</w:t>
                  </w:r>
                </w:p>
              </w:tc>
              <w:tc>
                <w:tcPr>
                  <w:tcW w:w="738" w:type="dxa"/>
                  <w:tcBorders>
                    <w:tl2br w:val="nil"/>
                    <w:tr2bl w:val="nil"/>
                  </w:tcBorders>
                  <w:vAlign w:val="center"/>
                </w:tcPr>
                <w:p w14:paraId="63601DBD">
                  <w:pPr>
                    <w:spacing w:line="240" w:lineRule="auto"/>
                    <w:ind w:firstLine="0" w:firstLineChars="0"/>
                    <w:jc w:val="center"/>
                    <w:rPr>
                      <w:sz w:val="21"/>
                      <w:szCs w:val="21"/>
                    </w:rPr>
                  </w:pPr>
                  <w:r>
                    <w:rPr>
                      <w:sz w:val="21"/>
                      <w:szCs w:val="21"/>
                    </w:rPr>
                    <w:t>不涉及</w:t>
                  </w:r>
                </w:p>
              </w:tc>
            </w:tr>
            <w:tr w14:paraId="758E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73" w:type="dxa"/>
                  <w:tcBorders>
                    <w:tl2br w:val="nil"/>
                    <w:tr2bl w:val="nil"/>
                  </w:tcBorders>
                  <w:vAlign w:val="center"/>
                </w:tcPr>
                <w:p w14:paraId="56051ED7">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资源开发利用要求</w:t>
                  </w:r>
                </w:p>
              </w:tc>
              <w:tc>
                <w:tcPr>
                  <w:tcW w:w="3421" w:type="dxa"/>
                  <w:tcBorders>
                    <w:tl2br w:val="nil"/>
                    <w:tr2bl w:val="nil"/>
                  </w:tcBorders>
                  <w:vAlign w:val="center"/>
                </w:tcPr>
                <w:p w14:paraId="2D6FD314">
                  <w:pPr>
                    <w:pStyle w:val="103"/>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禁止入驻重金属利用率和单位产品每次清洗取水量低于国内清洁生产先进水平的项目。</w:t>
                  </w:r>
                </w:p>
              </w:tc>
              <w:tc>
                <w:tcPr>
                  <w:tcW w:w="3248" w:type="dxa"/>
                  <w:tcBorders>
                    <w:tl2br w:val="nil"/>
                    <w:tr2bl w:val="nil"/>
                  </w:tcBorders>
                  <w:vAlign w:val="center"/>
                </w:tcPr>
                <w:p w14:paraId="3B6C6D16">
                  <w:pPr>
                    <w:pStyle w:val="103"/>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本项目不涉及重金属。</w:t>
                  </w:r>
                </w:p>
              </w:tc>
              <w:tc>
                <w:tcPr>
                  <w:tcW w:w="738" w:type="dxa"/>
                  <w:tcBorders>
                    <w:tl2br w:val="nil"/>
                    <w:tr2bl w:val="nil"/>
                  </w:tcBorders>
                  <w:vAlign w:val="center"/>
                </w:tcPr>
                <w:p w14:paraId="716148A4">
                  <w:pPr>
                    <w:spacing w:line="240" w:lineRule="auto"/>
                    <w:ind w:firstLine="0" w:firstLineChars="0"/>
                    <w:jc w:val="center"/>
                    <w:rPr>
                      <w:sz w:val="21"/>
                      <w:szCs w:val="21"/>
                    </w:rPr>
                  </w:pPr>
                  <w:r>
                    <w:rPr>
                      <w:sz w:val="21"/>
                      <w:szCs w:val="21"/>
                    </w:rPr>
                    <w:t>不涉及</w:t>
                  </w:r>
                </w:p>
              </w:tc>
            </w:tr>
          </w:tbl>
          <w:p w14:paraId="5C6E7A8A">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rPr>
                <w:rFonts w:hint="eastAsia"/>
                <w:lang w:eastAsia="zh-CN"/>
              </w:rPr>
              <w:t>综上，项目建设符合</w:t>
            </w:r>
            <w:r>
              <w:t>新乡市新能源电池专业园区总体发展规划要求。</w:t>
            </w:r>
          </w:p>
          <w:p w14:paraId="1F277206">
            <w:pPr>
              <w:keepNext w:val="0"/>
              <w:keepLines w:val="0"/>
              <w:pageBreakBefore w:val="0"/>
              <w:widowControl w:val="0"/>
              <w:kinsoku/>
              <w:wordWrap/>
              <w:overflowPunct/>
              <w:topLinePunct w:val="0"/>
              <w:autoSpaceDE/>
              <w:autoSpaceDN/>
              <w:bidi w:val="0"/>
              <w:adjustRightInd w:val="0"/>
              <w:snapToGrid w:val="0"/>
              <w:spacing w:line="520" w:lineRule="exact"/>
              <w:ind w:firstLine="482"/>
              <w:textAlignment w:val="auto"/>
              <w:rPr>
                <w:b/>
                <w:bCs/>
              </w:rPr>
            </w:pPr>
            <w:r>
              <w:rPr>
                <w:b/>
                <w:bCs/>
              </w:rPr>
              <w:t>2、本项目与新乡市新能源电池专业园区总体发展规划环评结论及审查意见的相符性分析</w:t>
            </w:r>
          </w:p>
          <w:p w14:paraId="34EDF916">
            <w:pPr>
              <w:keepNext w:val="0"/>
              <w:keepLines w:val="0"/>
              <w:pageBreakBefore w:val="0"/>
              <w:widowControl w:val="0"/>
              <w:kinsoku/>
              <w:wordWrap/>
              <w:overflowPunct/>
              <w:topLinePunct w:val="0"/>
              <w:autoSpaceDE/>
              <w:autoSpaceDN/>
              <w:bidi w:val="0"/>
              <w:adjustRightInd w:val="0"/>
              <w:snapToGrid w:val="0"/>
              <w:spacing w:line="520" w:lineRule="exact"/>
              <w:ind w:firstLine="960" w:firstLineChars="400"/>
              <w:textAlignment w:val="auto"/>
              <w:rPr>
                <w:rFonts w:eastAsia="黑体"/>
              </w:rPr>
            </w:pPr>
            <w:r>
              <w:rPr>
                <w:rFonts w:eastAsia="黑体"/>
              </w:rPr>
              <w:t>表</w:t>
            </w:r>
            <w:r>
              <w:rPr>
                <w:rFonts w:hint="eastAsia" w:eastAsia="黑体"/>
              </w:rPr>
              <w:t>1-</w:t>
            </w:r>
            <w:r>
              <w:rPr>
                <w:rFonts w:eastAsia="黑体"/>
              </w:rPr>
              <w:t xml:space="preserve">4  </w:t>
            </w:r>
            <w:r>
              <w:rPr>
                <w:rFonts w:hint="eastAsia" w:eastAsia="黑体"/>
                <w:lang w:val="en-US" w:eastAsia="zh-CN"/>
              </w:rPr>
              <w:t xml:space="preserve">   </w:t>
            </w:r>
            <w:r>
              <w:rPr>
                <w:rFonts w:eastAsia="黑体"/>
              </w:rPr>
              <w:t>与集聚区规划环评结论及审查意见相符性分析一览表</w:t>
            </w:r>
          </w:p>
          <w:tbl>
            <w:tblPr>
              <w:tblStyle w:val="26"/>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3"/>
              <w:gridCol w:w="4490"/>
              <w:gridCol w:w="2856"/>
              <w:gridCol w:w="794"/>
            </w:tblGrid>
            <w:tr w14:paraId="6D5D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3" w:type="dxa"/>
                  <w:tcBorders>
                    <w:tl2br w:val="nil"/>
                    <w:tr2bl w:val="nil"/>
                  </w:tcBorders>
                  <w:vAlign w:val="center"/>
                </w:tcPr>
                <w:p w14:paraId="38EA173F">
                  <w:pPr>
                    <w:adjustRightInd w:val="0"/>
                    <w:snapToGrid w:val="0"/>
                    <w:spacing w:line="240" w:lineRule="auto"/>
                    <w:ind w:firstLine="0" w:firstLineChars="0"/>
                    <w:jc w:val="center"/>
                    <w:rPr>
                      <w:b/>
                      <w:bCs/>
                      <w:sz w:val="21"/>
                      <w:szCs w:val="21"/>
                    </w:rPr>
                  </w:pPr>
                  <w:r>
                    <w:rPr>
                      <w:b/>
                      <w:bCs/>
                      <w:sz w:val="21"/>
                      <w:szCs w:val="21"/>
                    </w:rPr>
                    <w:t>序号</w:t>
                  </w:r>
                </w:p>
              </w:tc>
              <w:tc>
                <w:tcPr>
                  <w:tcW w:w="4490" w:type="dxa"/>
                  <w:tcBorders>
                    <w:tl2br w:val="nil"/>
                    <w:tr2bl w:val="nil"/>
                  </w:tcBorders>
                  <w:vAlign w:val="center"/>
                </w:tcPr>
                <w:p w14:paraId="68CC78B3">
                  <w:pPr>
                    <w:adjustRightInd w:val="0"/>
                    <w:snapToGrid w:val="0"/>
                    <w:spacing w:line="240" w:lineRule="auto"/>
                    <w:ind w:firstLine="0" w:firstLineChars="0"/>
                    <w:jc w:val="center"/>
                    <w:rPr>
                      <w:b/>
                      <w:bCs/>
                      <w:sz w:val="21"/>
                      <w:szCs w:val="21"/>
                    </w:rPr>
                  </w:pPr>
                  <w:r>
                    <w:rPr>
                      <w:b/>
                      <w:bCs/>
                      <w:sz w:val="21"/>
                      <w:szCs w:val="21"/>
                    </w:rPr>
                    <w:t>规划环评结论及审查意见</w:t>
                  </w:r>
                </w:p>
              </w:tc>
              <w:tc>
                <w:tcPr>
                  <w:tcW w:w="2856" w:type="dxa"/>
                  <w:tcBorders>
                    <w:tl2br w:val="nil"/>
                    <w:tr2bl w:val="nil"/>
                  </w:tcBorders>
                  <w:vAlign w:val="center"/>
                </w:tcPr>
                <w:p w14:paraId="521A2ACC">
                  <w:pPr>
                    <w:adjustRightInd w:val="0"/>
                    <w:snapToGrid w:val="0"/>
                    <w:spacing w:line="240" w:lineRule="auto"/>
                    <w:ind w:firstLine="0" w:firstLineChars="0"/>
                    <w:jc w:val="center"/>
                    <w:rPr>
                      <w:b/>
                      <w:bCs/>
                      <w:sz w:val="21"/>
                      <w:szCs w:val="21"/>
                    </w:rPr>
                  </w:pPr>
                  <w:r>
                    <w:rPr>
                      <w:b/>
                      <w:bCs/>
                      <w:sz w:val="21"/>
                      <w:szCs w:val="21"/>
                    </w:rPr>
                    <w:t>本项目情况</w:t>
                  </w:r>
                </w:p>
              </w:tc>
              <w:tc>
                <w:tcPr>
                  <w:tcW w:w="794" w:type="dxa"/>
                  <w:tcBorders>
                    <w:tl2br w:val="nil"/>
                    <w:tr2bl w:val="nil"/>
                  </w:tcBorders>
                  <w:vAlign w:val="center"/>
                </w:tcPr>
                <w:p w14:paraId="11C1D348">
                  <w:pPr>
                    <w:adjustRightInd w:val="0"/>
                    <w:snapToGrid w:val="0"/>
                    <w:spacing w:line="240" w:lineRule="auto"/>
                    <w:ind w:firstLine="0" w:firstLineChars="0"/>
                    <w:jc w:val="center"/>
                    <w:rPr>
                      <w:b/>
                      <w:bCs/>
                      <w:sz w:val="21"/>
                      <w:szCs w:val="21"/>
                    </w:rPr>
                  </w:pPr>
                  <w:r>
                    <w:rPr>
                      <w:b/>
                      <w:bCs/>
                      <w:sz w:val="21"/>
                      <w:szCs w:val="21"/>
                    </w:rPr>
                    <w:t>相符性</w:t>
                  </w:r>
                </w:p>
              </w:tc>
            </w:tr>
            <w:tr w14:paraId="6525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63" w:type="dxa"/>
                  <w:gridSpan w:val="4"/>
                  <w:tcBorders>
                    <w:tl2br w:val="nil"/>
                    <w:tr2bl w:val="nil"/>
                  </w:tcBorders>
                  <w:vAlign w:val="center"/>
                </w:tcPr>
                <w:p w14:paraId="49F135BD">
                  <w:pPr>
                    <w:adjustRightInd w:val="0"/>
                    <w:snapToGrid w:val="0"/>
                    <w:spacing w:line="240" w:lineRule="auto"/>
                    <w:ind w:firstLine="0" w:firstLineChars="0"/>
                    <w:jc w:val="center"/>
                    <w:rPr>
                      <w:sz w:val="21"/>
                      <w:szCs w:val="21"/>
                    </w:rPr>
                  </w:pPr>
                  <w:r>
                    <w:rPr>
                      <w:b/>
                      <w:bCs/>
                      <w:sz w:val="21"/>
                      <w:szCs w:val="21"/>
                    </w:rPr>
                    <w:t>规划环评结论</w:t>
                  </w:r>
                </w:p>
              </w:tc>
            </w:tr>
            <w:tr w14:paraId="0712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3" w:type="dxa"/>
                  <w:tcBorders>
                    <w:tl2br w:val="nil"/>
                    <w:tr2bl w:val="nil"/>
                  </w:tcBorders>
                  <w:vAlign w:val="center"/>
                </w:tcPr>
                <w:p w14:paraId="0997E9EB">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1</w:t>
                  </w:r>
                </w:p>
              </w:tc>
              <w:tc>
                <w:tcPr>
                  <w:tcW w:w="4490" w:type="dxa"/>
                  <w:tcBorders>
                    <w:tl2br w:val="nil"/>
                    <w:tr2bl w:val="nil"/>
                  </w:tcBorders>
                  <w:vAlign w:val="center"/>
                </w:tcPr>
                <w:p w14:paraId="68D64198">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新乡市新能源电池专业园区发展规划 (2022-2035年)与上位规划、国家政策、相关产业政策和产业规划、生态环境保护规划等都具有较好的协调性；园区所在区域环境容量支撑能力有限，规划实施对区域环境会产生一定的影响，对资源和环境有一定的压力，规划实施中应严格实行深度治理并加强区域环境整治，降低各类污染物排放对区域环境的影响，提高资源利用效率，确保不突破环境质量底线、资源利用上线。在规划落实本次评价提出的各项优化调整建议、环境影响减缓措施和环境管理要求的前提下，在认真执行环境准入及负面清单，严把入区关的基础上，可以把规划实施的不利环境影响降到最低程度。公众参与调查显示，公众普遍支持园区的发展。</w:t>
                  </w:r>
                </w:p>
                <w:p w14:paraId="1E9B1335">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综上所述，从环境保护的角度看《新乡市新能源电池专业园区发展规划(2022-2035年)》实施可行。</w:t>
                  </w:r>
                </w:p>
              </w:tc>
              <w:tc>
                <w:tcPr>
                  <w:tcW w:w="2856" w:type="dxa"/>
                  <w:tcBorders>
                    <w:tl2br w:val="nil"/>
                    <w:tr2bl w:val="nil"/>
                  </w:tcBorders>
                  <w:vAlign w:val="center"/>
                </w:tcPr>
                <w:p w14:paraId="494AA455">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本项目位于</w:t>
                  </w:r>
                  <w:r>
                    <w:rPr>
                      <w:rFonts w:hint="eastAsia" w:ascii="Times New Roman" w:hAnsi="Times New Roman" w:cs="Times New Roman"/>
                      <w:b w:val="0"/>
                      <w:bCs w:val="0"/>
                      <w:sz w:val="21"/>
                      <w:szCs w:val="21"/>
                      <w:lang w:eastAsia="zh-CN"/>
                    </w:rPr>
                    <w:t>新乡市新能源电池专业园区标北路11号3A号厂房</w:t>
                  </w:r>
                  <w:r>
                    <w:rPr>
                      <w:rFonts w:ascii="Times New Roman" w:hAnsi="Times New Roman" w:cs="Times New Roman"/>
                      <w:b w:val="0"/>
                      <w:bCs w:val="0"/>
                      <w:sz w:val="21"/>
                      <w:szCs w:val="21"/>
                    </w:rPr>
                    <w:t>，项目为</w:t>
                  </w:r>
                  <w:r>
                    <w:rPr>
                      <w:rFonts w:hint="eastAsia" w:ascii="Times New Roman" w:hAnsi="Times New Roman" w:cs="Times New Roman"/>
                      <w:b w:val="0"/>
                      <w:bCs w:val="0"/>
                      <w:sz w:val="21"/>
                      <w:szCs w:val="21"/>
                      <w:lang w:eastAsia="zh-CN"/>
                    </w:rPr>
                    <w:t>新建项目</w:t>
                  </w:r>
                  <w:r>
                    <w:rPr>
                      <w:rFonts w:ascii="Times New Roman" w:hAnsi="Times New Roman" w:cs="Times New Roman"/>
                      <w:b w:val="0"/>
                      <w:bCs w:val="0"/>
                      <w:sz w:val="21"/>
                      <w:szCs w:val="21"/>
                    </w:rPr>
                    <w:t>，属于</w:t>
                  </w:r>
                  <w:r>
                    <w:rPr>
                      <w:rFonts w:hint="eastAsia" w:ascii="Times New Roman" w:hAnsi="Times New Roman" w:cs="Times New Roman"/>
                      <w:b w:val="0"/>
                      <w:bCs w:val="0"/>
                      <w:sz w:val="21"/>
                      <w:szCs w:val="21"/>
                    </w:rPr>
                    <w:t>棉纺织及印染精加工业</w:t>
                  </w:r>
                  <w:r>
                    <w:rPr>
                      <w:rFonts w:ascii="Times New Roman" w:hAnsi="Times New Roman" w:cs="Times New Roman"/>
                      <w:b w:val="0"/>
                      <w:bCs w:val="0"/>
                      <w:sz w:val="21"/>
                      <w:szCs w:val="21"/>
                    </w:rPr>
                    <w:t>，符合规划、国家政策、相关产业政策和产业规划、生态环境保护规划等政策。</w:t>
                  </w:r>
                </w:p>
              </w:tc>
              <w:tc>
                <w:tcPr>
                  <w:tcW w:w="794" w:type="dxa"/>
                  <w:tcBorders>
                    <w:tl2br w:val="nil"/>
                    <w:tr2bl w:val="nil"/>
                  </w:tcBorders>
                  <w:vAlign w:val="center"/>
                </w:tcPr>
                <w:p w14:paraId="7993F802">
                  <w:pPr>
                    <w:adjustRightInd w:val="0"/>
                    <w:snapToGrid w:val="0"/>
                    <w:spacing w:line="240" w:lineRule="auto"/>
                    <w:ind w:firstLine="0" w:firstLineChars="0"/>
                    <w:jc w:val="center"/>
                    <w:rPr>
                      <w:sz w:val="21"/>
                      <w:szCs w:val="21"/>
                    </w:rPr>
                  </w:pPr>
                  <w:r>
                    <w:rPr>
                      <w:sz w:val="21"/>
                      <w:szCs w:val="21"/>
                    </w:rPr>
                    <w:t>符合</w:t>
                  </w:r>
                </w:p>
              </w:tc>
            </w:tr>
            <w:tr w14:paraId="16C7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63" w:type="dxa"/>
                  <w:gridSpan w:val="4"/>
                  <w:tcBorders>
                    <w:tl2br w:val="nil"/>
                    <w:tr2bl w:val="nil"/>
                  </w:tcBorders>
                  <w:vAlign w:val="center"/>
                </w:tcPr>
                <w:p w14:paraId="1820E214">
                  <w:pPr>
                    <w:adjustRightInd w:val="0"/>
                    <w:snapToGrid w:val="0"/>
                    <w:spacing w:line="240" w:lineRule="auto"/>
                    <w:ind w:firstLine="0" w:firstLineChars="0"/>
                    <w:jc w:val="center"/>
                    <w:rPr>
                      <w:sz w:val="21"/>
                      <w:szCs w:val="21"/>
                    </w:rPr>
                  </w:pPr>
                  <w:r>
                    <w:rPr>
                      <w:b/>
                      <w:bCs/>
                      <w:sz w:val="21"/>
                      <w:szCs w:val="21"/>
                    </w:rPr>
                    <w:t>规划环评审查意见</w:t>
                  </w:r>
                </w:p>
              </w:tc>
            </w:tr>
            <w:tr w14:paraId="258A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23" w:type="dxa"/>
                  <w:tcBorders>
                    <w:tl2br w:val="nil"/>
                    <w:tr2bl w:val="nil"/>
                  </w:tcBorders>
                  <w:vAlign w:val="center"/>
                </w:tcPr>
                <w:p w14:paraId="7869BFE1">
                  <w:pPr>
                    <w:pStyle w:val="103"/>
                    <w:adjustRightInd w:val="0"/>
                    <w:snapToGrid w:val="0"/>
                    <w:spacing w:before="0" w:beforeAutospacing="0" w:after="0" w:afterAutospacing="0" w:line="240" w:lineRule="auto"/>
                    <w:ind w:left="0" w:firstLine="0" w:firstLineChars="0"/>
                    <w:jc w:val="center"/>
                    <w:outlineLvl w:val="9"/>
                    <w:rPr>
                      <w:rFonts w:ascii="Times New Roman" w:hAnsi="Times New Roman" w:cs="Times New Roman"/>
                      <w:b w:val="0"/>
                      <w:bCs w:val="0"/>
                      <w:sz w:val="21"/>
                      <w:szCs w:val="21"/>
                    </w:rPr>
                  </w:pPr>
                  <w:r>
                    <w:rPr>
                      <w:rFonts w:ascii="Times New Roman" w:hAnsi="Times New Roman" w:cs="Times New Roman"/>
                      <w:b w:val="0"/>
                      <w:bCs w:val="0"/>
                      <w:sz w:val="21"/>
                      <w:szCs w:val="21"/>
                    </w:rPr>
                    <w:t>2</w:t>
                  </w:r>
                </w:p>
              </w:tc>
              <w:tc>
                <w:tcPr>
                  <w:tcW w:w="4490" w:type="dxa"/>
                  <w:tcBorders>
                    <w:tl2br w:val="nil"/>
                    <w:tr2bl w:val="nil"/>
                  </w:tcBorders>
                  <w:vAlign w:val="center"/>
                </w:tcPr>
                <w:p w14:paraId="66EF22BC">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（四）严格控制污染物排放</w:t>
                  </w:r>
                </w:p>
                <w:p w14:paraId="6BC64117">
                  <w:pPr>
                    <w:pStyle w:val="103"/>
                    <w:adjustRightInd w:val="0"/>
                    <w:snapToGrid w:val="0"/>
                    <w:spacing w:before="0" w:beforeAutospacing="0" w:after="0" w:afterAutospacing="0" w:line="240" w:lineRule="auto"/>
                    <w:ind w:left="0" w:firstLine="0" w:firstLineChars="0"/>
                    <w:jc w:val="both"/>
                    <w:rPr>
                      <w:rFonts w:ascii="Times New Roman" w:hAnsi="Times New Roman" w:cs="Times New Roman"/>
                      <w:b w:val="0"/>
                      <w:bCs w:val="0"/>
                      <w:sz w:val="21"/>
                      <w:szCs w:val="21"/>
                    </w:rPr>
                  </w:pPr>
                  <w:r>
                    <w:rPr>
                      <w:rFonts w:ascii="Times New Roman" w:hAnsi="Times New Roman" w:cs="Times New Roman"/>
                      <w:b w:val="0"/>
                      <w:bCs w:val="0"/>
                      <w:sz w:val="21"/>
                      <w:szCs w:val="21"/>
                    </w:rPr>
                    <w:t>严格执行污染物排放总量控制制度，采取调整能源结构、加强污染治理等措施，严格控制烟粉尘、二氧化硫、氮氧化物、VOC</w:t>
                  </w:r>
                  <w:r>
                    <w:rPr>
                      <w:rFonts w:ascii="Times New Roman" w:hAnsi="Times New Roman" w:cs="Times New Roman"/>
                      <w:b w:val="0"/>
                      <w:bCs w:val="0"/>
                      <w:sz w:val="21"/>
                      <w:szCs w:val="21"/>
                      <w:vertAlign w:val="subscript"/>
                    </w:rPr>
                    <w:t>S</w:t>
                  </w:r>
                  <w:r>
                    <w:rPr>
                      <w:rFonts w:ascii="Times New Roman" w:hAnsi="Times New Roman" w:cs="Times New Roman"/>
                      <w:b w:val="0"/>
                      <w:bCs w:val="0"/>
                      <w:sz w:val="21"/>
                      <w:szCs w:val="21"/>
                    </w:rPr>
                    <w:t>等大气污染物的排放，大气污染物排放严格执行新的排放标准要求。园区所有废水应处理满足区域污水处理厂收水标准后进行集中处理。定期对地下水质进行监测，发现问题，及时采取有效防治措施，避免对地下水造成污染。</w:t>
                  </w:r>
                </w:p>
                <w:p w14:paraId="5894323C">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按照循环经济的要求，提高固体废物的综合利用率，一般工业固废回收或综合利用，外排固废应统一运至专用处置场安全处置，严禁企业随意弃置；危险废物要做到安全处置，危险废物的收集、贮存应满足《危险废物贮存污染控制标准》（GB18597-2001）及修改单的要求，并送有资质的危险废物处置单位处置，危险废物的转运应执行《危险废物转移管理办法》的有关规定。</w:t>
                  </w:r>
                </w:p>
              </w:tc>
              <w:tc>
                <w:tcPr>
                  <w:tcW w:w="2856" w:type="dxa"/>
                  <w:tcBorders>
                    <w:tl2br w:val="nil"/>
                    <w:tr2bl w:val="nil"/>
                  </w:tcBorders>
                  <w:vAlign w:val="center"/>
                </w:tcPr>
                <w:p w14:paraId="4E3C2901">
                  <w:pPr>
                    <w:pStyle w:val="103"/>
                    <w:adjustRightInd w:val="0"/>
                    <w:snapToGrid w:val="0"/>
                    <w:spacing w:before="0" w:beforeAutospacing="0" w:after="0" w:afterAutospacing="0" w:line="240" w:lineRule="auto"/>
                    <w:ind w:left="0" w:firstLine="0" w:firstLineChars="0"/>
                    <w:jc w:val="both"/>
                    <w:outlineLvl w:val="9"/>
                    <w:rPr>
                      <w:rFonts w:hint="eastAsia" w:ascii="Times New Roman" w:hAnsi="Times New Roman" w:eastAsia="宋体" w:cs="Times New Roman"/>
                      <w:b w:val="0"/>
                      <w:bCs w:val="0"/>
                      <w:sz w:val="21"/>
                      <w:szCs w:val="21"/>
                      <w:lang w:eastAsia="zh-CN"/>
                    </w:rPr>
                  </w:pPr>
                  <w:r>
                    <w:rPr>
                      <w:rFonts w:hint="eastAsia" w:ascii="Times New Roman" w:hAnsi="Times New Roman" w:cs="Times New Roman"/>
                      <w:b w:val="0"/>
                      <w:bCs w:val="0"/>
                      <w:sz w:val="21"/>
                      <w:szCs w:val="21"/>
                      <w:lang w:eastAsia="zh-CN"/>
                    </w:rPr>
                    <w:t>（</w:t>
                  </w:r>
                  <w:r>
                    <w:rPr>
                      <w:rFonts w:hint="eastAsia" w:ascii="Times New Roman" w:hAnsi="Times New Roman" w:cs="Times New Roman"/>
                      <w:b w:val="0"/>
                      <w:bCs w:val="0"/>
                      <w:sz w:val="21"/>
                      <w:szCs w:val="21"/>
                      <w:lang w:val="en-US" w:eastAsia="zh-CN"/>
                    </w:rPr>
                    <w:t>1</w:t>
                  </w:r>
                  <w:r>
                    <w:rPr>
                      <w:rFonts w:hint="eastAsia" w:ascii="Times New Roman" w:hAnsi="Times New Roman" w:cs="Times New Roman"/>
                      <w:b w:val="0"/>
                      <w:bCs w:val="0"/>
                      <w:sz w:val="21"/>
                      <w:szCs w:val="21"/>
                      <w:lang w:eastAsia="zh-CN"/>
                    </w:rPr>
                    <w:t>）</w:t>
                  </w:r>
                  <w:r>
                    <w:rPr>
                      <w:rFonts w:ascii="Times New Roman" w:hAnsi="Times New Roman" w:cs="Times New Roman"/>
                      <w:b w:val="0"/>
                      <w:bCs w:val="0"/>
                      <w:sz w:val="21"/>
                      <w:szCs w:val="21"/>
                    </w:rPr>
                    <w:t>本项目废气</w:t>
                  </w:r>
                  <w:r>
                    <w:rPr>
                      <w:rFonts w:hint="eastAsia" w:ascii="Times New Roman" w:hAnsi="Times New Roman" w:cs="Times New Roman"/>
                      <w:b w:val="0"/>
                      <w:bCs w:val="0"/>
                      <w:sz w:val="21"/>
                      <w:szCs w:val="21"/>
                      <w:lang w:eastAsia="zh-CN"/>
                    </w:rPr>
                    <w:t>主要</w:t>
                  </w:r>
                  <w:r>
                    <w:rPr>
                      <w:rFonts w:ascii="Times New Roman" w:hAnsi="Times New Roman" w:cs="Times New Roman"/>
                      <w:b w:val="0"/>
                      <w:bCs w:val="0"/>
                      <w:sz w:val="21"/>
                      <w:szCs w:val="21"/>
                    </w:rPr>
                    <w:t>为颗粒物</w:t>
                  </w:r>
                  <w:r>
                    <w:rPr>
                      <w:rFonts w:hint="eastAsia" w:ascii="Times New Roman" w:hAnsi="Times New Roman" w:cs="Times New Roman"/>
                      <w:b w:val="0"/>
                      <w:bCs w:val="0"/>
                      <w:sz w:val="21"/>
                      <w:szCs w:val="21"/>
                    </w:rPr>
                    <w:t>、非甲烷总烃</w:t>
                  </w:r>
                  <w:r>
                    <w:rPr>
                      <w:rFonts w:ascii="Times New Roman" w:hAnsi="Times New Roman" w:cs="Times New Roman"/>
                      <w:b w:val="0"/>
                      <w:bCs w:val="0"/>
                      <w:sz w:val="21"/>
                      <w:szCs w:val="21"/>
                    </w:rPr>
                    <w:t>，污染物排放总量控制</w:t>
                  </w:r>
                  <w:r>
                    <w:rPr>
                      <w:rFonts w:hint="eastAsia" w:ascii="Times New Roman" w:hAnsi="Times New Roman" w:cs="Times New Roman"/>
                      <w:b w:val="0"/>
                      <w:bCs w:val="0"/>
                      <w:sz w:val="21"/>
                      <w:szCs w:val="21"/>
                      <w:lang w:eastAsia="zh-CN"/>
                    </w:rPr>
                    <w:t>指标要求；非甲烷总烃、颗粒物的排放速率和浓度满足《大气污染物综合排放标准》（GB16297-1996）表2中二级排放标准，同时满足《河南省重污染天气重点行业应急减排措施制定技术指南（2024年修订版）》 “纺织印染与服饰制造”绩效分级A级要求和《新乡市生态环境局关于进一步规范工业企业颗粒物排放限值的通知》限值要求。</w:t>
                  </w:r>
                </w:p>
                <w:p w14:paraId="690A319E">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hint="eastAsia" w:ascii="Times New Roman" w:hAnsi="Times New Roman" w:cs="Times New Roman"/>
                      <w:b w:val="0"/>
                      <w:bCs w:val="0"/>
                      <w:sz w:val="21"/>
                      <w:szCs w:val="21"/>
                      <w:lang w:eastAsia="zh-CN"/>
                    </w:rPr>
                    <w:t>（</w:t>
                  </w:r>
                  <w:r>
                    <w:rPr>
                      <w:rFonts w:hint="eastAsia" w:ascii="Times New Roman" w:hAnsi="Times New Roman" w:cs="Times New Roman"/>
                      <w:b w:val="0"/>
                      <w:bCs w:val="0"/>
                      <w:sz w:val="21"/>
                      <w:szCs w:val="21"/>
                      <w:lang w:val="en-US" w:eastAsia="zh-CN"/>
                    </w:rPr>
                    <w:t>2</w:t>
                  </w:r>
                  <w:r>
                    <w:rPr>
                      <w:rFonts w:hint="eastAsia" w:ascii="Times New Roman" w:hAnsi="Times New Roman" w:cs="Times New Roman"/>
                      <w:b w:val="0"/>
                      <w:bCs w:val="0"/>
                      <w:sz w:val="21"/>
                      <w:szCs w:val="21"/>
                      <w:lang w:eastAsia="zh-CN"/>
                    </w:rPr>
                    <w:t>）</w:t>
                  </w:r>
                  <w:r>
                    <w:rPr>
                      <w:rFonts w:ascii="Times New Roman" w:hAnsi="Times New Roman" w:cs="Times New Roman"/>
                      <w:b w:val="0"/>
                      <w:bCs w:val="0"/>
                      <w:sz w:val="21"/>
                      <w:szCs w:val="21"/>
                    </w:rPr>
                    <w:t>本项目生活污水经厂区化粪池处理后</w:t>
                  </w:r>
                  <w:r>
                    <w:rPr>
                      <w:rFonts w:hint="eastAsia" w:ascii="Times New Roman" w:hAnsi="Times New Roman" w:cs="Times New Roman"/>
                      <w:b w:val="0"/>
                      <w:bCs w:val="0"/>
                      <w:sz w:val="21"/>
                      <w:szCs w:val="21"/>
                    </w:rPr>
                    <w:t>排入</w:t>
                  </w:r>
                  <w:r>
                    <w:rPr>
                      <w:rFonts w:ascii="Times New Roman" w:hAnsi="Times New Roman" w:cs="Times New Roman"/>
                      <w:b w:val="0"/>
                      <w:bCs w:val="0"/>
                      <w:sz w:val="21"/>
                      <w:szCs w:val="21"/>
                    </w:rPr>
                    <w:t>河南新投水务有限公司（小尚庄污水处理厂）</w:t>
                  </w:r>
                  <w:r>
                    <w:rPr>
                      <w:rFonts w:hint="eastAsia" w:ascii="Times New Roman" w:hAnsi="Times New Roman" w:cs="Times New Roman"/>
                      <w:b w:val="0"/>
                      <w:bCs w:val="0"/>
                      <w:sz w:val="21"/>
                      <w:szCs w:val="21"/>
                      <w:lang w:eastAsia="zh-CN"/>
                    </w:rPr>
                    <w:t>，外排废水满足《污水综合排放标准》(GB8978-1996)三级标准；河南新投水务有限公司（小尚庄污水处理厂）收水标准</w:t>
                  </w:r>
                  <w:r>
                    <w:rPr>
                      <w:rFonts w:ascii="Times New Roman" w:hAnsi="Times New Roman" w:cs="Times New Roman"/>
                      <w:b w:val="0"/>
                      <w:bCs w:val="0"/>
                      <w:sz w:val="21"/>
                      <w:szCs w:val="21"/>
                    </w:rPr>
                    <w:t>。</w:t>
                  </w:r>
                </w:p>
                <w:p w14:paraId="21C410D1">
                  <w:pPr>
                    <w:pStyle w:val="103"/>
                    <w:adjustRightInd w:val="0"/>
                    <w:snapToGrid w:val="0"/>
                    <w:spacing w:before="0" w:beforeAutospacing="0" w:after="0" w:afterAutospacing="0" w:line="240" w:lineRule="auto"/>
                    <w:ind w:left="0" w:firstLine="0" w:firstLineChars="0"/>
                    <w:jc w:val="both"/>
                    <w:outlineLvl w:val="9"/>
                    <w:rPr>
                      <w:rFonts w:ascii="Times New Roman" w:hAnsi="Times New Roman" w:cs="Times New Roman"/>
                      <w:b w:val="0"/>
                      <w:bCs w:val="0"/>
                      <w:sz w:val="21"/>
                      <w:szCs w:val="21"/>
                    </w:rPr>
                  </w:pPr>
                  <w:r>
                    <w:rPr>
                      <w:rFonts w:hint="eastAsia" w:ascii="Times New Roman" w:hAnsi="Times New Roman" w:cs="Times New Roman"/>
                      <w:b w:val="0"/>
                      <w:bCs w:val="0"/>
                      <w:sz w:val="21"/>
                      <w:szCs w:val="21"/>
                      <w:lang w:eastAsia="zh-CN"/>
                    </w:rPr>
                    <w:t>（</w:t>
                  </w:r>
                  <w:r>
                    <w:rPr>
                      <w:rFonts w:hint="eastAsia" w:ascii="Times New Roman" w:hAnsi="Times New Roman" w:cs="Times New Roman"/>
                      <w:b w:val="0"/>
                      <w:bCs w:val="0"/>
                      <w:sz w:val="21"/>
                      <w:szCs w:val="21"/>
                      <w:lang w:val="en-US" w:eastAsia="zh-CN"/>
                    </w:rPr>
                    <w:t>3</w:t>
                  </w:r>
                  <w:r>
                    <w:rPr>
                      <w:rFonts w:hint="eastAsia" w:ascii="Times New Roman" w:hAnsi="Times New Roman" w:cs="Times New Roman"/>
                      <w:b w:val="0"/>
                      <w:bCs w:val="0"/>
                      <w:sz w:val="21"/>
                      <w:szCs w:val="21"/>
                      <w:lang w:eastAsia="zh-CN"/>
                    </w:rPr>
                    <w:t>）</w:t>
                  </w:r>
                  <w:r>
                    <w:rPr>
                      <w:rFonts w:ascii="Times New Roman" w:hAnsi="Times New Roman" w:cs="Times New Roman"/>
                      <w:b w:val="0"/>
                      <w:bCs w:val="0"/>
                      <w:sz w:val="21"/>
                      <w:szCs w:val="21"/>
                    </w:rPr>
                    <w:t>本项目一般工业固废收集至一般固废暂存间暂存后定期外售，危险废物收集至危险废物贮存库内暂存，危险废物的收集、贮存应满足《危险废物贮存污染控制标准》（GB18597-2023）的要求，并送有资质的危险废物处置单位处置，危险废物的转运应执行《危险废物转移管理办法》的有关规定。</w:t>
                  </w:r>
                </w:p>
              </w:tc>
              <w:tc>
                <w:tcPr>
                  <w:tcW w:w="794" w:type="dxa"/>
                  <w:tcBorders>
                    <w:tl2br w:val="nil"/>
                    <w:tr2bl w:val="nil"/>
                  </w:tcBorders>
                  <w:vAlign w:val="center"/>
                </w:tcPr>
                <w:p w14:paraId="6755E273">
                  <w:pPr>
                    <w:adjustRightInd w:val="0"/>
                    <w:snapToGrid w:val="0"/>
                    <w:spacing w:line="240" w:lineRule="auto"/>
                    <w:ind w:firstLine="0" w:firstLineChars="0"/>
                    <w:jc w:val="center"/>
                    <w:rPr>
                      <w:sz w:val="21"/>
                      <w:szCs w:val="21"/>
                    </w:rPr>
                  </w:pPr>
                  <w:r>
                    <w:rPr>
                      <w:sz w:val="21"/>
                      <w:szCs w:val="21"/>
                    </w:rPr>
                    <w:t>符合</w:t>
                  </w:r>
                </w:p>
              </w:tc>
            </w:tr>
          </w:tbl>
          <w:p w14:paraId="694DCDF8">
            <w:pPr>
              <w:autoSpaceDE w:val="0"/>
              <w:autoSpaceDN w:val="0"/>
              <w:adjustRightInd w:val="0"/>
              <w:snapToGrid w:val="0"/>
              <w:spacing w:line="520" w:lineRule="exact"/>
              <w:ind w:firstLine="480"/>
              <w:rPr>
                <w:kern w:val="0"/>
              </w:rPr>
            </w:pPr>
            <w:r>
              <w:rPr>
                <w:rFonts w:hint="eastAsia"/>
                <w:kern w:val="0"/>
                <w:lang w:eastAsia="zh-CN"/>
              </w:rPr>
              <w:t>综上所述</w:t>
            </w:r>
            <w:r>
              <w:rPr>
                <w:kern w:val="0"/>
              </w:rPr>
              <w:t>，项目</w:t>
            </w:r>
            <w:r>
              <w:rPr>
                <w:rFonts w:hint="eastAsia"/>
                <w:kern w:val="0"/>
                <w:lang w:eastAsia="zh-CN"/>
              </w:rPr>
              <w:t>建设</w:t>
            </w:r>
            <w:r>
              <w:rPr>
                <w:kern w:val="0"/>
              </w:rPr>
              <w:t>符合</w:t>
            </w:r>
            <w:r>
              <w:rPr>
                <w:bCs/>
                <w:kern w:val="0"/>
              </w:rPr>
              <w:t>《</w:t>
            </w:r>
            <w:r>
              <w:t>新乡市新能源电池专业园区发展规划（2022-2035）</w:t>
            </w:r>
            <w:r>
              <w:rPr>
                <w:kern w:val="0"/>
              </w:rPr>
              <w:t>环境影响报告书</w:t>
            </w:r>
            <w:r>
              <w:rPr>
                <w:bCs/>
                <w:kern w:val="0"/>
              </w:rPr>
              <w:t>》</w:t>
            </w:r>
            <w:r>
              <w:rPr>
                <w:kern w:val="0"/>
              </w:rPr>
              <w:t>的结论及审查意见要求。</w:t>
            </w:r>
          </w:p>
          <w:p w14:paraId="2533AF22">
            <w:pPr>
              <w:autoSpaceDE w:val="0"/>
              <w:autoSpaceDN w:val="0"/>
              <w:adjustRightInd w:val="0"/>
              <w:snapToGrid w:val="0"/>
              <w:spacing w:line="520" w:lineRule="exact"/>
              <w:ind w:firstLine="480"/>
              <w:rPr>
                <w:kern w:val="0"/>
              </w:rPr>
            </w:pPr>
          </w:p>
          <w:p w14:paraId="2E11B230">
            <w:pPr>
              <w:autoSpaceDE w:val="0"/>
              <w:autoSpaceDN w:val="0"/>
              <w:adjustRightInd w:val="0"/>
              <w:snapToGrid w:val="0"/>
              <w:spacing w:line="520" w:lineRule="exact"/>
              <w:ind w:firstLine="480"/>
              <w:rPr>
                <w:kern w:val="0"/>
              </w:rPr>
            </w:pPr>
          </w:p>
          <w:p w14:paraId="4A891F56">
            <w:pPr>
              <w:autoSpaceDE w:val="0"/>
              <w:autoSpaceDN w:val="0"/>
              <w:adjustRightInd w:val="0"/>
              <w:snapToGrid w:val="0"/>
              <w:spacing w:line="520" w:lineRule="exact"/>
              <w:ind w:firstLine="480"/>
              <w:rPr>
                <w:kern w:val="0"/>
              </w:rPr>
            </w:pPr>
          </w:p>
        </w:tc>
      </w:tr>
      <w:tr w14:paraId="318DF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7" w:hRule="atLeast"/>
          <w:jc w:val="center"/>
        </w:trPr>
        <w:tc>
          <w:tcPr>
            <w:tcW w:w="450" w:type="dxa"/>
            <w:vAlign w:val="center"/>
          </w:tcPr>
          <w:p w14:paraId="54C2D722">
            <w:pPr>
              <w:autoSpaceDE w:val="0"/>
              <w:autoSpaceDN w:val="0"/>
              <w:adjustRightInd w:val="0"/>
              <w:snapToGrid w:val="0"/>
              <w:spacing w:line="240" w:lineRule="auto"/>
              <w:ind w:firstLine="0" w:firstLineChars="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其他符合性分析</w:t>
            </w:r>
          </w:p>
        </w:tc>
        <w:tc>
          <w:tcPr>
            <w:tcW w:w="8989" w:type="dxa"/>
            <w:gridSpan w:val="4"/>
            <w:vAlign w:val="center"/>
          </w:tcPr>
          <w:p w14:paraId="3827A085">
            <w:pPr>
              <w:keepNext w:val="0"/>
              <w:keepLines w:val="0"/>
              <w:pageBreakBefore w:val="0"/>
              <w:widowControl w:val="0"/>
              <w:kinsoku/>
              <w:wordWrap/>
              <w:overflowPunct/>
              <w:topLinePunct w:val="0"/>
              <w:autoSpaceDE/>
              <w:autoSpaceDN/>
              <w:bidi w:val="0"/>
              <w:adjustRightInd/>
              <w:snapToGrid/>
              <w:textAlignment w:val="auto"/>
              <w:rPr>
                <w:b/>
                <w:bCs/>
              </w:rPr>
            </w:pPr>
            <w:r>
              <w:rPr>
                <w:b/>
                <w:bCs/>
              </w:rPr>
              <w:t>1、建设项目环境影响评价分类</w:t>
            </w:r>
          </w:p>
          <w:p w14:paraId="6AA785C7">
            <w:pPr>
              <w:keepNext w:val="0"/>
              <w:keepLines w:val="0"/>
              <w:pageBreakBefore w:val="0"/>
              <w:widowControl w:val="0"/>
              <w:kinsoku/>
              <w:wordWrap/>
              <w:overflowPunct/>
              <w:topLinePunct w:val="0"/>
              <w:autoSpaceDE/>
              <w:autoSpaceDN/>
              <w:bidi w:val="0"/>
              <w:adjustRightInd/>
              <w:snapToGrid/>
              <w:textAlignment w:val="auto"/>
            </w:pPr>
            <w:r>
              <w:rPr>
                <w:rFonts w:hint="eastAsia"/>
              </w:rPr>
              <w:t>本项目</w:t>
            </w:r>
            <w:r>
              <w:t>属于《国民经济行业分类》GB/T 4754</w:t>
            </w:r>
            <w:r>
              <w:rPr>
                <w:rFonts w:hint="eastAsia"/>
              </w:rPr>
              <w:t>—</w:t>
            </w:r>
            <w:r>
              <w:t>2017中1713棉印染精加工</w:t>
            </w:r>
            <w:r>
              <w:rPr>
                <w:rFonts w:hint="eastAsia"/>
              </w:rPr>
              <w:t>，</w:t>
            </w:r>
            <w:r>
              <w:t>依据《建设项目环境影响评价分类管理名录》（2021年版），</w:t>
            </w:r>
            <w:r>
              <w:rPr>
                <w:rFonts w:hint="eastAsia"/>
              </w:rPr>
              <w:t>十四</w:t>
            </w:r>
            <w:r>
              <w:t>、</w:t>
            </w:r>
            <w:r>
              <w:rPr>
                <w:rFonts w:hint="eastAsia"/>
              </w:rPr>
              <w:t>“纺织业17”</w:t>
            </w:r>
            <w:r>
              <w:t>：</w:t>
            </w:r>
            <w:r>
              <w:rPr>
                <w:rFonts w:hint="eastAsia"/>
              </w:rPr>
              <w:t>“第28条“‘棉纺织及印染精加工 171*’”中“有洗毛、脱胶、缫丝工艺的；染整工艺有前处理、染色、印花（喷墨印花和数码印花的除外）工序的；有使用有机溶剂的涂层工艺的”编制环境影响报告书；“有喷墨印花或数码印花工艺的；后整理工序涉及有机溶剂的；有喷水织造工艺的；有水刺无纺布织造工艺的”</w:t>
            </w:r>
            <w:r>
              <w:t>编制环境影响报告表</w:t>
            </w:r>
            <w:r>
              <w:rPr>
                <w:rFonts w:hint="eastAsia"/>
              </w:rPr>
              <w:t>。本项目印花工艺属于喷墨印花</w:t>
            </w:r>
            <w:r>
              <w:rPr>
                <w:rFonts w:hint="eastAsia"/>
                <w:lang w:val="en-US" w:eastAsia="zh-CN"/>
              </w:rPr>
              <w:t>，</w:t>
            </w:r>
            <w:r>
              <w:rPr>
                <w:rFonts w:hint="eastAsia"/>
              </w:rPr>
              <w:t>雕花、压花、绣花、开口装拉链工序属于后整理工序，应编制</w:t>
            </w:r>
            <w:r>
              <w:t>环境影响报告表。</w:t>
            </w:r>
          </w:p>
          <w:p w14:paraId="5B11343D">
            <w:pPr>
              <w:keepNext w:val="0"/>
              <w:keepLines w:val="0"/>
              <w:pageBreakBefore w:val="0"/>
              <w:widowControl w:val="0"/>
              <w:kinsoku/>
              <w:wordWrap/>
              <w:overflowPunct/>
              <w:topLinePunct w:val="0"/>
              <w:autoSpaceDE/>
              <w:autoSpaceDN/>
              <w:bidi w:val="0"/>
              <w:adjustRightInd/>
              <w:snapToGrid/>
              <w:textAlignment w:val="auto"/>
              <w:rPr>
                <w:b/>
                <w:bCs/>
              </w:rPr>
            </w:pPr>
            <w:r>
              <w:rPr>
                <w:b/>
                <w:bCs/>
              </w:rPr>
              <w:t>2、备案相符性分析</w:t>
            </w:r>
          </w:p>
          <w:p w14:paraId="1E081E7F">
            <w:pPr>
              <w:spacing w:line="520" w:lineRule="exact"/>
              <w:ind w:left="0" w:leftChars="0" w:firstLine="480" w:firstLineChars="200"/>
              <w:rPr>
                <w:rFonts w:eastAsia="黑体"/>
                <w:color w:val="000000" w:themeColor="text1"/>
                <w:lang w:val="pt-BR"/>
                <w14:textFill>
                  <w14:solidFill>
                    <w14:schemeClr w14:val="tx1"/>
                  </w14:solidFill>
                </w14:textFill>
              </w:rPr>
            </w:pPr>
            <w:r>
              <w:t>经查阅《产业结构调整指导目录》（20</w:t>
            </w:r>
            <w:r>
              <w:rPr>
                <w:rFonts w:hint="eastAsia"/>
              </w:rPr>
              <w:t>24</w:t>
            </w:r>
            <w:r>
              <w:t>年本），本项目不属于限制类、鼓励类及淘汰类，为允许类项目，符合国家相关产业政策。该项目已于202</w:t>
            </w:r>
            <w:r>
              <w:rPr>
                <w:rFonts w:hint="eastAsia"/>
              </w:rPr>
              <w:t>6</w:t>
            </w:r>
            <w:r>
              <w:t>年</w:t>
            </w:r>
            <w:r>
              <w:rPr>
                <w:rFonts w:hint="eastAsia"/>
              </w:rPr>
              <w:t>04</w:t>
            </w:r>
            <w:r>
              <w:t>月</w:t>
            </w:r>
            <w:r>
              <w:rPr>
                <w:rFonts w:hint="eastAsia"/>
              </w:rPr>
              <w:t>02</w:t>
            </w:r>
            <w:r>
              <w:t>日在</w:t>
            </w:r>
            <w:r>
              <w:rPr>
                <w:rFonts w:hint="eastAsia"/>
              </w:rPr>
              <w:t>新乡市凤泉区发展和改革委员会</w:t>
            </w:r>
            <w:r>
              <w:t>进行备案</w:t>
            </w:r>
            <w:r>
              <w:rPr>
                <w:rFonts w:hint="eastAsia"/>
              </w:rPr>
              <w:t>，</w:t>
            </w:r>
            <w:r>
              <w:t>项目代码为</w:t>
            </w:r>
            <w:r>
              <w:rPr>
                <w:rFonts w:hint="eastAsia"/>
              </w:rPr>
              <w:t>2604-410704-04-01-687645</w:t>
            </w:r>
            <w:r>
              <w:t>（备案见附件2）。</w:t>
            </w:r>
          </w:p>
          <w:p w14:paraId="5ABA010D">
            <w:pPr>
              <w:spacing w:line="520" w:lineRule="exact"/>
              <w:ind w:left="0" w:leftChars="0" w:firstLine="960" w:firstLineChars="400"/>
              <w:rPr>
                <w:rFonts w:eastAsia="黑体"/>
                <w:color w:val="000000" w:themeColor="text1"/>
                <w:lang w:val="pt-BR"/>
                <w14:textFill>
                  <w14:solidFill>
                    <w14:schemeClr w14:val="tx1"/>
                  </w14:solidFill>
                </w14:textFill>
              </w:rPr>
            </w:pPr>
            <w:r>
              <w:rPr>
                <w:rFonts w:eastAsia="黑体"/>
                <w:color w:val="000000" w:themeColor="text1"/>
                <w:lang w:val="pt-BR"/>
                <w14:textFill>
                  <w14:solidFill>
                    <w14:schemeClr w14:val="tx1"/>
                  </w14:solidFill>
                </w14:textFill>
              </w:rPr>
              <w:t>表1</w:t>
            </w:r>
            <w:r>
              <w:rPr>
                <w:rFonts w:eastAsia="黑体"/>
                <w:color w:val="000000" w:themeColor="text1"/>
                <w14:textFill>
                  <w14:solidFill>
                    <w14:schemeClr w14:val="tx1"/>
                  </w14:solidFill>
                </w14:textFill>
              </w:rPr>
              <w:t>-</w:t>
            </w:r>
            <w:r>
              <w:rPr>
                <w:rFonts w:hint="eastAsia" w:eastAsia="黑体"/>
                <w:color w:val="000000" w:themeColor="text1"/>
                <w14:textFill>
                  <w14:solidFill>
                    <w14:schemeClr w14:val="tx1"/>
                  </w14:solidFill>
                </w14:textFill>
              </w:rPr>
              <w:t>5</w:t>
            </w:r>
            <w:r>
              <w:rPr>
                <w:rFonts w:eastAsia="黑体"/>
                <w:color w:val="000000" w:themeColor="text1"/>
                <w:lang w:val="pt-BR"/>
                <w14:textFill>
                  <w14:solidFill>
                    <w14:schemeClr w14:val="tx1"/>
                  </w14:solidFill>
                </w14:textFill>
              </w:rPr>
              <w:t xml:space="preserve">    </w:t>
            </w:r>
            <w:r>
              <w:rPr>
                <w:rFonts w:eastAsia="黑体"/>
                <w:color w:val="000000" w:themeColor="text1"/>
                <w14:textFill>
                  <w14:solidFill>
                    <w14:schemeClr w14:val="tx1"/>
                  </w14:solidFill>
                </w14:textFill>
              </w:rPr>
              <w:t xml:space="preserve">  </w:t>
            </w:r>
            <w:r>
              <w:rPr>
                <w:rFonts w:eastAsia="黑体"/>
                <w:color w:val="000000" w:themeColor="text1"/>
                <w:lang w:val="pt-BR"/>
                <w14:textFill>
                  <w14:solidFill>
                    <w14:schemeClr w14:val="tx1"/>
                  </w14:solidFill>
                </w14:textFill>
              </w:rPr>
              <w:t>项目建设内容与备案相符性分析一览表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474"/>
              <w:gridCol w:w="3506"/>
              <w:gridCol w:w="1003"/>
            </w:tblGrid>
            <w:tr w14:paraId="1B08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80" w:type="dxa"/>
                  <w:tcBorders>
                    <w:tl2br w:val="nil"/>
                    <w:tr2bl w:val="nil"/>
                  </w:tcBorders>
                  <w:vAlign w:val="center"/>
                </w:tcPr>
                <w:p w14:paraId="68588445">
                  <w:pPr>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类别</w:t>
                  </w:r>
                </w:p>
              </w:tc>
              <w:tc>
                <w:tcPr>
                  <w:tcW w:w="3474" w:type="dxa"/>
                  <w:tcBorders>
                    <w:tl2br w:val="nil"/>
                    <w:tr2bl w:val="nil"/>
                  </w:tcBorders>
                  <w:vAlign w:val="center"/>
                </w:tcPr>
                <w:p w14:paraId="14F4EB8D">
                  <w:pPr>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项目备案</w:t>
                  </w:r>
                </w:p>
              </w:tc>
              <w:tc>
                <w:tcPr>
                  <w:tcW w:w="3506" w:type="dxa"/>
                  <w:tcBorders>
                    <w:tl2br w:val="nil"/>
                    <w:tr2bl w:val="nil"/>
                  </w:tcBorders>
                  <w:vAlign w:val="center"/>
                </w:tcPr>
                <w:p w14:paraId="564DBBB8">
                  <w:pPr>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项目情况</w:t>
                  </w:r>
                </w:p>
              </w:tc>
              <w:tc>
                <w:tcPr>
                  <w:tcW w:w="1003" w:type="dxa"/>
                  <w:tcBorders>
                    <w:tl2br w:val="nil"/>
                    <w:tr2bl w:val="nil"/>
                  </w:tcBorders>
                  <w:vAlign w:val="center"/>
                </w:tcPr>
                <w:p w14:paraId="20BDBACD">
                  <w:pPr>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相符性</w:t>
                  </w:r>
                </w:p>
              </w:tc>
            </w:tr>
            <w:tr w14:paraId="63B4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tcBorders>
                    <w:tl2br w:val="nil"/>
                    <w:tr2bl w:val="nil"/>
                  </w:tcBorders>
                  <w:vAlign w:val="center"/>
                </w:tcPr>
                <w:p w14:paraId="56A28E46">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项目名称</w:t>
                  </w:r>
                </w:p>
              </w:tc>
              <w:tc>
                <w:tcPr>
                  <w:tcW w:w="3474" w:type="dxa"/>
                  <w:tcBorders>
                    <w:tl2br w:val="nil"/>
                    <w:tr2bl w:val="nil"/>
                  </w:tcBorders>
                  <w:vAlign w:val="center"/>
                </w:tcPr>
                <w:p w14:paraId="16E9A36F">
                  <w:pPr>
                    <w:pStyle w:val="6"/>
                    <w:spacing w:line="240" w:lineRule="auto"/>
                    <w:ind w:firstLine="0" w:firstLineChars="0"/>
                    <w:jc w:val="center"/>
                    <w:rPr>
                      <w:rFonts w:hint="eastAsia" w:eastAsia="宋体"/>
                      <w:color w:val="000000" w:themeColor="text1"/>
                      <w:sz w:val="21"/>
                      <w:szCs w:val="24"/>
                      <w:lang w:eastAsia="zh-CN"/>
                      <w14:textFill>
                        <w14:solidFill>
                          <w14:schemeClr w14:val="tx1"/>
                        </w14:solidFill>
                      </w14:textFill>
                    </w:rPr>
                  </w:pPr>
                  <w:r>
                    <w:rPr>
                      <w:rFonts w:hint="eastAsia"/>
                      <w:color w:val="000000" w:themeColor="text1"/>
                      <w:sz w:val="21"/>
                      <w:szCs w:val="24"/>
                      <w:lang w:eastAsia="zh-CN"/>
                      <w14:textFill>
                        <w14:solidFill>
                          <w14:schemeClr w14:val="tx1"/>
                        </w14:solidFill>
                      </w14:textFill>
                    </w:rPr>
                    <w:t>年生产390万件服装辅料加工项目</w:t>
                  </w:r>
                </w:p>
              </w:tc>
              <w:tc>
                <w:tcPr>
                  <w:tcW w:w="3506" w:type="dxa"/>
                  <w:tcBorders>
                    <w:tl2br w:val="nil"/>
                    <w:tr2bl w:val="nil"/>
                  </w:tcBorders>
                  <w:vAlign w:val="center"/>
                </w:tcPr>
                <w:p w14:paraId="09D91829">
                  <w:pPr>
                    <w:pStyle w:val="6"/>
                    <w:spacing w:line="240" w:lineRule="auto"/>
                    <w:ind w:firstLine="0" w:firstLineChars="0"/>
                    <w:jc w:val="center"/>
                    <w:rPr>
                      <w:rFonts w:hint="eastAsia" w:eastAsia="宋体"/>
                      <w:color w:val="000000" w:themeColor="text1"/>
                      <w:sz w:val="21"/>
                      <w:szCs w:val="24"/>
                      <w:lang w:eastAsia="zh-CN"/>
                      <w14:textFill>
                        <w14:solidFill>
                          <w14:schemeClr w14:val="tx1"/>
                        </w14:solidFill>
                      </w14:textFill>
                    </w:rPr>
                  </w:pPr>
                  <w:r>
                    <w:rPr>
                      <w:rFonts w:hint="eastAsia"/>
                      <w:color w:val="000000" w:themeColor="text1"/>
                      <w:sz w:val="21"/>
                      <w:szCs w:val="24"/>
                      <w:lang w:eastAsia="zh-CN"/>
                      <w14:textFill>
                        <w14:solidFill>
                          <w14:schemeClr w14:val="tx1"/>
                        </w14:solidFill>
                      </w14:textFill>
                    </w:rPr>
                    <w:t>年生产390万件服装辅料加工项目</w:t>
                  </w:r>
                </w:p>
              </w:tc>
              <w:tc>
                <w:tcPr>
                  <w:tcW w:w="1003" w:type="dxa"/>
                  <w:tcBorders>
                    <w:tl2br w:val="nil"/>
                    <w:tr2bl w:val="nil"/>
                  </w:tcBorders>
                  <w:vAlign w:val="center"/>
                </w:tcPr>
                <w:p w14:paraId="74BE02E5">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0CE2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tcBorders>
                    <w:tl2br w:val="nil"/>
                    <w:tr2bl w:val="nil"/>
                  </w:tcBorders>
                  <w:shd w:val="clear" w:color="auto" w:fill="auto"/>
                  <w:vAlign w:val="center"/>
                </w:tcPr>
                <w:p w14:paraId="10F1B493">
                  <w:pPr>
                    <w:adjustRightInd w:val="0"/>
                    <w:snapToGrid w:val="0"/>
                    <w:spacing w:line="240" w:lineRule="auto"/>
                    <w:ind w:firstLine="0" w:firstLineChars="0"/>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建设单位</w:t>
                  </w:r>
                </w:p>
              </w:tc>
              <w:tc>
                <w:tcPr>
                  <w:tcW w:w="3474" w:type="dxa"/>
                  <w:tcBorders>
                    <w:tl2br w:val="nil"/>
                    <w:tr2bl w:val="nil"/>
                  </w:tcBorders>
                  <w:shd w:val="clear" w:color="auto" w:fill="auto"/>
                  <w:vAlign w:val="center"/>
                </w:tcPr>
                <w:p w14:paraId="12A255A6">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新乡市弘祥服装辅料有限公司</w:t>
                  </w:r>
                </w:p>
              </w:tc>
              <w:tc>
                <w:tcPr>
                  <w:tcW w:w="3506" w:type="dxa"/>
                  <w:tcBorders>
                    <w:tl2br w:val="nil"/>
                    <w:tr2bl w:val="nil"/>
                  </w:tcBorders>
                  <w:shd w:val="clear" w:color="auto" w:fill="auto"/>
                  <w:vAlign w:val="center"/>
                </w:tcPr>
                <w:p w14:paraId="7F52EA3F">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新乡市弘祥服装辅料有限公司</w:t>
                  </w:r>
                </w:p>
              </w:tc>
              <w:tc>
                <w:tcPr>
                  <w:tcW w:w="1003" w:type="dxa"/>
                  <w:tcBorders>
                    <w:tl2br w:val="nil"/>
                    <w:tr2bl w:val="nil"/>
                  </w:tcBorders>
                  <w:shd w:val="clear" w:color="auto" w:fill="auto"/>
                  <w:vAlign w:val="center"/>
                </w:tcPr>
                <w:p w14:paraId="2CE5F993">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27B8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tcBorders>
                    <w:tl2br w:val="nil"/>
                    <w:tr2bl w:val="nil"/>
                  </w:tcBorders>
                  <w:shd w:val="clear" w:color="auto" w:fill="auto"/>
                  <w:vAlign w:val="center"/>
                </w:tcPr>
                <w:p w14:paraId="17FE1BF5">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w:t>
                  </w:r>
                </w:p>
                <w:p w14:paraId="4703E430">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 w:val="21"/>
                      <w:szCs w:val="21"/>
                      <w14:textFill>
                        <w14:solidFill>
                          <w14:schemeClr w14:val="tx1"/>
                        </w14:solidFill>
                      </w14:textFill>
                    </w:rPr>
                    <w:t>地点</w:t>
                  </w:r>
                </w:p>
              </w:tc>
              <w:tc>
                <w:tcPr>
                  <w:tcW w:w="3474" w:type="dxa"/>
                  <w:tcBorders>
                    <w:tl2br w:val="nil"/>
                    <w:tr2bl w:val="nil"/>
                  </w:tcBorders>
                  <w:shd w:val="clear" w:color="auto" w:fill="auto"/>
                  <w:vAlign w:val="center"/>
                </w:tcPr>
                <w:p w14:paraId="51983013">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新乡市新能源电池专业园区标北路11号3A号厂房</w:t>
                  </w:r>
                </w:p>
              </w:tc>
              <w:tc>
                <w:tcPr>
                  <w:tcW w:w="3506" w:type="dxa"/>
                  <w:tcBorders>
                    <w:tl2br w:val="nil"/>
                    <w:tr2bl w:val="nil"/>
                  </w:tcBorders>
                  <w:shd w:val="clear" w:color="auto" w:fill="auto"/>
                  <w:vAlign w:val="center"/>
                </w:tcPr>
                <w:p w14:paraId="6F97D5F0">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eastAsia="zh-CN"/>
                      <w14:textFill>
                        <w14:solidFill>
                          <w14:schemeClr w14:val="tx1"/>
                        </w14:solidFill>
                      </w14:textFill>
                    </w:rPr>
                    <w:t>新乡市新能源电池专业园区标北路11号3A号厂房</w:t>
                  </w:r>
                </w:p>
              </w:tc>
              <w:tc>
                <w:tcPr>
                  <w:tcW w:w="1003" w:type="dxa"/>
                  <w:tcBorders>
                    <w:tl2br w:val="nil"/>
                    <w:tr2bl w:val="nil"/>
                  </w:tcBorders>
                  <w:shd w:val="clear" w:color="auto" w:fill="auto"/>
                  <w:vAlign w:val="center"/>
                </w:tcPr>
                <w:p w14:paraId="7472B81C">
                  <w:pPr>
                    <w:adjustRightInd w:val="0"/>
                    <w:snapToGrid w:val="0"/>
                    <w:spacing w:line="240" w:lineRule="auto"/>
                    <w:ind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21FD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tcBorders>
                    <w:tl2br w:val="nil"/>
                    <w:tr2bl w:val="nil"/>
                  </w:tcBorders>
                  <w:vAlign w:val="center"/>
                </w:tcPr>
                <w:p w14:paraId="180AB5FD">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投资</w:t>
                  </w:r>
                </w:p>
              </w:tc>
              <w:tc>
                <w:tcPr>
                  <w:tcW w:w="3474" w:type="dxa"/>
                  <w:tcBorders>
                    <w:tl2br w:val="nil"/>
                    <w:tr2bl w:val="nil"/>
                  </w:tcBorders>
                  <w:vAlign w:val="center"/>
                </w:tcPr>
                <w:p w14:paraId="4640EE0B">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500</w:t>
                  </w:r>
                  <w:r>
                    <w:rPr>
                      <w:color w:val="000000" w:themeColor="text1"/>
                      <w:sz w:val="21"/>
                      <w:szCs w:val="21"/>
                      <w14:textFill>
                        <w14:solidFill>
                          <w14:schemeClr w14:val="tx1"/>
                        </w14:solidFill>
                      </w14:textFill>
                    </w:rPr>
                    <w:t>万元</w:t>
                  </w:r>
                </w:p>
              </w:tc>
              <w:tc>
                <w:tcPr>
                  <w:tcW w:w="3506" w:type="dxa"/>
                  <w:tcBorders>
                    <w:tl2br w:val="nil"/>
                    <w:tr2bl w:val="nil"/>
                  </w:tcBorders>
                  <w:vAlign w:val="center"/>
                </w:tcPr>
                <w:p w14:paraId="0BC5C02A">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500</w:t>
                  </w:r>
                  <w:r>
                    <w:rPr>
                      <w:color w:val="000000" w:themeColor="text1"/>
                      <w:sz w:val="21"/>
                      <w:szCs w:val="21"/>
                      <w14:textFill>
                        <w14:solidFill>
                          <w14:schemeClr w14:val="tx1"/>
                        </w14:solidFill>
                      </w14:textFill>
                    </w:rPr>
                    <w:t>万元</w:t>
                  </w:r>
                </w:p>
              </w:tc>
              <w:tc>
                <w:tcPr>
                  <w:tcW w:w="1003" w:type="dxa"/>
                  <w:tcBorders>
                    <w:tl2br w:val="nil"/>
                    <w:tr2bl w:val="nil"/>
                  </w:tcBorders>
                  <w:vAlign w:val="center"/>
                </w:tcPr>
                <w:p w14:paraId="1C20AE1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r w14:paraId="1DE2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0" w:type="dxa"/>
                  <w:tcBorders>
                    <w:tl2br w:val="nil"/>
                    <w:tr2bl w:val="nil"/>
                  </w:tcBorders>
                  <w:vAlign w:val="center"/>
                </w:tcPr>
                <w:p w14:paraId="166983FF">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建设规模及内容</w:t>
                  </w:r>
                </w:p>
              </w:tc>
              <w:tc>
                <w:tcPr>
                  <w:tcW w:w="3474" w:type="dxa"/>
                  <w:tcBorders>
                    <w:tl2br w:val="nil"/>
                    <w:tr2bl w:val="nil"/>
                  </w:tcBorders>
                  <w:vAlign w:val="center"/>
                </w:tcPr>
                <w:p w14:paraId="64E9A3F5">
                  <w:pPr>
                    <w:pStyle w:val="6"/>
                    <w:spacing w:line="240" w:lineRule="auto"/>
                    <w:ind w:firstLine="0" w:firstLineChars="0"/>
                    <w:jc w:val="both"/>
                    <w:rPr>
                      <w:color w:val="000000" w:themeColor="text1"/>
                      <w:sz w:val="21"/>
                      <w:szCs w:val="24"/>
                      <w14:textFill>
                        <w14:solidFill>
                          <w14:schemeClr w14:val="tx1"/>
                        </w14:solidFill>
                      </w14:textFill>
                    </w:rPr>
                  </w:pPr>
                  <w:r>
                    <w:rPr>
                      <w:color w:val="000000" w:themeColor="text1"/>
                      <w:sz w:val="21"/>
                      <w:szCs w:val="24"/>
                      <w14:textFill>
                        <w14:solidFill>
                          <w14:schemeClr w14:val="tx1"/>
                        </w14:solidFill>
                      </w14:textFill>
                    </w:rPr>
                    <w:t>建设规模及内容</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项目租赁闲置厂房建设</w:t>
                  </w:r>
                  <w:r>
                    <w:rPr>
                      <w:rFonts w:hint="eastAsia"/>
                      <w:color w:val="000000" w:themeColor="text1"/>
                      <w:sz w:val="21"/>
                      <w:szCs w:val="24"/>
                      <w:lang w:eastAsia="zh-CN"/>
                      <w14:textFill>
                        <w14:solidFill>
                          <w14:schemeClr w14:val="tx1"/>
                        </w14:solidFill>
                      </w14:textFill>
                    </w:rPr>
                    <w:t>年生产390万件服装辅料加工项目</w:t>
                  </w:r>
                  <w:r>
                    <w:rPr>
                      <w:color w:val="000000" w:themeColor="text1"/>
                      <w:sz w:val="21"/>
                      <w:szCs w:val="24"/>
                      <w14:textFill>
                        <w14:solidFill>
                          <w14:schemeClr w14:val="tx1"/>
                        </w14:solidFill>
                      </w14:textFill>
                    </w:rPr>
                    <w:t>，不新占地，不办理用地手续。主要生产设备</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镭射机、高周波熔接机、喷墨印花机等设备。主要原料为:棉布、化学纤维复合布、水性丙烯酸胶浆、</w:t>
                  </w:r>
                  <w:r>
                    <w:rPr>
                      <w:rFonts w:hint="eastAsia"/>
                      <w:color w:val="000000" w:themeColor="text1"/>
                      <w:sz w:val="21"/>
                      <w:szCs w:val="24"/>
                      <w:lang w:eastAsia="zh-CN"/>
                      <w14:textFill>
                        <w14:solidFill>
                          <w14:schemeClr w14:val="tx1"/>
                        </w14:solidFill>
                      </w14:textFill>
                    </w:rPr>
                    <w:t>水性丙烯酸</w:t>
                  </w:r>
                  <w:r>
                    <w:rPr>
                      <w:color w:val="000000" w:themeColor="text1"/>
                      <w:sz w:val="21"/>
                      <w:szCs w:val="24"/>
                      <w14:textFill>
                        <w14:solidFill>
                          <w14:schemeClr w14:val="tx1"/>
                        </w14:solidFill>
                      </w14:textFill>
                    </w:rPr>
                    <w:t>油墨。主要生产工艺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对棉布、化学纤维复合布进行高周波压花、喷墨印花、镭射雕花、压条、绣花等工艺操作。高周波压花工艺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原料一排版定位一压花一冷却定型一修整一包装、入库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喷墨印花工艺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原料一喷墨印花一烘干一包装、入库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镭射雕花工艺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原料一排版定位一镭射雕花一清理一包装、入库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压条工艺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原料一复合一收卷一包装、入库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绣花工艺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原料一排版定位一绣花一熨烫一包装、入库。</w:t>
                  </w:r>
                </w:p>
              </w:tc>
              <w:tc>
                <w:tcPr>
                  <w:tcW w:w="3506" w:type="dxa"/>
                  <w:tcBorders>
                    <w:tl2br w:val="nil"/>
                    <w:tr2bl w:val="nil"/>
                  </w:tcBorders>
                  <w:vAlign w:val="center"/>
                </w:tcPr>
                <w:p w14:paraId="5BAC86FD">
                  <w:pPr>
                    <w:pStyle w:val="6"/>
                    <w:spacing w:line="240" w:lineRule="auto"/>
                    <w:ind w:firstLine="0" w:firstLineChars="0"/>
                    <w:jc w:val="both"/>
                    <w:rPr>
                      <w:color w:val="000000" w:themeColor="text1"/>
                      <w:sz w:val="21"/>
                      <w:szCs w:val="24"/>
                      <w14:textFill>
                        <w14:solidFill>
                          <w14:schemeClr w14:val="tx1"/>
                        </w14:solidFill>
                      </w14:textFill>
                    </w:rPr>
                  </w:pPr>
                  <w:r>
                    <w:rPr>
                      <w:color w:val="000000" w:themeColor="text1"/>
                      <w:sz w:val="21"/>
                      <w:szCs w:val="24"/>
                      <w14:textFill>
                        <w14:solidFill>
                          <w14:schemeClr w14:val="tx1"/>
                        </w14:solidFill>
                      </w14:textFill>
                    </w:rPr>
                    <w:t>建设规模及内容</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项目租赁闲置厂房建设</w:t>
                  </w:r>
                  <w:r>
                    <w:rPr>
                      <w:rFonts w:hint="eastAsia"/>
                      <w:color w:val="000000" w:themeColor="text1"/>
                      <w:sz w:val="21"/>
                      <w:szCs w:val="24"/>
                      <w:lang w:eastAsia="zh-CN"/>
                      <w14:textFill>
                        <w14:solidFill>
                          <w14:schemeClr w14:val="tx1"/>
                        </w14:solidFill>
                      </w14:textFill>
                    </w:rPr>
                    <w:t>年生产390万件服装辅料加工项目</w:t>
                  </w:r>
                  <w:r>
                    <w:rPr>
                      <w:color w:val="000000" w:themeColor="text1"/>
                      <w:sz w:val="21"/>
                      <w:szCs w:val="24"/>
                      <w14:textFill>
                        <w14:solidFill>
                          <w14:schemeClr w14:val="tx1"/>
                        </w14:solidFill>
                      </w14:textFill>
                    </w:rPr>
                    <w:t>，不新占地，不办理用地手续。主要生产设备</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镭射机、高周波熔接机、喷墨印花机等设备。主要原料为:棉布、化学纤维复合布、水性丙烯酸胶浆、</w:t>
                  </w:r>
                  <w:r>
                    <w:rPr>
                      <w:rFonts w:hint="eastAsia"/>
                      <w:color w:val="000000" w:themeColor="text1"/>
                      <w:sz w:val="21"/>
                      <w:szCs w:val="24"/>
                      <w:lang w:eastAsia="zh-CN"/>
                      <w14:textFill>
                        <w14:solidFill>
                          <w14:schemeClr w14:val="tx1"/>
                        </w14:solidFill>
                      </w14:textFill>
                    </w:rPr>
                    <w:t>水性丙烯酸</w:t>
                  </w:r>
                  <w:r>
                    <w:rPr>
                      <w:color w:val="000000" w:themeColor="text1"/>
                      <w:sz w:val="21"/>
                      <w:szCs w:val="24"/>
                      <w14:textFill>
                        <w14:solidFill>
                          <w14:schemeClr w14:val="tx1"/>
                        </w14:solidFill>
                      </w14:textFill>
                    </w:rPr>
                    <w:t>油墨。主要生产工艺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对棉布、化学纤维复合布进行高周波压花、喷墨印花、镭射雕花、压条、绣花等工艺操作。高周波压花工艺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原料一排版定位一压花一冷却定型一修整一包装、入库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喷墨印花工艺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原料一喷墨印花一烘干一包装、入库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镭射雕花工艺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原料一排版定位一镭射雕花一清理一包装、入库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压条工艺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原料一复合一收卷一包装、入库</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绣花工艺</w:t>
                  </w:r>
                  <w:r>
                    <w:rPr>
                      <w:rFonts w:hint="eastAsia"/>
                      <w:color w:val="000000" w:themeColor="text1"/>
                      <w:sz w:val="21"/>
                      <w:szCs w:val="24"/>
                      <w:lang w:eastAsia="zh-CN"/>
                      <w14:textFill>
                        <w14:solidFill>
                          <w14:schemeClr w14:val="tx1"/>
                        </w14:solidFill>
                      </w14:textFill>
                    </w:rPr>
                    <w:t>：</w:t>
                  </w:r>
                  <w:r>
                    <w:rPr>
                      <w:color w:val="000000" w:themeColor="text1"/>
                      <w:sz w:val="21"/>
                      <w:szCs w:val="24"/>
                      <w14:textFill>
                        <w14:solidFill>
                          <w14:schemeClr w14:val="tx1"/>
                        </w14:solidFill>
                      </w14:textFill>
                    </w:rPr>
                    <w:t>原料一排版定位一绣花一熨烫一包装、入库。</w:t>
                  </w:r>
                </w:p>
              </w:tc>
              <w:tc>
                <w:tcPr>
                  <w:tcW w:w="1003" w:type="dxa"/>
                  <w:tcBorders>
                    <w:tl2br w:val="nil"/>
                    <w:tr2bl w:val="nil"/>
                  </w:tcBorders>
                  <w:vAlign w:val="center"/>
                </w:tcPr>
                <w:p w14:paraId="1E64B56F">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一致</w:t>
                  </w:r>
                </w:p>
              </w:tc>
            </w:tr>
          </w:tbl>
          <w:p w14:paraId="1AE144C9">
            <w:pPr>
              <w:autoSpaceDE w:val="0"/>
              <w:autoSpaceDN w:val="0"/>
              <w:adjustRightInd w:val="0"/>
              <w:snapToGrid w:val="0"/>
              <w:spacing w:line="520" w:lineRule="exact"/>
              <w:ind w:firstLine="480"/>
              <w:jc w:val="lef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由</w:t>
            </w:r>
            <w:r>
              <w:rPr>
                <w:rFonts w:hint="eastAsia"/>
                <w:color w:val="000000" w:themeColor="text1"/>
                <w:kern w:val="0"/>
                <w:szCs w:val="21"/>
                <w14:textFill>
                  <w14:solidFill>
                    <w14:schemeClr w14:val="tx1"/>
                  </w14:solidFill>
                </w14:textFill>
              </w:rPr>
              <w:t>上</w:t>
            </w:r>
            <w:r>
              <w:rPr>
                <w:color w:val="000000" w:themeColor="text1"/>
                <w:kern w:val="0"/>
                <w:szCs w:val="21"/>
                <w14:textFill>
                  <w14:solidFill>
                    <w14:schemeClr w14:val="tx1"/>
                  </w14:solidFill>
                </w14:textFill>
              </w:rPr>
              <w:t>表可知，项目建设地点、生产工艺等内容</w:t>
            </w:r>
            <w:r>
              <w:rPr>
                <w:rFonts w:hint="eastAsia"/>
                <w:color w:val="000000" w:themeColor="text1"/>
                <w:kern w:val="0"/>
                <w:szCs w:val="21"/>
                <w14:textFill>
                  <w14:solidFill>
                    <w14:schemeClr w14:val="tx1"/>
                  </w14:solidFill>
                </w14:textFill>
              </w:rPr>
              <w:t>均</w:t>
            </w:r>
            <w:r>
              <w:rPr>
                <w:color w:val="000000" w:themeColor="text1"/>
                <w:kern w:val="0"/>
                <w:szCs w:val="21"/>
                <w14:textFill>
                  <w14:solidFill>
                    <w14:schemeClr w14:val="tx1"/>
                  </w14:solidFill>
                </w14:textFill>
              </w:rPr>
              <w:t>与备案证明一致。</w:t>
            </w:r>
          </w:p>
          <w:p w14:paraId="16B9275C">
            <w:pPr>
              <w:autoSpaceDE w:val="0"/>
              <w:autoSpaceDN w:val="0"/>
              <w:adjustRightInd w:val="0"/>
              <w:snapToGrid w:val="0"/>
              <w:spacing w:line="520" w:lineRule="exact"/>
              <w:ind w:firstLine="480"/>
              <w:rPr>
                <w:b/>
                <w:bCs/>
                <w:color w:val="000000" w:themeColor="text1"/>
                <w14:textFill>
                  <w14:solidFill>
                    <w14:schemeClr w14:val="tx1"/>
                  </w14:solidFill>
                </w14:textFill>
              </w:rPr>
            </w:pPr>
            <w:r>
              <w:rPr>
                <w:b/>
                <w:bCs/>
                <w:color w:val="000000" w:themeColor="text1"/>
                <w14:textFill>
                  <w14:solidFill>
                    <w14:schemeClr w14:val="tx1"/>
                  </w14:solidFill>
                </w14:textFill>
              </w:rPr>
              <w:t>3、选址可行性分析</w:t>
            </w:r>
          </w:p>
          <w:p w14:paraId="49EC35A4">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本项目位于</w:t>
            </w:r>
            <w:r>
              <w:rPr>
                <w:rFonts w:hint="eastAsia"/>
                <w:color w:val="000000" w:themeColor="text1"/>
                <w:lang w:eastAsia="zh-CN"/>
                <w14:textFill>
                  <w14:solidFill>
                    <w14:schemeClr w14:val="tx1"/>
                  </w14:solidFill>
                </w14:textFill>
              </w:rPr>
              <w:t>新乡市新能源电池专业园区标北路11号3A号厂房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租赁新乡市玉润科创产业发展有限公司</w:t>
            </w:r>
            <w:r>
              <w:rPr>
                <w:color w:val="000000" w:themeColor="text1"/>
                <w14:textFill>
                  <w14:solidFill>
                    <w14:schemeClr w14:val="tx1"/>
                  </w14:solidFill>
                </w14:textFill>
              </w:rPr>
              <w:t>现有</w:t>
            </w:r>
            <w:r>
              <w:rPr>
                <w:rFonts w:hint="eastAsia"/>
                <w:color w:val="000000" w:themeColor="text1"/>
                <w14:textFill>
                  <w14:solidFill>
                    <w14:schemeClr w14:val="tx1"/>
                  </w14:solidFill>
                </w14:textFill>
              </w:rPr>
              <w:t>闲置</w:t>
            </w:r>
            <w:r>
              <w:rPr>
                <w:color w:val="000000" w:themeColor="text1"/>
                <w14:textFill>
                  <w14:solidFill>
                    <w14:schemeClr w14:val="tx1"/>
                  </w14:solidFill>
                </w14:textFill>
              </w:rPr>
              <w:t>厂房。根据《新乡市新能源电池专业园区发展规划（2022-2035）—用地规划图》，项目所占用地为二类工业用地，符合新乡市新能源电池专业园区用地规划要求</w:t>
            </w:r>
            <w:r>
              <w:rPr>
                <w:rFonts w:hint="eastAsia"/>
                <w:color w:val="000000" w:themeColor="text1"/>
                <w:lang w:eastAsia="zh-CN"/>
                <w14:textFill>
                  <w14:solidFill>
                    <w14:schemeClr w14:val="tx1"/>
                  </w14:solidFill>
                </w14:textFill>
              </w:rPr>
              <w:t>。根据新乡市凤泉产业集聚区管理委员会出具《情况说明》，项目建设与新乡市凤泉区产业集聚区主导产业不冲突，符合新乡市凤泉区产业集聚区发展规划，详见附件</w:t>
            </w:r>
            <w:r>
              <w:rPr>
                <w:rFonts w:hint="eastAsia"/>
                <w:color w:val="000000" w:themeColor="text1"/>
                <w:lang w:val="en-US" w:eastAsia="zh-CN"/>
                <w14:textFill>
                  <w14:solidFill>
                    <w14:schemeClr w14:val="tx1"/>
                  </w14:solidFill>
                </w14:textFill>
              </w:rPr>
              <w:t>4。根据</w:t>
            </w:r>
            <w:r>
              <w:rPr>
                <w:rFonts w:hint="eastAsia"/>
                <w:color w:val="000000" w:themeColor="text1"/>
                <w:lang w:eastAsia="zh-CN"/>
                <w14:textFill>
                  <w14:solidFill>
                    <w14:schemeClr w14:val="tx1"/>
                  </w14:solidFill>
                </w14:textFill>
              </w:rPr>
              <w:t>新乡市凤泉区发展和改革委员会出具《规划证明》，项目建设与新乡市新能源电池专业园区不冲突，允许入驻，详见附件</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p>
          <w:p w14:paraId="71CF8C13">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kern w:val="0"/>
                <w14:textFill>
                  <w14:solidFill>
                    <w14:schemeClr w14:val="tx1"/>
                  </w14:solidFill>
                </w14:textFill>
              </w:rPr>
              <w:t>（2）</w:t>
            </w: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选址距离最近的饮用水源地为</w:t>
            </w:r>
            <w:r>
              <w:rPr>
                <w:rFonts w:hint="eastAsia"/>
                <w:color w:val="000000" w:themeColor="text1"/>
                <w14:textFill>
                  <w14:solidFill>
                    <w14:schemeClr w14:val="tx1"/>
                  </w14:solidFill>
                </w14:textFill>
              </w:rPr>
              <w:t>凤泉区宝山西路街道东张门村西地下水型水源地（共2眼井）</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水厂厂区所围成的区域为一级保护区。本项目距离其一级保护区约</w:t>
            </w:r>
            <w:r>
              <w:rPr>
                <w:rFonts w:hint="eastAsia"/>
                <w:color w:val="000000" w:themeColor="text1"/>
                <w:lang w:val="en-US" w:eastAsia="zh-CN"/>
                <w14:textFill>
                  <w14:solidFill>
                    <w14:schemeClr w14:val="tx1"/>
                  </w14:solidFill>
                </w14:textFill>
              </w:rPr>
              <w:t>2.976</w:t>
            </w:r>
            <w:r>
              <w:rPr>
                <w:rFonts w:hint="eastAsia"/>
                <w:color w:val="000000" w:themeColor="text1"/>
                <w14:textFill>
                  <w14:solidFill>
                    <w14:schemeClr w14:val="tx1"/>
                  </w14:solidFill>
                </w14:textFill>
              </w:rPr>
              <w:t>km，不在其保护区范围内。</w:t>
            </w:r>
          </w:p>
          <w:p w14:paraId="4475DD12">
            <w:pPr>
              <w:autoSpaceDE w:val="0"/>
              <w:autoSpaceDN w:val="0"/>
              <w:adjustRightInd w:val="0"/>
              <w:snapToGrid w:val="0"/>
              <w:spacing w:line="520" w:lineRule="exact"/>
              <w:ind w:firstLine="480"/>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3）项目选址距离最近的文物保护区为鲁堡龙山文化遗址，保护范围：以遗址上的县令李公碑（墓）为基点，向北250米，向东400米，向南500米，向西900米；建设控制地带：自保护范围边界线向四周各扩100米，本项目距离其建设控制地带840m，不在其保护区范围内。</w:t>
            </w:r>
          </w:p>
          <w:p w14:paraId="2FF333E8">
            <w:pPr>
              <w:autoSpaceDE w:val="0"/>
              <w:autoSpaceDN w:val="0"/>
              <w:adjustRightInd w:val="0"/>
              <w:snapToGrid w:val="0"/>
              <w:spacing w:line="520" w:lineRule="exact"/>
              <w:ind w:firstLine="480"/>
              <w:jc w:val="left"/>
              <w:rPr>
                <w:color w:val="000000" w:themeColor="text1"/>
                <w14:textFill>
                  <w14:solidFill>
                    <w14:schemeClr w14:val="tx1"/>
                  </w14:solidFill>
                </w14:textFill>
              </w:rPr>
            </w:pPr>
            <w:r>
              <w:rPr>
                <w:color w:val="000000" w:themeColor="text1"/>
                <w14:textFill>
                  <w14:solidFill>
                    <w14:schemeClr w14:val="tx1"/>
                  </w14:solidFill>
                </w14:textFill>
              </w:rPr>
              <w:t>综上，项目选址可行。</w:t>
            </w:r>
          </w:p>
          <w:p w14:paraId="519829B7">
            <w:pPr>
              <w:autoSpaceDE w:val="0"/>
              <w:autoSpaceDN w:val="0"/>
              <w:adjustRightInd w:val="0"/>
              <w:snapToGrid w:val="0"/>
              <w:spacing w:line="520" w:lineRule="exact"/>
              <w:ind w:firstLine="482"/>
              <w:rPr>
                <w:b/>
                <w:color w:val="000000" w:themeColor="text1"/>
                <w14:textFill>
                  <w14:solidFill>
                    <w14:schemeClr w14:val="tx1"/>
                  </w14:solidFill>
                </w14:textFill>
              </w:rPr>
            </w:pPr>
            <w:r>
              <w:rPr>
                <w:rFonts w:hint="eastAsia"/>
                <w:b/>
                <w:color w:val="000000" w:themeColor="text1"/>
                <w14:textFill>
                  <w14:solidFill>
                    <w14:schemeClr w14:val="tx1"/>
                  </w14:solidFill>
                </w14:textFill>
              </w:rPr>
              <w:t>4</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与</w:t>
            </w:r>
            <w:r>
              <w:rPr>
                <w:b/>
                <w:color w:val="000000" w:themeColor="text1"/>
                <w14:textFill>
                  <w14:solidFill>
                    <w14:schemeClr w14:val="tx1"/>
                  </w14:solidFill>
                </w14:textFill>
              </w:rPr>
              <w:t>南水北调中线工程保护区</w:t>
            </w:r>
            <w:r>
              <w:rPr>
                <w:rFonts w:hint="eastAsia"/>
                <w:b/>
                <w:color w:val="000000" w:themeColor="text1"/>
                <w14:textFill>
                  <w14:solidFill>
                    <w14:schemeClr w14:val="tx1"/>
                  </w14:solidFill>
                </w14:textFill>
              </w:rPr>
              <w:t>相符性分析</w:t>
            </w:r>
          </w:p>
          <w:p w14:paraId="410F3BC1">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根据《南水北调中线一期工程总干渠（河南段）两侧饮用水水源保护区划》省南水北调办、省环保厅、省水利厅、省国土资源厅（2018年6月）南水北调中线一期工程总干渠在河南省境内的工程类型分为建筑物段和总干渠段明渠段。</w:t>
            </w:r>
          </w:p>
          <w:p w14:paraId="44A63512">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（一）建筑物段（渡槽、倒虹吸、暗涵、隧洞）</w:t>
            </w:r>
          </w:p>
          <w:p w14:paraId="54377E13">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一级保护区范围自总干渠管理范围边线（防护栏网）外延50米，不设二级保护区。</w:t>
            </w:r>
          </w:p>
          <w:p w14:paraId="670C3677">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（二）总干渠明渠段</w:t>
            </w:r>
          </w:p>
          <w:p w14:paraId="42176588">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根据地下水水位与总干渠渠底高程的关系，分为以下几种类型：</w:t>
            </w:r>
          </w:p>
          <w:p w14:paraId="008FA769">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地下水水位低于总干渠渠底的渠段</w:t>
            </w:r>
          </w:p>
          <w:p w14:paraId="1C600EAA">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一级保护区范围自总干渠管理范围边线（防护栏网）外延50米；</w:t>
            </w:r>
          </w:p>
          <w:p w14:paraId="23223DD4">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二级保护区范围自一级保护区边线外延150米。</w:t>
            </w:r>
          </w:p>
          <w:p w14:paraId="66B6AEE5">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地下水水位高于总干渠渠底的渠段</w:t>
            </w:r>
          </w:p>
          <w:p w14:paraId="05AF82D9">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①</w:t>
            </w:r>
            <w:r>
              <w:rPr>
                <w:color w:val="000000" w:themeColor="text1"/>
                <w14:textFill>
                  <w14:solidFill>
                    <w14:schemeClr w14:val="tx1"/>
                  </w14:solidFill>
                </w14:textFill>
              </w:rPr>
              <w:t>微~弱透水性地层</w:t>
            </w:r>
          </w:p>
          <w:p w14:paraId="359A4515">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一级保护区范围自总干渠管理范围边线（防护栏网）外延50米；</w:t>
            </w:r>
          </w:p>
          <w:p w14:paraId="3679FCFC">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二级保护区范围自一级保护区边线外延500米。</w:t>
            </w:r>
          </w:p>
          <w:p w14:paraId="66593A9D">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②</w:t>
            </w:r>
            <w:r>
              <w:rPr>
                <w:color w:val="000000" w:themeColor="text1"/>
                <w14:textFill>
                  <w14:solidFill>
                    <w14:schemeClr w14:val="tx1"/>
                  </w14:solidFill>
                </w14:textFill>
              </w:rPr>
              <w:t>弱~中等透水性地层</w:t>
            </w:r>
          </w:p>
          <w:p w14:paraId="44349AD1">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一级保护区范围自总干渠管理范围边线（防护栏网）外延100米；</w:t>
            </w:r>
          </w:p>
          <w:p w14:paraId="54597838">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二级保护区范围自一级保护区边线外延1000米。</w:t>
            </w:r>
          </w:p>
          <w:p w14:paraId="575279F3">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③</w:t>
            </w:r>
            <w:r>
              <w:rPr>
                <w:color w:val="000000" w:themeColor="text1"/>
                <w14:textFill>
                  <w14:solidFill>
                    <w14:schemeClr w14:val="tx1"/>
                  </w14:solidFill>
                </w14:textFill>
              </w:rPr>
              <w:t>强透水性地层</w:t>
            </w:r>
          </w:p>
          <w:p w14:paraId="04D3CA8B">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一级保护区范围自总干渠管理范围边线（防护栏网）外延200米；</w:t>
            </w:r>
          </w:p>
          <w:p w14:paraId="56CBC0B9">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二级保护区范围自一级保护区边线外延2000米、1500米。</w:t>
            </w:r>
          </w:p>
          <w:p w14:paraId="09C8CDD9">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项目距离厂区</w:t>
            </w:r>
            <w:r>
              <w:rPr>
                <w:rFonts w:hint="eastAsia"/>
                <w:color w:val="000000" w:themeColor="text1"/>
                <w14:textFill>
                  <w14:solidFill>
                    <w14:schemeClr w14:val="tx1"/>
                  </w14:solidFill>
                </w14:textFill>
              </w:rPr>
              <w:t>东北方向</w:t>
            </w:r>
            <w:r>
              <w:rPr>
                <w:color w:val="000000" w:themeColor="text1"/>
                <w14:textFill>
                  <w14:solidFill>
                    <w14:schemeClr w14:val="tx1"/>
                  </w14:solidFill>
                </w14:textFill>
              </w:rPr>
              <w:t>的南水北调渠约</w:t>
            </w:r>
            <w:r>
              <w:rPr>
                <w:rFonts w:hint="eastAsia"/>
                <w:color w:val="000000" w:themeColor="text1"/>
                <w14:textFill>
                  <w14:solidFill>
                    <w14:schemeClr w14:val="tx1"/>
                  </w14:solidFill>
                </w14:textFill>
              </w:rPr>
              <w:t>3.4</w:t>
            </w:r>
            <w:r>
              <w:rPr>
                <w:color w:val="000000" w:themeColor="text1"/>
                <w14:textFill>
                  <w14:solidFill>
                    <w14:schemeClr w14:val="tx1"/>
                  </w14:solidFill>
                </w14:textFill>
              </w:rPr>
              <w:t>km，对应渠段为南水北调中线总干渠（</w:t>
            </w:r>
            <w:r>
              <w:rPr>
                <w:rFonts w:hint="eastAsia"/>
                <w:color w:val="000000" w:themeColor="text1"/>
                <w14:textFill>
                  <w14:solidFill>
                    <w14:schemeClr w14:val="tx1"/>
                  </w14:solidFill>
                </w14:textFill>
              </w:rPr>
              <w:t>潞王坟</w:t>
            </w:r>
            <w:r>
              <w:rPr>
                <w:color w:val="000000" w:themeColor="text1"/>
                <w14:textFill>
                  <w14:solidFill>
                    <w14:schemeClr w14:val="tx1"/>
                  </w14:solidFill>
                </w14:textFill>
              </w:rPr>
              <w:t>），根据《南水北调新乡市保护区范围图（</w:t>
            </w:r>
            <w:r>
              <w:rPr>
                <w:rFonts w:hint="eastAsia"/>
                <w:color w:val="000000" w:themeColor="text1"/>
                <w14:textFill>
                  <w14:solidFill>
                    <w14:schemeClr w14:val="tx1"/>
                  </w14:solidFill>
                </w14:textFill>
              </w:rPr>
              <w:t>2018.6</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目对应南水北调总干渠“HZ109+115~HZ133+574.6”一级保护区宽度50米、二级保护区宽度150米。项目选址位于南水北调中线总干“HZ109+115~HZ133+574.6”右岸，与南水北调总干渠二级保护区相距约3200米，因此不在其保护区范围内。</w:t>
            </w:r>
          </w:p>
          <w:p w14:paraId="4291FB36">
            <w:pPr>
              <w:autoSpaceDE w:val="0"/>
              <w:autoSpaceDN w:val="0"/>
              <w:adjustRightInd w:val="0"/>
              <w:snapToGrid w:val="0"/>
              <w:spacing w:line="520" w:lineRule="exact"/>
              <w:ind w:firstLine="482"/>
              <w:jc w:val="left"/>
              <w:rPr>
                <w:b/>
                <w:bCs/>
                <w:color w:val="000000" w:themeColor="text1"/>
                <w:kern w:val="0"/>
                <w14:textFill>
                  <w14:solidFill>
                    <w14:schemeClr w14:val="tx1"/>
                  </w14:solidFill>
                </w14:textFill>
              </w:rPr>
            </w:pPr>
            <w:r>
              <w:rPr>
                <w:rFonts w:hint="eastAsia"/>
                <w:b/>
                <w:bCs/>
                <w:color w:val="000000" w:themeColor="text1"/>
                <w:kern w:val="0"/>
                <w14:textFill>
                  <w14:solidFill>
                    <w14:schemeClr w14:val="tx1"/>
                  </w14:solidFill>
                </w14:textFill>
              </w:rPr>
              <w:t>5</w:t>
            </w:r>
            <w:r>
              <w:rPr>
                <w:b/>
                <w:bCs/>
                <w:color w:val="000000" w:themeColor="text1"/>
                <w:kern w:val="0"/>
                <w14:textFill>
                  <w14:solidFill>
                    <w14:schemeClr w14:val="tx1"/>
                  </w14:solidFill>
                </w14:textFill>
              </w:rPr>
              <w:t>、与《新乡市“三线一单”生态环境准入清单》相符性分析</w:t>
            </w:r>
          </w:p>
          <w:p w14:paraId="77649044">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（1）生态保护红线相符性</w:t>
            </w:r>
          </w:p>
          <w:p w14:paraId="3F3B26AE">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根据《河南省生态保护红线划定方案》，新乡市涉及土壤保持、生物多样性和水源涵养三大类生态红线，分别是太行山丘陵土壤保持生态保护红线、太行山山地生物多样性维护生态保护红线、太行山卫河水源涵养生态保护红线、南水北调中线水源涵养生态保护红线和黄河湿地生物多样性维护生态保护红线。</w:t>
            </w:r>
          </w:p>
          <w:p w14:paraId="3BDA415B">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本项目位于</w:t>
            </w:r>
            <w:r>
              <w:rPr>
                <w:rFonts w:hint="eastAsia"/>
                <w:color w:val="000000" w:themeColor="text1"/>
                <w:lang w:eastAsia="zh-CN"/>
                <w14:textFill>
                  <w14:solidFill>
                    <w14:schemeClr w14:val="tx1"/>
                  </w14:solidFill>
                </w14:textFill>
              </w:rPr>
              <w:t>新乡市新能源电池专业园区标北路11号3A号厂房</w:t>
            </w:r>
            <w:r>
              <w:rPr>
                <w:color w:val="000000" w:themeColor="text1"/>
                <w14:textFill>
                  <w14:solidFill>
                    <w14:schemeClr w14:val="tx1"/>
                  </w14:solidFill>
                </w14:textFill>
              </w:rPr>
              <w:t>，不在上述生态红线范围内（新乡市生态保护红线图见附图</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p>
          <w:p w14:paraId="7CDCE1D2">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（2）环境质量底线相符性</w:t>
            </w:r>
          </w:p>
          <w:p w14:paraId="1CF3F946">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本项目废</w:t>
            </w:r>
            <w:r>
              <w:rPr>
                <w:rFonts w:hint="eastAsia"/>
                <w:color w:val="000000" w:themeColor="text1"/>
                <w14:textFill>
                  <w14:solidFill>
                    <w14:schemeClr w14:val="tx1"/>
                  </w14:solidFill>
                </w14:textFill>
              </w:rPr>
              <w:t>气</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废水、</w:t>
            </w:r>
            <w:r>
              <w:rPr>
                <w:color w:val="000000" w:themeColor="text1"/>
                <w14:textFill>
                  <w14:solidFill>
                    <w14:schemeClr w14:val="tx1"/>
                  </w14:solidFill>
                </w14:textFill>
              </w:rPr>
              <w:t>噪声在采取报告中提出的治理措施后，能够达到相应的排放标准，对周边环境质量影响较小</w:t>
            </w:r>
            <w:r>
              <w:rPr>
                <w:rFonts w:hint="eastAsia"/>
                <w:color w:val="000000" w:themeColor="text1"/>
                <w14:textFill>
                  <w14:solidFill>
                    <w14:schemeClr w14:val="tx1"/>
                  </w14:solidFill>
                </w14:textFill>
              </w:rPr>
              <w:t>，固废均能合理处置</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项目对周边大气环境、地表水环境、地下水环境、声环境、土壤环境影响均可接受。</w:t>
            </w:r>
            <w:r>
              <w:rPr>
                <w:color w:val="000000" w:themeColor="text1"/>
                <w14:textFill>
                  <w14:solidFill>
                    <w14:schemeClr w14:val="tx1"/>
                  </w14:solidFill>
                </w14:textFill>
              </w:rPr>
              <w:t>综上，本项目的建设运行不会突破项目所在地的环境质量底线，因此项目符合环境质量底线标准。</w:t>
            </w:r>
          </w:p>
          <w:p w14:paraId="76BA8F38">
            <w:pPr>
              <w:autoSpaceDE w:val="0"/>
              <w:autoSpaceDN w:val="0"/>
              <w:adjustRightInd w:val="0"/>
              <w:snapToGrid w:val="0"/>
              <w:spacing w:line="520" w:lineRule="atLeast"/>
              <w:ind w:firstLine="480"/>
              <w:rPr>
                <w:color w:val="000000" w:themeColor="text1"/>
                <w14:textFill>
                  <w14:solidFill>
                    <w14:schemeClr w14:val="tx1"/>
                  </w14:solidFill>
                </w14:textFill>
              </w:rPr>
            </w:pPr>
            <w:r>
              <w:rPr>
                <w:color w:val="000000" w:themeColor="text1"/>
                <w14:textFill>
                  <w14:solidFill>
                    <w14:schemeClr w14:val="tx1"/>
                  </w14:solidFill>
                </w14:textFill>
              </w:rPr>
              <w:t>（3）资源利用上线相符性</w:t>
            </w:r>
          </w:p>
          <w:p w14:paraId="45C7D8C9">
            <w:pPr>
              <w:autoSpaceDE w:val="0"/>
              <w:autoSpaceDN w:val="0"/>
              <w:adjustRightInd w:val="0"/>
              <w:snapToGrid w:val="0"/>
              <w:spacing w:line="520" w:lineRule="exact"/>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项目供水来自当地供水管网供水，项目能源主要为电，电由当地供电所供电。项目建成运行后通过内部管理、设备选择、原辅材料的选用和管理、废物回收利用、污染治理等多方面采取合理可行的防治措施，以“节能、降耗、减污”为目标，有效地控制污染。项目的水、气等资源利用不会突破区域的资源利用上线。</w:t>
            </w:r>
          </w:p>
          <w:p w14:paraId="373CCBB0">
            <w:pPr>
              <w:autoSpaceDE w:val="0"/>
              <w:autoSpaceDN w:val="0"/>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（4）生态环境准入清单</w:t>
            </w:r>
          </w:p>
          <w:p w14:paraId="618C7DAB">
            <w:pPr>
              <w:autoSpaceDE w:val="0"/>
              <w:autoSpaceDN w:val="0"/>
              <w:adjustRightInd w:val="0"/>
              <w:snapToGrid w:val="0"/>
              <w:spacing w:line="520" w:lineRule="exact"/>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本项目选址位于</w:t>
            </w:r>
            <w:r>
              <w:rPr>
                <w:rFonts w:hint="eastAsia"/>
                <w:color w:val="000000" w:themeColor="text1"/>
                <w:lang w:eastAsia="zh-CN"/>
                <w14:textFill>
                  <w14:solidFill>
                    <w14:schemeClr w14:val="tx1"/>
                  </w14:solidFill>
                </w14:textFill>
              </w:rPr>
              <w:t>新乡市新能源电池专业园区标北路11号3A号厂房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根据《河南省三线一单综合信息应用平台》，本项目位于重点管控区，详</w:t>
            </w:r>
            <w:r>
              <w:rPr>
                <w:color w:val="000000" w:themeColor="text1"/>
                <w14:textFill>
                  <w14:solidFill>
                    <w14:schemeClr w14:val="tx1"/>
                  </w14:solidFill>
                </w14:textFill>
              </w:rPr>
              <w:t>见下图</w:t>
            </w:r>
            <w:r>
              <w:rPr>
                <w:rFonts w:hint="eastAsia"/>
                <w:color w:val="000000" w:themeColor="text1"/>
                <w14:textFill>
                  <w14:solidFill>
                    <w14:schemeClr w14:val="tx1"/>
                  </w14:solidFill>
                </w14:textFill>
              </w:rPr>
              <w:t>：</w:t>
            </w:r>
          </w:p>
          <w:p w14:paraId="0976AD84">
            <w:pPr>
              <w:ind w:firstLine="420"/>
              <w:rPr>
                <w:color w:val="000000" w:themeColor="text1"/>
                <w14:textFill>
                  <w14:solidFill>
                    <w14:schemeClr w14:val="tx1"/>
                  </w14:solidFill>
                </w14:textFill>
              </w:rPr>
            </w:pPr>
            <w:r>
              <w:rPr>
                <w:sz w:val="24"/>
              </w:rPr>
              <mc:AlternateContent>
                <mc:Choice Requires="wpg">
                  <w:drawing>
                    <wp:anchor distT="0" distB="0" distL="114300" distR="114300" simplePos="0" relativeHeight="251660288" behindDoc="0" locked="0" layoutInCell="1" allowOverlap="1">
                      <wp:simplePos x="0" y="0"/>
                      <wp:positionH relativeFrom="column">
                        <wp:posOffset>5253990</wp:posOffset>
                      </wp:positionH>
                      <wp:positionV relativeFrom="paragraph">
                        <wp:posOffset>99695</wp:posOffset>
                      </wp:positionV>
                      <wp:extent cx="295910" cy="502920"/>
                      <wp:effectExtent l="0" t="0" r="0" b="17780"/>
                      <wp:wrapNone/>
                      <wp:docPr id="6" name="组合 6"/>
                      <wp:cNvGraphicFramePr/>
                      <a:graphic xmlns:a="http://schemas.openxmlformats.org/drawingml/2006/main">
                        <a:graphicData uri="http://schemas.microsoft.com/office/word/2010/wordprocessingGroup">
                          <wpg:wgp>
                            <wpg:cNvGrpSpPr/>
                            <wpg:grpSpPr>
                              <a:xfrm>
                                <a:off x="0" y="0"/>
                                <a:ext cx="295910" cy="502920"/>
                                <a:chOff x="9614" y="160469"/>
                                <a:chExt cx="466" cy="792"/>
                              </a:xfrm>
                            </wpg:grpSpPr>
                            <wps:wsp>
                              <wps:cNvPr id="3" name="自选图形 64"/>
                              <wps:cNvSpPr/>
                              <wps:spPr>
                                <a:xfrm>
                                  <a:off x="9795" y="160881"/>
                                  <a:ext cx="156" cy="381"/>
                                </a:xfrm>
                                <a:prstGeom prst="upArrow">
                                  <a:avLst>
                                    <a:gd name="adj1" fmla="val 50000"/>
                                    <a:gd name="adj2" fmla="val 61057"/>
                                  </a:avLst>
                                </a:prstGeom>
                                <a:solidFill>
                                  <a:srgbClr val="FFFFFF"/>
                                </a:solidFill>
                                <a:ln w="9525" cap="flat" cmpd="sng">
                                  <a:solidFill>
                                    <a:srgbClr val="000000"/>
                                  </a:solidFill>
                                  <a:prstDash val="solid"/>
                                  <a:miter/>
                                  <a:headEnd type="none" w="med" len="med"/>
                                  <a:tailEnd type="none" w="med" len="med"/>
                                </a:ln>
                              </wps:spPr>
                              <wps:bodyPr wrap="square" upright="1"/>
                            </wps:wsp>
                            <wps:wsp>
                              <wps:cNvPr id="4" name="矩形 63"/>
                              <wps:cNvSpPr/>
                              <wps:spPr>
                                <a:xfrm>
                                  <a:off x="9614" y="160469"/>
                                  <a:ext cx="467" cy="429"/>
                                </a:xfrm>
                                <a:prstGeom prst="rect">
                                  <a:avLst/>
                                </a:prstGeom>
                                <a:noFill/>
                                <a:ln>
                                  <a:noFill/>
                                </a:ln>
                              </wps:spPr>
                              <wps:txbx>
                                <w:txbxContent>
                                  <w:p w14:paraId="023B3858">
                                    <w:pPr>
                                      <w:ind w:firstLine="0" w:firstLineChars="0"/>
                                      <w:rPr>
                                        <w:b/>
                                        <w:bCs/>
                                        <w:color w:val="CCE8CF" w:themeColor="background1"/>
                                        <w14:textFill>
                                          <w14:solidFill>
                                            <w14:schemeClr w14:val="bg1"/>
                                          </w14:solidFill>
                                        </w14:textFill>
                                      </w:rPr>
                                    </w:pPr>
                                    <w:r>
                                      <w:rPr>
                                        <w:rFonts w:hint="eastAsia"/>
                                        <w:b/>
                                        <w:bCs/>
                                        <w:color w:val="CCE8CF" w:themeColor="background1"/>
                                        <w14:textFill>
                                          <w14:solidFill>
                                            <w14:schemeClr w14:val="bg1"/>
                                          </w14:solidFill>
                                        </w14:textFill>
                                      </w:rPr>
                                      <w:t>北</w:t>
                                    </w:r>
                                  </w:p>
                                </w:txbxContent>
                              </wps:txbx>
                              <wps:bodyPr wrap="square" upright="1"/>
                            </wps:wsp>
                          </wpg:wgp>
                        </a:graphicData>
                      </a:graphic>
                    </wp:anchor>
                  </w:drawing>
                </mc:Choice>
                <mc:Fallback>
                  <w:pict>
                    <v:group id="_x0000_s1026" o:spid="_x0000_s1026" o:spt="203" style="position:absolute;left:0pt;margin-left:413.7pt;margin-top:7.85pt;height:39.6pt;width:23.3pt;z-index:251660288;mso-width-relative:page;mso-height-relative:page;" coordorigin="9614,160469" coordsize="466,792" o:gfxdata="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R+dmgNoAAAAJAQAA&#10;DwAAAAAAAAABACAAAAAiAAAAZHJzL2Rvd25yZXYueG1sUEsBAhQAFAAAAAgAh07iQIpRdGX7AgAA&#10;KgcAAA4AAAAAAAAAAQAgAAAAKQEAAGRycy9lMm9Eb2MueG1sUEsFBgAAAAAGAAYAWQEAAJYGAAAA&#10;AA==&#10;">
                      <o:lock v:ext="edit" aspectratio="f"/>
                      <v:shape id="自选图形 64" o:spid="_x0000_s1026" o:spt="68" type="#_x0000_t68" style="position:absolute;left:9795;top:160881;height:381;width:156;" fillcolor="#FFFFFF" filled="t" stroked="t" coordsize="21600,21600" o:gfxdata="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a2Du74A&#10;AADaAAAADwAAAAAAAAABACAAAAAiAAAAZHJzL2Rvd25yZXYueG1sUEsBAhQAFAAAAAgAh07iQDMv&#10;BZ47AAAAOQAAABAAAAAAAAAAAQAgAAAADQEAAGRycy9zaGFwZXhtbC54bWxQSwUGAAAAAAYABgBb&#10;AQAAtwMAAAAA&#10;" adj="5399,5400">
                        <v:fill on="t" focussize="0,0"/>
                        <v:stroke color="#000000" joinstyle="miter"/>
                        <v:imagedata o:title=""/>
                        <o:lock v:ext="edit" aspectratio="f"/>
                      </v:shape>
                      <v:rect id="矩形 63" o:spid="_x0000_s1026" o:spt="1" style="position:absolute;left:9614;top:160469;height:429;width:467;"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23B3858">
                              <w:pPr>
                                <w:ind w:firstLine="0" w:firstLineChars="0"/>
                                <w:rPr>
                                  <w:b/>
                                  <w:bCs/>
                                  <w:color w:val="CCE8CF" w:themeColor="background1"/>
                                  <w14:textFill>
                                    <w14:solidFill>
                                      <w14:schemeClr w14:val="bg1"/>
                                    </w14:solidFill>
                                  </w14:textFill>
                                </w:rPr>
                              </w:pPr>
                              <w:r>
                                <w:rPr>
                                  <w:rFonts w:hint="eastAsia"/>
                                  <w:b/>
                                  <w:bCs/>
                                  <w:color w:val="CCE8CF" w:themeColor="background1"/>
                                  <w14:textFill>
                                    <w14:solidFill>
                                      <w14:schemeClr w14:val="bg1"/>
                                    </w14:solidFill>
                                  </w14:textFill>
                                </w:rPr>
                                <w:t>北</w:t>
                              </w:r>
                            </w:p>
                          </w:txbxContent>
                        </v:textbox>
                      </v:rect>
                    </v:group>
                  </w:pict>
                </mc:Fallback>
              </mc:AlternateContent>
            </w:r>
            <w:r>
              <w:rPr>
                <w:sz w:val="21"/>
              </w:rPr>
              <w:drawing>
                <wp:anchor distT="0" distB="0" distL="114300" distR="114300" simplePos="0" relativeHeight="251661312" behindDoc="1" locked="0" layoutInCell="1" allowOverlap="1">
                  <wp:simplePos x="0" y="0"/>
                  <wp:positionH relativeFrom="column">
                    <wp:posOffset>18415</wp:posOffset>
                  </wp:positionH>
                  <wp:positionV relativeFrom="paragraph">
                    <wp:posOffset>82550</wp:posOffset>
                  </wp:positionV>
                  <wp:extent cx="5541645" cy="2739390"/>
                  <wp:effectExtent l="0" t="0" r="5715" b="3810"/>
                  <wp:wrapNone/>
                  <wp:docPr id="11" name="图片 11" descr="f1681ae0-65a4-42a3-a3ed-a817265d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1681ae0-65a4-42a3-a3ed-a817265d2e91"/>
                          <pic:cNvPicPr>
                            <a:picLocks noChangeAspect="1"/>
                          </pic:cNvPicPr>
                        </pic:nvPicPr>
                        <pic:blipFill>
                          <a:blip r:embed="rId17"/>
                          <a:srcRect l="-70"/>
                          <a:stretch>
                            <a:fillRect/>
                          </a:stretch>
                        </pic:blipFill>
                        <pic:spPr>
                          <a:xfrm>
                            <a:off x="0" y="0"/>
                            <a:ext cx="5541645" cy="2739390"/>
                          </a:xfrm>
                          <a:prstGeom prst="rect">
                            <a:avLst/>
                          </a:prstGeom>
                        </pic:spPr>
                      </pic:pic>
                    </a:graphicData>
                  </a:graphic>
                </wp:anchor>
              </w:drawing>
            </w:r>
          </w:p>
          <w:p w14:paraId="31F651E4">
            <w:pPr>
              <w:ind w:firstLine="480"/>
              <w:rPr>
                <w:color w:val="000000" w:themeColor="text1"/>
                <w14:textFill>
                  <w14:solidFill>
                    <w14:schemeClr w14:val="tx1"/>
                  </w14:solidFill>
                </w14:textFill>
              </w:rPr>
            </w:pPr>
          </w:p>
          <w:p w14:paraId="722ABF53">
            <w:pPr>
              <w:ind w:firstLine="480"/>
              <w:rPr>
                <w:color w:val="000000" w:themeColor="text1"/>
                <w14:textFill>
                  <w14:solidFill>
                    <w14:schemeClr w14:val="tx1"/>
                  </w14:solidFill>
                </w14:textFill>
              </w:rPr>
            </w:pPr>
          </w:p>
          <w:p w14:paraId="224E7B73">
            <w:pPr>
              <w:ind w:firstLine="480"/>
              <w:rPr>
                <w:color w:val="000000" w:themeColor="text1"/>
                <w14:textFill>
                  <w14:solidFill>
                    <w14:schemeClr w14:val="tx1"/>
                  </w14:solidFill>
                </w14:textFill>
              </w:rPr>
            </w:pPr>
          </w:p>
          <w:p w14:paraId="2A3F3898">
            <w:pPr>
              <w:ind w:firstLine="480"/>
              <w:rPr>
                <w:color w:val="000000" w:themeColor="text1"/>
                <w14:textFill>
                  <w14:solidFill>
                    <w14:schemeClr w14:val="tx1"/>
                  </w14:solidFill>
                </w14:textFill>
              </w:rPr>
            </w:pPr>
          </w:p>
          <w:p w14:paraId="585161D5">
            <w:pPr>
              <w:ind w:firstLine="480"/>
              <w:rPr>
                <w:color w:val="000000" w:themeColor="text1"/>
                <w14:textFill>
                  <w14:solidFill>
                    <w14:schemeClr w14:val="tx1"/>
                  </w14:solidFill>
                </w14:textFill>
              </w:rPr>
            </w:pPr>
          </w:p>
          <w:p w14:paraId="1841E9B0">
            <w:pPr>
              <w:ind w:firstLine="48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2802255</wp:posOffset>
                      </wp:positionH>
                      <wp:positionV relativeFrom="page">
                        <wp:posOffset>7158990</wp:posOffset>
                      </wp:positionV>
                      <wp:extent cx="711835" cy="321945"/>
                      <wp:effectExtent l="101600" t="338455" r="9525" b="10160"/>
                      <wp:wrapNone/>
                      <wp:docPr id="8" name="圆角矩形标注 8"/>
                      <wp:cNvGraphicFramePr/>
                      <a:graphic xmlns:a="http://schemas.openxmlformats.org/drawingml/2006/main">
                        <a:graphicData uri="http://schemas.microsoft.com/office/word/2010/wordprocessingShape">
                          <wps:wsp>
                            <wps:cNvSpPr/>
                            <wps:spPr>
                              <a:xfrm>
                                <a:off x="0" y="0"/>
                                <a:ext cx="711835" cy="321945"/>
                              </a:xfrm>
                              <a:prstGeom prst="wedgeRoundRectCallout">
                                <a:avLst>
                                  <a:gd name="adj1" fmla="val -63380"/>
                                  <a:gd name="adj2" fmla="val -153155"/>
                                  <a:gd name="adj3" fmla="val 16667"/>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7648339">
                                  <w:pPr>
                                    <w:spacing w:line="240" w:lineRule="auto"/>
                                    <w:ind w:firstLine="0" w:firstLineChars="0"/>
                                    <w:rPr>
                                      <w:b/>
                                      <w:bCs/>
                                      <w:color w:val="FF0000"/>
                                    </w:rPr>
                                  </w:pPr>
                                  <w:r>
                                    <w:rPr>
                                      <w:rFonts w:hint="eastAsia"/>
                                      <w:b/>
                                      <w:bCs/>
                                      <w:color w:val="FF0000"/>
                                    </w:rPr>
                                    <w:t>本项目</w:t>
                                  </w:r>
                                </w:p>
                                <w:p w14:paraId="08BC4148">
                                  <w:pPr>
                                    <w:ind w:firstLine="48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20.65pt;margin-top:563.7pt;height:25.35pt;width:56.05pt;mso-position-vertical-relative:page;z-index:251659264;v-text-anchor:middle;mso-width-relative:page;mso-height-relative:page;" filled="f" stroked="t" coordsize="21600,21600" o:gfxdata="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d6XWbcAAAADQEAAA8AAAAAAAAA&#10;AQAgAAAAIgAAAGRycy9kb3ducmV2LnhtbFBLAQIUABQAAAAIAIdO4kAwBoGsuAIAAFMFAAAOAAAA&#10;AAAAAAEAIAAAACsBAABkcnMvZTJvRG9jLnhtbFBLBQYAAAAABgAGAFkBAABVBgAAAAA=&#10;" adj="-2890,-22281,14400">
                      <v:fill on="f" focussize="0,0"/>
                      <v:stroke weight="1pt" color="#FF0000 [2404]" joinstyle="round"/>
                      <v:imagedata o:title=""/>
                      <o:lock v:ext="edit" aspectratio="f"/>
                      <v:textbox>
                        <w:txbxContent>
                          <w:p w14:paraId="07648339">
                            <w:pPr>
                              <w:spacing w:line="240" w:lineRule="auto"/>
                              <w:ind w:firstLine="0" w:firstLineChars="0"/>
                              <w:rPr>
                                <w:b/>
                                <w:bCs/>
                                <w:color w:val="FF0000"/>
                              </w:rPr>
                            </w:pPr>
                            <w:r>
                              <w:rPr>
                                <w:rFonts w:hint="eastAsia"/>
                                <w:b/>
                                <w:bCs/>
                                <w:color w:val="FF0000"/>
                              </w:rPr>
                              <w:t>本项目</w:t>
                            </w:r>
                          </w:p>
                          <w:p w14:paraId="08BC4148">
                            <w:pPr>
                              <w:ind w:firstLine="480"/>
                              <w:jc w:val="center"/>
                            </w:pPr>
                          </w:p>
                        </w:txbxContent>
                      </v:textbox>
                    </v:shape>
                  </w:pict>
                </mc:Fallback>
              </mc:AlternateContent>
            </w:r>
          </w:p>
          <w:p w14:paraId="0EF5DC4E">
            <w:pPr>
              <w:ind w:firstLine="480"/>
              <w:rPr>
                <w:color w:val="000000" w:themeColor="text1"/>
                <w14:textFill>
                  <w14:solidFill>
                    <w14:schemeClr w14:val="tx1"/>
                  </w14:solidFill>
                </w14:textFill>
              </w:rPr>
            </w:pPr>
          </w:p>
          <w:p w14:paraId="1F517A93">
            <w:pPr>
              <w:pStyle w:val="14"/>
              <w:snapToGrid w:val="0"/>
              <w:spacing w:line="520" w:lineRule="exact"/>
              <w:ind w:left="1200" w:leftChars="500" w:firstLine="720" w:firstLineChars="300"/>
              <w:rPr>
                <w:rFonts w:hint="eastAsia"/>
                <w:color w:val="000000" w:themeColor="text1"/>
                <w14:textFill>
                  <w14:solidFill>
                    <w14:schemeClr w14:val="tx1"/>
                  </w14:solidFill>
                </w14:textFill>
              </w:rPr>
            </w:pPr>
          </w:p>
          <w:p w14:paraId="6D503C54">
            <w:pPr>
              <w:pStyle w:val="14"/>
              <w:snapToGrid w:val="0"/>
              <w:spacing w:line="520" w:lineRule="exact"/>
              <w:ind w:left="1200" w:leftChars="500" w:firstLine="720" w:firstLineChars="300"/>
              <w:rPr>
                <w:rFonts w:eastAsia="黑体"/>
                <w:color w:val="000000" w:themeColor="text1"/>
                <w:highlight w:val="none"/>
                <w:lang w:val="pt-BR"/>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r>
              <w:rPr>
                <w:rFonts w:eastAsia="黑体"/>
                <w:color w:val="000000" w:themeColor="text1"/>
                <w:highlight w:val="none"/>
                <w:lang w:val="pt-BR"/>
                <w14:textFill>
                  <w14:solidFill>
                    <w14:schemeClr w14:val="tx1"/>
                  </w14:solidFill>
                </w14:textFill>
              </w:rPr>
              <w:t>图1</w:t>
            </w:r>
            <w:r>
              <w:rPr>
                <w:rFonts w:hint="eastAsia" w:eastAsia="黑体"/>
                <w:color w:val="000000" w:themeColor="text1"/>
                <w:highlight w:val="none"/>
                <w14:textFill>
                  <w14:solidFill>
                    <w14:schemeClr w14:val="tx1"/>
                  </w14:solidFill>
                </w14:textFill>
              </w:rPr>
              <w:t xml:space="preserve">-1 </w:t>
            </w:r>
            <w:r>
              <w:rPr>
                <w:rFonts w:eastAsia="黑体"/>
                <w:color w:val="000000" w:themeColor="text1"/>
                <w:highlight w:val="none"/>
                <w:lang w:val="pt-BR"/>
                <w14:textFill>
                  <w14:solidFill>
                    <w14:schemeClr w14:val="tx1"/>
                  </w14:solidFill>
                </w14:textFill>
              </w:rPr>
              <w:t xml:space="preserve">  </w:t>
            </w:r>
            <w:r>
              <w:rPr>
                <w:rFonts w:eastAsia="黑体"/>
                <w:color w:val="000000" w:themeColor="text1"/>
                <w:highlight w:val="none"/>
                <w14:textFill>
                  <w14:solidFill>
                    <w14:schemeClr w14:val="tx1"/>
                  </w14:solidFill>
                </w14:textFill>
              </w:rPr>
              <w:t xml:space="preserve">       </w:t>
            </w:r>
            <w:r>
              <w:rPr>
                <w:rFonts w:hint="eastAsia" w:eastAsia="黑体"/>
                <w:color w:val="000000" w:themeColor="text1"/>
                <w:highlight w:val="none"/>
                <w14:textFill>
                  <w14:solidFill>
                    <w14:schemeClr w14:val="tx1"/>
                  </w14:solidFill>
                </w14:textFill>
              </w:rPr>
              <w:t>项目所在地</w:t>
            </w:r>
            <w:r>
              <w:rPr>
                <w:rFonts w:eastAsia="黑体"/>
                <w:color w:val="000000" w:themeColor="text1"/>
                <w:highlight w:val="none"/>
                <w:lang w:val="pt-BR"/>
                <w14:textFill>
                  <w14:solidFill>
                    <w14:schemeClr w14:val="tx1"/>
                  </w14:solidFill>
                </w14:textFill>
              </w:rPr>
              <w:t>环境管控单元图</w:t>
            </w:r>
          </w:p>
          <w:p w14:paraId="7E90B6EC">
            <w:pPr>
              <w:pStyle w:val="14"/>
              <w:snapToGrid w:val="0"/>
              <w:spacing w:line="520" w:lineRule="exact"/>
              <w:ind w:firstLine="480"/>
              <w:rPr>
                <w:rFonts w:eastAsia="黑体"/>
                <w:color w:val="000000" w:themeColor="text1"/>
                <w14:textFill>
                  <w14:solidFill>
                    <w14:schemeClr w14:val="tx1"/>
                  </w14:solidFill>
                </w14:textFill>
              </w:rPr>
            </w:pPr>
            <w:r>
              <w:rPr>
                <w:rFonts w:hint="eastAsia"/>
                <w:color w:val="000000" w:themeColor="text1"/>
                <w:shd w:val="clear" w:color="auto" w:fill="FFFFFF"/>
                <w14:textFill>
                  <w14:solidFill>
                    <w14:schemeClr w14:val="tx1"/>
                  </w14:solidFill>
                </w14:textFill>
              </w:rPr>
              <w:t>本项目厂址位于</w:t>
            </w:r>
            <w:r>
              <w:rPr>
                <w:rFonts w:hint="eastAsia"/>
                <w:color w:val="000000" w:themeColor="text1"/>
                <w:shd w:val="clear" w:color="auto" w:fill="FFFFFF"/>
                <w:lang w:eastAsia="zh-CN"/>
                <w14:textFill>
                  <w14:solidFill>
                    <w14:schemeClr w14:val="tx1"/>
                  </w14:solidFill>
                </w14:textFill>
              </w:rPr>
              <w:t>新乡市新能源电池专业园区标北路11号3A号厂房</w:t>
            </w:r>
            <w:r>
              <w:rPr>
                <w:rFonts w:hint="eastAsia"/>
                <w:color w:val="000000" w:themeColor="text1"/>
                <w:shd w:val="clear" w:color="auto" w:fill="FFFFFF"/>
                <w14:textFill>
                  <w14:solidFill>
                    <w14:schemeClr w14:val="tx1"/>
                  </w14:solidFill>
                </w14:textFill>
              </w:rPr>
              <w:t>，根据上图，本项目厂址属于重点管控单元（环境管控单元名称：凤泉区大气布局敏感区；环境管控单元编码：ZH41070420003），本项目与《河南省生态环境分区管控总体要求（2023年版）》及《新乡市“三线一单”生态环境准入清单》（2023年版）相符性分析见下表。</w:t>
            </w:r>
          </w:p>
          <w:p w14:paraId="0F03233D">
            <w:pPr>
              <w:spacing w:line="520" w:lineRule="exact"/>
              <w:ind w:firstLine="480"/>
              <w:rPr>
                <w:rFonts w:eastAsia="黑体"/>
                <w:color w:val="000000" w:themeColor="text1"/>
                <w:lang w:val="pt-BR"/>
                <w14:textFill>
                  <w14:solidFill>
                    <w14:schemeClr w14:val="tx1"/>
                  </w14:solidFill>
                </w14:textFill>
              </w:rPr>
            </w:pPr>
            <w:r>
              <w:rPr>
                <w:rFonts w:eastAsia="黑体"/>
                <w:color w:val="000000" w:themeColor="text1"/>
                <w:lang w:val="pt-BR"/>
                <w14:textFill>
                  <w14:solidFill>
                    <w14:schemeClr w14:val="tx1"/>
                  </w14:solidFill>
                </w14:textFill>
              </w:rPr>
              <w:t>表1</w:t>
            </w:r>
            <w:r>
              <w:rPr>
                <w:rFonts w:eastAsia="黑体"/>
                <w:color w:val="000000" w:themeColor="text1"/>
                <w14:textFill>
                  <w14:solidFill>
                    <w14:schemeClr w14:val="tx1"/>
                  </w14:solidFill>
                </w14:textFill>
              </w:rPr>
              <w:t>-</w:t>
            </w:r>
            <w:r>
              <w:rPr>
                <w:rFonts w:hint="eastAsia" w:eastAsia="黑体"/>
                <w:color w:val="000000" w:themeColor="text1"/>
                <w14:textFill>
                  <w14:solidFill>
                    <w14:schemeClr w14:val="tx1"/>
                  </w14:solidFill>
                </w14:textFill>
              </w:rPr>
              <w:t>6</w:t>
            </w:r>
            <w:r>
              <w:rPr>
                <w:rFonts w:eastAsia="黑体"/>
                <w:color w:val="000000" w:themeColor="text1"/>
                <w14:textFill>
                  <w14:solidFill>
                    <w14:schemeClr w14:val="tx1"/>
                  </w14:solidFill>
                </w14:textFill>
              </w:rPr>
              <w:t xml:space="preserve"> 与</w:t>
            </w:r>
            <w:r>
              <w:rPr>
                <w:rFonts w:eastAsia="黑体"/>
                <w:color w:val="000000" w:themeColor="text1"/>
                <w:lang w:val="pt-BR"/>
                <w14:textFill>
                  <w14:solidFill>
                    <w14:schemeClr w14:val="tx1"/>
                  </w14:solidFill>
                </w14:textFill>
              </w:rPr>
              <w:t>《河南省生态环境分区管控总体要求（2023年版）》及《新乡市“三线一单”生态环境准入清单》（2023年版）相符性分析</w:t>
            </w:r>
          </w:p>
          <w:tbl>
            <w:tblPr>
              <w:tblStyle w:val="26"/>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57" w:type="dxa"/>
                <w:bottom w:w="85" w:type="dxa"/>
                <w:right w:w="57" w:type="dxa"/>
              </w:tblCellMar>
            </w:tblPr>
            <w:tblGrid>
              <w:gridCol w:w="334"/>
              <w:gridCol w:w="338"/>
              <w:gridCol w:w="4712"/>
              <w:gridCol w:w="2993"/>
              <w:gridCol w:w="477"/>
            </w:tblGrid>
            <w:tr w14:paraId="7A72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3F3D1E4B">
                  <w:pPr>
                    <w:pStyle w:val="21"/>
                    <w:adjustRightInd w:val="0"/>
                    <w:snapToGrid w:val="0"/>
                    <w:spacing w:before="0" w:beforeAutospacing="0" w:after="0" w:afterAutospacing="0" w:line="240" w:lineRule="auto"/>
                    <w:ind w:firstLine="0" w:firstLineChars="0"/>
                    <w:jc w:val="center"/>
                    <w:outlineLvl w:val="0"/>
                    <w:rPr>
                      <w:rFonts w:ascii="Times New Roman" w:hAnsi="Times New Roman"/>
                      <w:b/>
                      <w:bCs/>
                      <w:snapToGrid w:val="0"/>
                      <w:color w:val="000000" w:themeColor="text1"/>
                      <w:sz w:val="21"/>
                      <w:szCs w:val="21"/>
                      <w14:textFill>
                        <w14:solidFill>
                          <w14:schemeClr w14:val="tx1"/>
                        </w14:solidFill>
                      </w14:textFill>
                    </w:rPr>
                  </w:pPr>
                  <w:r>
                    <w:rPr>
                      <w:rFonts w:ascii="Times New Roman" w:hAnsi="Times New Roman"/>
                      <w:b/>
                      <w:bCs/>
                      <w:snapToGrid w:val="0"/>
                      <w:color w:val="000000" w:themeColor="text1"/>
                      <w:sz w:val="21"/>
                      <w:szCs w:val="21"/>
                      <w14:textFill>
                        <w14:solidFill>
                          <w14:schemeClr w14:val="tx1"/>
                        </w14:solidFill>
                      </w14:textFill>
                    </w:rPr>
                    <w:t>环境管控单元名称</w:t>
                  </w:r>
                </w:p>
              </w:tc>
              <w:tc>
                <w:tcPr>
                  <w:tcW w:w="4712" w:type="dxa"/>
                  <w:tcMar>
                    <w:top w:w="28" w:type="dxa"/>
                    <w:bottom w:w="57" w:type="dxa"/>
                  </w:tcMar>
                  <w:vAlign w:val="center"/>
                </w:tcPr>
                <w:p w14:paraId="61498D1B">
                  <w:pPr>
                    <w:pStyle w:val="6"/>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管控要求</w:t>
                  </w:r>
                </w:p>
              </w:tc>
              <w:tc>
                <w:tcPr>
                  <w:tcW w:w="2993" w:type="dxa"/>
                  <w:vAlign w:val="center"/>
                </w:tcPr>
                <w:p w14:paraId="7086047F">
                  <w:pPr>
                    <w:pStyle w:val="6"/>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本项目情况</w:t>
                  </w:r>
                </w:p>
              </w:tc>
              <w:tc>
                <w:tcPr>
                  <w:tcW w:w="477" w:type="dxa"/>
                  <w:vAlign w:val="center"/>
                </w:tcPr>
                <w:p w14:paraId="40B0E90F">
                  <w:pPr>
                    <w:pStyle w:val="6"/>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是否符合</w:t>
                  </w:r>
                </w:p>
              </w:tc>
            </w:tr>
            <w:tr w14:paraId="75C2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90" w:hRule="atLeast"/>
                <w:jc w:val="center"/>
              </w:trPr>
              <w:tc>
                <w:tcPr>
                  <w:tcW w:w="8854" w:type="dxa"/>
                  <w:gridSpan w:val="5"/>
                  <w:tcMar>
                    <w:top w:w="28" w:type="dxa"/>
                    <w:bottom w:w="57" w:type="dxa"/>
                  </w:tcMar>
                  <w:vAlign w:val="center"/>
                </w:tcPr>
                <w:p w14:paraId="610C932D">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河南省生态环境总体准入要求（重点管控单元）</w:t>
                  </w:r>
                </w:p>
              </w:tc>
            </w:tr>
            <w:tr w14:paraId="669A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71424DDD">
                  <w:pPr>
                    <w:pStyle w:val="76"/>
                    <w:framePr w:hSpace="0" w:wrap="auto" w:vAnchor="margin" w:hAnchor="text" w:yAlign="inline"/>
                    <w:adjustRightInd w:val="0"/>
                    <w:snapToGrid w:val="0"/>
                    <w:spacing w:line="240" w:lineRule="auto"/>
                    <w:ind w:firstLine="0" w:firstLineChars="0"/>
                    <w:jc w:val="center"/>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空间布局约束</w:t>
                  </w:r>
                </w:p>
              </w:tc>
              <w:tc>
                <w:tcPr>
                  <w:tcW w:w="4712" w:type="dxa"/>
                  <w:tcMar>
                    <w:top w:w="28" w:type="dxa"/>
                    <w:bottom w:w="57" w:type="dxa"/>
                  </w:tcMar>
                  <w:vAlign w:val="center"/>
                </w:tcPr>
                <w:p w14:paraId="60C2533B">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1.根据国家产业政策、区域定位及环境特征等，建立差别化的产业准入要求，鼓励建设符合规划环评的项目。</w:t>
                  </w:r>
                </w:p>
                <w:p w14:paraId="1EE4A8E4">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2.推行绿色制造，支持创建绿色工厂、绿色园区、绿色供应链。</w:t>
                  </w:r>
                </w:p>
                <w:p w14:paraId="7D5FDCE5">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3.推进新建石化化工项目向资源环境优势基地集中，引导化工项目进区入园，促进高水平集聚发展。</w:t>
                  </w:r>
                </w:p>
                <w:p w14:paraId="67EBDF19">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4.强化环境准入约束，坚决遏制“两高一低”项目盲目发展，对不符合规定的项目坚决停批停建。</w:t>
                  </w:r>
                </w:p>
                <w:p w14:paraId="34A93BC7">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5.涉及产能置换的项目，被置换产能及其配套设施关停后，新建项目方可投产。</w:t>
                  </w:r>
                </w:p>
                <w:p w14:paraId="48602C3F">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6.加快城市建成区内重污染企业就地改造、退城入园、转型转产或关闭退出。</w:t>
                  </w:r>
                </w:p>
                <w:p w14:paraId="398F3E17">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7.将土壤环境要求纳入国土空间规划，根据土壤污染状况和风险合理规划土地用途。对列入建设用地土壤污染风险管控和修复名录的地块，不得作为住宅、公共管理与公共服务用地；不得办理土地征收、回购、收购、土地供应以及改变土地用途等手续。</w:t>
                  </w:r>
                </w:p>
                <w:p w14:paraId="5D31143E">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8.在集中供热管网覆盖地区，禁止新建、扩建分散燃煤供热锅炉。</w:t>
                  </w:r>
                </w:p>
              </w:tc>
              <w:tc>
                <w:tcPr>
                  <w:tcW w:w="2993" w:type="dxa"/>
                  <w:vAlign w:val="center"/>
                </w:tcPr>
                <w:p w14:paraId="6C149256">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1.本项目符合国家产业政策</w:t>
                  </w:r>
                  <w:r>
                    <w:rPr>
                      <w:rFonts w:hint="eastAsia" w:ascii="Times New Roman" w:hAnsi="Times New Roman"/>
                      <w:color w:val="000000" w:themeColor="text1"/>
                      <w:sz w:val="21"/>
                      <w:szCs w:val="21"/>
                      <w14:textFill>
                        <w14:solidFill>
                          <w14:schemeClr w14:val="tx1"/>
                        </w14:solidFill>
                      </w14:textFill>
                    </w:rPr>
                    <w:t>、区域定位，符合新乡市新能源电池专业园区</w:t>
                  </w:r>
                  <w:r>
                    <w:rPr>
                      <w:rFonts w:hint="eastAsia"/>
                      <w:color w:val="000000" w:themeColor="text1"/>
                      <w:sz w:val="21"/>
                      <w:szCs w:val="21"/>
                      <w14:textFill>
                        <w14:solidFill>
                          <w14:schemeClr w14:val="tx1"/>
                        </w14:solidFill>
                      </w14:textFill>
                    </w:rPr>
                    <w:t>总体发展规划</w:t>
                  </w:r>
                  <w:r>
                    <w:rPr>
                      <w:rFonts w:ascii="Times New Roman" w:hAnsi="Times New Roman"/>
                      <w:color w:val="000000" w:themeColor="text1"/>
                      <w:sz w:val="21"/>
                      <w:szCs w:val="21"/>
                      <w14:textFill>
                        <w14:solidFill>
                          <w14:schemeClr w14:val="tx1"/>
                        </w14:solidFill>
                      </w14:textFill>
                    </w:rPr>
                    <w:t>。</w:t>
                  </w:r>
                </w:p>
                <w:p w14:paraId="09E6EA38">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本项目积极推行绿色工厂建造。</w:t>
                  </w:r>
                </w:p>
                <w:p w14:paraId="50475577">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w:t>
                  </w:r>
                  <w:r>
                    <w:rPr>
                      <w:rFonts w:hint="eastAsia" w:ascii="Times New Roman" w:hAnsi="Times New Roman"/>
                      <w:color w:val="000000" w:themeColor="text1"/>
                      <w:sz w:val="21"/>
                      <w:szCs w:val="21"/>
                      <w14:textFill>
                        <w14:solidFill>
                          <w14:schemeClr w14:val="tx1"/>
                        </w14:solidFill>
                      </w14:textFill>
                    </w:rPr>
                    <w:t>本</w:t>
                  </w:r>
                  <w:r>
                    <w:rPr>
                      <w:rFonts w:ascii="Times New Roman" w:hAnsi="Times New Roman"/>
                      <w:color w:val="000000" w:themeColor="text1"/>
                      <w:sz w:val="21"/>
                      <w:szCs w:val="21"/>
                      <w14:textFill>
                        <w14:solidFill>
                          <w14:schemeClr w14:val="tx1"/>
                        </w14:solidFill>
                      </w14:textFill>
                    </w:rPr>
                    <w:t>项目不涉及。</w:t>
                  </w:r>
                </w:p>
                <w:p w14:paraId="4F7BF848">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4.本项目</w:t>
                  </w:r>
                  <w:r>
                    <w:rPr>
                      <w:rFonts w:hint="eastAsia" w:ascii="Times New Roman" w:hAnsi="Times New Roman"/>
                      <w:color w:val="000000" w:themeColor="text1"/>
                      <w:sz w:val="21"/>
                      <w:szCs w:val="21"/>
                      <w14:textFill>
                        <w14:solidFill>
                          <w14:schemeClr w14:val="tx1"/>
                        </w14:solidFill>
                      </w14:textFill>
                    </w:rPr>
                    <w:t>不属于“两高一低”项目</w:t>
                  </w:r>
                  <w:r>
                    <w:rPr>
                      <w:rFonts w:ascii="Times New Roman" w:hAnsi="Times New Roman"/>
                      <w:color w:val="000000" w:themeColor="text1"/>
                      <w:sz w:val="21"/>
                      <w:szCs w:val="21"/>
                      <w14:textFill>
                        <w14:solidFill>
                          <w14:schemeClr w14:val="tx1"/>
                        </w14:solidFill>
                      </w14:textFill>
                    </w:rPr>
                    <w:t>。</w:t>
                  </w:r>
                </w:p>
                <w:p w14:paraId="7A673808">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5.</w:t>
                  </w:r>
                  <w:r>
                    <w:rPr>
                      <w:rFonts w:hint="eastAsia" w:ascii="Times New Roman" w:hAnsi="Times New Roman"/>
                      <w:color w:val="000000" w:themeColor="text1"/>
                      <w:sz w:val="21"/>
                      <w:szCs w:val="21"/>
                      <w14:textFill>
                        <w14:solidFill>
                          <w14:schemeClr w14:val="tx1"/>
                        </w14:solidFill>
                      </w14:textFill>
                    </w:rPr>
                    <w:t>本项目不涉及。</w:t>
                  </w:r>
                </w:p>
                <w:p w14:paraId="6E3AA6A9">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6.本项目不涉及。</w:t>
                  </w:r>
                </w:p>
                <w:p w14:paraId="4821AB17">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7.本</w:t>
                  </w:r>
                  <w:r>
                    <w:rPr>
                      <w:rFonts w:ascii="Times New Roman" w:hAnsi="Times New Roman"/>
                      <w:color w:val="000000" w:themeColor="text1"/>
                      <w:sz w:val="21"/>
                      <w:szCs w:val="21"/>
                      <w14:textFill>
                        <w14:solidFill>
                          <w14:schemeClr w14:val="tx1"/>
                        </w14:solidFill>
                      </w14:textFill>
                    </w:rPr>
                    <w:t>项目</w:t>
                  </w:r>
                  <w:r>
                    <w:rPr>
                      <w:rFonts w:hint="eastAsia" w:ascii="Times New Roman" w:hAnsi="Times New Roman"/>
                      <w:color w:val="000000" w:themeColor="text1"/>
                      <w:sz w:val="21"/>
                      <w:szCs w:val="21"/>
                      <w14:textFill>
                        <w14:solidFill>
                          <w14:schemeClr w14:val="tx1"/>
                        </w14:solidFill>
                      </w14:textFill>
                    </w:rPr>
                    <w:t>用地属于工业用地，</w:t>
                  </w:r>
                  <w:r>
                    <w:rPr>
                      <w:rFonts w:ascii="Times New Roman" w:hAnsi="Times New Roman"/>
                      <w:color w:val="000000" w:themeColor="text1"/>
                      <w:sz w:val="21"/>
                      <w:szCs w:val="21"/>
                      <w14:textFill>
                        <w14:solidFill>
                          <w14:schemeClr w14:val="tx1"/>
                        </w14:solidFill>
                      </w14:textFill>
                    </w:rPr>
                    <w:t>不</w:t>
                  </w:r>
                  <w:r>
                    <w:rPr>
                      <w:rFonts w:hint="eastAsia" w:ascii="Times New Roman" w:hAnsi="Times New Roman"/>
                      <w:color w:val="000000" w:themeColor="text1"/>
                      <w:sz w:val="21"/>
                      <w:szCs w:val="21"/>
                      <w14:textFill>
                        <w14:solidFill>
                          <w14:schemeClr w14:val="tx1"/>
                        </w14:solidFill>
                      </w14:textFill>
                    </w:rPr>
                    <w:t>涉及改变土地用途</w:t>
                  </w:r>
                  <w:r>
                    <w:rPr>
                      <w:rFonts w:ascii="Times New Roman" w:hAnsi="Times New Roman"/>
                      <w:color w:val="000000" w:themeColor="text1"/>
                      <w:sz w:val="21"/>
                      <w:szCs w:val="21"/>
                      <w14:textFill>
                        <w14:solidFill>
                          <w14:schemeClr w14:val="tx1"/>
                        </w14:solidFill>
                      </w14:textFill>
                    </w:rPr>
                    <w:t>。</w:t>
                  </w:r>
                </w:p>
                <w:p w14:paraId="1EBF7315">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8</w:t>
                  </w:r>
                  <w:r>
                    <w:rPr>
                      <w:rFonts w:ascii="Times New Roman" w:hAnsi="Times New Roman"/>
                      <w:color w:val="000000" w:themeColor="text1"/>
                      <w:sz w:val="21"/>
                      <w:szCs w:val="21"/>
                      <w14:textFill>
                        <w14:solidFill>
                          <w14:schemeClr w14:val="tx1"/>
                        </w14:solidFill>
                      </w14:textFill>
                    </w:rPr>
                    <w:t>.本项目不涉及燃煤锅炉。</w:t>
                  </w:r>
                </w:p>
              </w:tc>
              <w:tc>
                <w:tcPr>
                  <w:tcW w:w="477" w:type="dxa"/>
                  <w:vAlign w:val="center"/>
                </w:tcPr>
                <w:p w14:paraId="684D8C84">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5A72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745AFF27">
                  <w:pPr>
                    <w:pStyle w:val="76"/>
                    <w:framePr w:hSpace="0" w:wrap="auto" w:vAnchor="margin" w:hAnchor="text" w:yAlign="inline"/>
                    <w:adjustRightInd w:val="0"/>
                    <w:snapToGrid w:val="0"/>
                    <w:spacing w:line="240" w:lineRule="auto"/>
                    <w:ind w:firstLine="0" w:firstLineChars="0"/>
                    <w:jc w:val="center"/>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污染物排放管控</w:t>
                  </w:r>
                </w:p>
              </w:tc>
              <w:tc>
                <w:tcPr>
                  <w:tcW w:w="4712" w:type="dxa"/>
                  <w:tcMar>
                    <w:top w:w="28" w:type="dxa"/>
                    <w:bottom w:w="57" w:type="dxa"/>
                  </w:tcMar>
                  <w:vAlign w:val="center"/>
                </w:tcPr>
                <w:p w14:paraId="67DE8F27">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1.重点行业建设项目应满足区域、流域控制单元环境质量改善目标管理要求。</w:t>
                  </w:r>
                </w:p>
                <w:p w14:paraId="20BB0DC8">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2.强化项目环评及“三同时”管理。新建、扩建“两高”项目应采用先进的工艺技术和装备，单位产品污染物排放强度应达到清洁生产先进水平，其中，国家、省绩效分级重点行业新建、扩建项目达到 A 级水平，改建项目达到 B 级以上水平。</w:t>
                  </w:r>
                </w:p>
                <w:p w14:paraId="17A41612">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3.以钢铁、焦化、铸造、建材、有色、石化、化工、工业涂装、包装印刷、电镀、制革、石油开采、造纸、纺织印染、农副食品加工等行业为重点，开展全流程清洁化、循环化、低碳化改造；加快推进钢铁、水泥、焦化行业超低排放改造。</w:t>
                  </w:r>
                </w:p>
                <w:p w14:paraId="2024341A">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4.深入推进低挥发性有机物含量原辅材料源头替代，全面推广使用低挥发性有机物含量的涂料、油墨、胶粘剂、清洗剂等新兴原辅材料。</w:t>
                  </w:r>
                </w:p>
                <w:p w14:paraId="0CECC5D4">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5.采矿项目矿井涌水应尽可能回用生产或综合利用，外排矿井涌水应满足受纳水体水功能区划和控制断面水质要求；选厂的生产废水及初期雨水、矿石及废石场的淋溶水、尾矿库澄清水及渗滤水应收集回用，不外排。</w:t>
                  </w:r>
                </w:p>
                <w:p w14:paraId="3D49CDEA">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6.新建、扩建开发区、工业园区同步规划建设污水收集和集中处理设施，强化工业废水处理设施运行管理，确保稳定达标排放；按照</w:t>
                  </w:r>
                  <w:r>
                    <w:rPr>
                      <w:rFonts w:hint="eastAsia" w:ascii="Times New Roman" w:hAnsi="Times New Roman"/>
                      <w:color w:val="000000" w:themeColor="text1"/>
                      <w:sz w:val="21"/>
                      <w:szCs w:val="21"/>
                      <w:highlight w:val="none"/>
                      <w:lang w:eastAsia="zh-CN"/>
                      <w14:textFill>
                        <w14:solidFill>
                          <w14:schemeClr w14:val="tx1"/>
                        </w14:solidFill>
                      </w14:textFill>
                    </w:rPr>
                    <w:t>“</w:t>
                  </w:r>
                  <w:r>
                    <w:rPr>
                      <w:rFonts w:ascii="Times New Roman" w:hAnsi="Times New Roman"/>
                      <w:color w:val="000000" w:themeColor="text1"/>
                      <w:sz w:val="21"/>
                      <w:szCs w:val="21"/>
                      <w:highlight w:val="none"/>
                      <w14:textFill>
                        <w14:solidFill>
                          <w14:schemeClr w14:val="tx1"/>
                        </w14:solidFill>
                      </w14:textFill>
                    </w:rPr>
                    <w:t>减量化、稳定化、无害化、资源化</w:t>
                  </w:r>
                  <w:r>
                    <w:rPr>
                      <w:rFonts w:hint="eastAsia" w:ascii="Times New Roman" w:hAnsi="Times New Roman"/>
                      <w:color w:val="000000" w:themeColor="text1"/>
                      <w:sz w:val="21"/>
                      <w:szCs w:val="21"/>
                      <w:highlight w:val="none"/>
                      <w:lang w:eastAsia="zh-CN"/>
                      <w14:textFill>
                        <w14:solidFill>
                          <w14:schemeClr w14:val="tx1"/>
                        </w14:solidFill>
                      </w14:textFill>
                    </w:rPr>
                    <w:t>”</w:t>
                  </w:r>
                  <w:r>
                    <w:rPr>
                      <w:rFonts w:ascii="Times New Roman" w:hAnsi="Times New Roman"/>
                      <w:color w:val="000000" w:themeColor="text1"/>
                      <w:sz w:val="21"/>
                      <w:szCs w:val="21"/>
                      <w:highlight w:val="none"/>
                      <w14:textFill>
                        <w14:solidFill>
                          <w14:schemeClr w14:val="tx1"/>
                        </w14:solidFill>
                      </w14:textFill>
                    </w:rPr>
                    <w:t>要求，加快城镇污水处理厂污泥处理设施建设，新建污水处理厂必须有明确的污泥处置途径；依法查处取缔非法污泥堆放点，禁止重金属等污染物不达标的污泥进行土地利用。</w:t>
                  </w:r>
                </w:p>
                <w:p w14:paraId="037F4F6C">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7.鼓励企业采用先进治理技术，打造行业噪声污染治理示范典型。排放噪声的工业企业应切实采取减振降噪措施，加强厂区内固定设备、运输工具、货物装卸等噪声源管理，同时避免突发噪声扰民。</w:t>
                  </w:r>
                </w:p>
              </w:tc>
              <w:tc>
                <w:tcPr>
                  <w:tcW w:w="2993" w:type="dxa"/>
                  <w:vAlign w:val="center"/>
                </w:tcPr>
                <w:p w14:paraId="52C9038F">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1.本项目</w:t>
                  </w:r>
                  <w:r>
                    <w:rPr>
                      <w:rFonts w:hint="eastAsia" w:ascii="Times New Roman" w:hAnsi="Times New Roman"/>
                      <w:color w:val="000000" w:themeColor="text1"/>
                      <w:sz w:val="21"/>
                      <w:szCs w:val="21"/>
                      <w:highlight w:val="none"/>
                      <w14:textFill>
                        <w14:solidFill>
                          <w14:schemeClr w14:val="tx1"/>
                        </w14:solidFill>
                      </w14:textFill>
                    </w:rPr>
                    <w:t>污染物排放总量可以</w:t>
                  </w:r>
                  <w:r>
                    <w:rPr>
                      <w:rFonts w:ascii="Times New Roman" w:hAnsi="Times New Roman"/>
                      <w:color w:val="000000" w:themeColor="text1"/>
                      <w:sz w:val="21"/>
                      <w:szCs w:val="21"/>
                      <w:highlight w:val="none"/>
                      <w14:textFill>
                        <w14:solidFill>
                          <w14:schemeClr w14:val="tx1"/>
                        </w14:solidFill>
                      </w14:textFill>
                    </w:rPr>
                    <w:t>满足区域、流域控制单元环境质量改善目标管理要求。</w:t>
                  </w:r>
                </w:p>
                <w:p w14:paraId="57928CE1">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2.本项目</w:t>
                  </w:r>
                  <w:r>
                    <w:rPr>
                      <w:rFonts w:hint="eastAsia" w:ascii="Times New Roman" w:hAnsi="Times New Roman"/>
                      <w:color w:val="000000" w:themeColor="text1"/>
                      <w:sz w:val="21"/>
                      <w:szCs w:val="21"/>
                      <w:highlight w:val="none"/>
                      <w14:textFill>
                        <w14:solidFill>
                          <w14:schemeClr w14:val="tx1"/>
                        </w14:solidFill>
                      </w14:textFill>
                    </w:rPr>
                    <w:t>建成后将严格执行</w:t>
                  </w:r>
                  <w:r>
                    <w:rPr>
                      <w:rFonts w:ascii="Times New Roman" w:hAnsi="Times New Roman"/>
                      <w:color w:val="000000" w:themeColor="text1"/>
                      <w:sz w:val="21"/>
                      <w:szCs w:val="21"/>
                      <w:highlight w:val="none"/>
                      <w14:textFill>
                        <w14:solidFill>
                          <w14:schemeClr w14:val="tx1"/>
                        </w14:solidFill>
                      </w14:textFill>
                    </w:rPr>
                    <w:t>环评及</w:t>
                  </w:r>
                  <w:r>
                    <w:rPr>
                      <w:rFonts w:hint="eastAsia" w:ascii="Times New Roman" w:hAnsi="Times New Roman"/>
                      <w:color w:val="000000" w:themeColor="text1"/>
                      <w:sz w:val="21"/>
                      <w:szCs w:val="21"/>
                      <w:highlight w:val="none"/>
                      <w14:textFill>
                        <w14:solidFill>
                          <w14:schemeClr w14:val="tx1"/>
                        </w14:solidFill>
                      </w14:textFill>
                    </w:rPr>
                    <w:t>“</w:t>
                  </w:r>
                  <w:r>
                    <w:rPr>
                      <w:rFonts w:ascii="Times New Roman" w:hAnsi="Times New Roman"/>
                      <w:color w:val="000000" w:themeColor="text1"/>
                      <w:sz w:val="21"/>
                      <w:szCs w:val="21"/>
                      <w:highlight w:val="none"/>
                      <w14:textFill>
                        <w14:solidFill>
                          <w14:schemeClr w14:val="tx1"/>
                        </w14:solidFill>
                      </w14:textFill>
                    </w:rPr>
                    <w:t>三同时</w:t>
                  </w:r>
                  <w:r>
                    <w:rPr>
                      <w:rFonts w:hint="eastAsia" w:ascii="Times New Roman" w:hAnsi="Times New Roman"/>
                      <w:color w:val="000000" w:themeColor="text1"/>
                      <w:sz w:val="21"/>
                      <w:szCs w:val="21"/>
                      <w:highlight w:val="none"/>
                      <w14:textFill>
                        <w14:solidFill>
                          <w14:schemeClr w14:val="tx1"/>
                        </w14:solidFill>
                      </w14:textFill>
                    </w:rPr>
                    <w:t>”管理</w:t>
                  </w:r>
                  <w:r>
                    <w:rPr>
                      <w:rFonts w:ascii="Times New Roman" w:hAnsi="Times New Roman"/>
                      <w:color w:val="000000" w:themeColor="text1"/>
                      <w:sz w:val="21"/>
                      <w:szCs w:val="21"/>
                      <w:highlight w:val="none"/>
                      <w14:textFill>
                        <w14:solidFill>
                          <w14:schemeClr w14:val="tx1"/>
                        </w14:solidFill>
                      </w14:textFill>
                    </w:rPr>
                    <w:t>要求，</w:t>
                  </w:r>
                  <w:r>
                    <w:rPr>
                      <w:rFonts w:hint="eastAsia" w:ascii="Times New Roman" w:hAnsi="Times New Roman"/>
                      <w:color w:val="000000" w:themeColor="text1"/>
                      <w:sz w:val="21"/>
                      <w:szCs w:val="21"/>
                      <w:highlight w:val="none"/>
                      <w14:textFill>
                        <w14:solidFill>
                          <w14:schemeClr w14:val="tx1"/>
                        </w14:solidFill>
                      </w14:textFill>
                    </w:rPr>
                    <w:t>单位产品污染物排放强度</w:t>
                  </w:r>
                  <w:r>
                    <w:rPr>
                      <w:rFonts w:ascii="Times New Roman" w:hAnsi="Times New Roman"/>
                      <w:color w:val="000000" w:themeColor="text1"/>
                      <w:sz w:val="21"/>
                      <w:szCs w:val="21"/>
                      <w:highlight w:val="none"/>
                      <w14:textFill>
                        <w14:solidFill>
                          <w14:schemeClr w14:val="tx1"/>
                        </w14:solidFill>
                      </w14:textFill>
                    </w:rPr>
                    <w:t>达到清洁生产先进水平，</w:t>
                  </w:r>
                  <w:r>
                    <w:rPr>
                      <w:rFonts w:hint="eastAsia" w:ascii="Times New Roman" w:hAnsi="Times New Roman"/>
                      <w:color w:val="000000" w:themeColor="text1"/>
                      <w:sz w:val="21"/>
                      <w:szCs w:val="21"/>
                      <w:highlight w:val="none"/>
                      <w14:textFill>
                        <w14:solidFill>
                          <w14:schemeClr w14:val="tx1"/>
                        </w14:solidFill>
                      </w14:textFill>
                    </w:rPr>
                    <w:t>满足《河南省重污染天气重点行业应急减排措施制定技术指南</w:t>
                  </w:r>
                  <w:r>
                    <w:rPr>
                      <w:rFonts w:hint="eastAsia" w:ascii="Times New Roman" w:hAnsi="Times New Roman"/>
                      <w:color w:val="000000" w:themeColor="text1"/>
                      <w:sz w:val="21"/>
                      <w:szCs w:val="21"/>
                      <w:highlight w:val="none"/>
                      <w:lang w:eastAsia="zh-CN"/>
                      <w14:textFill>
                        <w14:solidFill>
                          <w14:schemeClr w14:val="tx1"/>
                        </w14:solidFill>
                      </w14:textFill>
                    </w:rPr>
                    <w:t xml:space="preserve">（2024年修订版）》 </w:t>
                  </w:r>
                  <w:r>
                    <w:rPr>
                      <w:rFonts w:hint="eastAsia" w:ascii="Times New Roman" w:hAnsi="Times New Roman"/>
                      <w:color w:val="000000" w:themeColor="text1"/>
                      <w:sz w:val="21"/>
                      <w:szCs w:val="21"/>
                      <w:highlight w:val="none"/>
                      <w14:textFill>
                        <w14:solidFill>
                          <w14:schemeClr w14:val="tx1"/>
                        </w14:solidFill>
                      </w14:textFill>
                    </w:rPr>
                    <w:t>“纺织印染与服饰制造”绩效分级A级要求</w:t>
                  </w:r>
                  <w:r>
                    <w:rPr>
                      <w:rFonts w:ascii="Times New Roman" w:hAnsi="Times New Roman"/>
                      <w:color w:val="000000" w:themeColor="text1"/>
                      <w:sz w:val="21"/>
                      <w:szCs w:val="21"/>
                      <w:highlight w:val="none"/>
                      <w14:textFill>
                        <w14:solidFill>
                          <w14:schemeClr w14:val="tx1"/>
                        </w14:solidFill>
                      </w14:textFill>
                    </w:rPr>
                    <w:t>。</w:t>
                  </w:r>
                </w:p>
                <w:p w14:paraId="7B2F6686">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3.本项目</w:t>
                  </w:r>
                  <w:r>
                    <w:rPr>
                      <w:rFonts w:hint="eastAsia" w:ascii="Times New Roman" w:hAnsi="Times New Roman"/>
                      <w:color w:val="000000" w:themeColor="text1"/>
                      <w:sz w:val="21"/>
                      <w:szCs w:val="21"/>
                      <w:highlight w:val="none"/>
                      <w14:textFill>
                        <w14:solidFill>
                          <w14:schemeClr w14:val="tx1"/>
                        </w14:solidFill>
                      </w14:textFill>
                    </w:rPr>
                    <w:t>建成后按要求开展全流程清洁化、循环化、低碳化改造</w:t>
                  </w:r>
                  <w:r>
                    <w:rPr>
                      <w:rFonts w:ascii="Times New Roman" w:hAnsi="Times New Roman"/>
                      <w:color w:val="000000" w:themeColor="text1"/>
                      <w:sz w:val="21"/>
                      <w:szCs w:val="21"/>
                      <w:highlight w:val="none"/>
                      <w14:textFill>
                        <w14:solidFill>
                          <w14:schemeClr w14:val="tx1"/>
                        </w14:solidFill>
                      </w14:textFill>
                    </w:rPr>
                    <w:t>。</w:t>
                  </w:r>
                </w:p>
                <w:p w14:paraId="05736744">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4.本项目使用</w:t>
                  </w:r>
                  <w:r>
                    <w:rPr>
                      <w:rFonts w:hint="eastAsia" w:ascii="Times New Roman" w:hAnsi="Times New Roman"/>
                      <w:color w:val="000000" w:themeColor="text1"/>
                      <w:sz w:val="21"/>
                      <w:szCs w:val="21"/>
                      <w:highlight w:val="none"/>
                      <w:lang w:eastAsia="zh-CN"/>
                      <w14:textFill>
                        <w14:solidFill>
                          <w14:schemeClr w14:val="tx1"/>
                        </w14:solidFill>
                      </w14:textFill>
                    </w:rPr>
                    <w:t>水性丙烯酸油墨</w:t>
                  </w:r>
                  <w:r>
                    <w:rPr>
                      <w:rFonts w:ascii="Times New Roman" w:hAnsi="Times New Roman"/>
                      <w:color w:val="000000" w:themeColor="text1"/>
                      <w:sz w:val="21"/>
                      <w:szCs w:val="21"/>
                      <w:highlight w:val="none"/>
                      <w14:textFill>
                        <w14:solidFill>
                          <w14:schemeClr w14:val="tx1"/>
                        </w14:solidFill>
                      </w14:textFill>
                    </w:rPr>
                    <w:t>符合</w:t>
                  </w:r>
                  <w:r>
                    <w:rPr>
                      <w:rFonts w:hint="eastAsia" w:ascii="Times New Roman" w:hAnsi="Times New Roman"/>
                      <w:color w:val="000000" w:themeColor="text1"/>
                      <w:sz w:val="21"/>
                      <w:szCs w:val="21"/>
                      <w:highlight w:val="none"/>
                      <w:lang w:eastAsia="zh-CN"/>
                      <w14:textFill>
                        <w14:solidFill>
                          <w14:schemeClr w14:val="tx1"/>
                        </w14:solidFill>
                      </w14:textFill>
                    </w:rPr>
                    <w:t>《油墨中可挥发性有机化合物（VOCs）含量限值》（GB38507-2020）、水性丙烯酸胶浆</w:t>
                  </w:r>
                  <w:r>
                    <w:rPr>
                      <w:rFonts w:ascii="Times New Roman" w:hAnsi="Times New Roman"/>
                      <w:color w:val="000000" w:themeColor="text1"/>
                      <w:sz w:val="21"/>
                      <w:szCs w:val="21"/>
                      <w:highlight w:val="none"/>
                      <w14:textFill>
                        <w14:solidFill>
                          <w14:schemeClr w14:val="tx1"/>
                        </w14:solidFill>
                      </w14:textFill>
                    </w:rPr>
                    <w:t>符合《胶粘剂挥发性有机化合物限值》（GB 33372-2020）限值要求</w:t>
                  </w:r>
                  <w:r>
                    <w:rPr>
                      <w:rFonts w:hint="eastAsia" w:ascii="Times New Roman" w:hAnsi="Times New Roman"/>
                      <w:color w:val="000000" w:themeColor="text1"/>
                      <w:sz w:val="21"/>
                      <w:szCs w:val="21"/>
                      <w:highlight w:val="none"/>
                      <w:lang w:eastAsia="zh-CN"/>
                      <w14:textFill>
                        <w14:solidFill>
                          <w14:schemeClr w14:val="tx1"/>
                        </w14:solidFill>
                      </w14:textFill>
                    </w:rPr>
                    <w:t>，，属于低VOCs含量的油墨、胶粘剂</w:t>
                  </w:r>
                  <w:r>
                    <w:rPr>
                      <w:rFonts w:ascii="Times New Roman" w:hAnsi="Times New Roman"/>
                      <w:color w:val="000000" w:themeColor="text1"/>
                      <w:sz w:val="21"/>
                      <w:szCs w:val="21"/>
                      <w:highlight w:val="none"/>
                      <w14:textFill>
                        <w14:solidFill>
                          <w14:schemeClr w14:val="tx1"/>
                        </w14:solidFill>
                      </w14:textFill>
                    </w:rPr>
                    <w:t>。</w:t>
                  </w:r>
                </w:p>
                <w:p w14:paraId="157BE2AF">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5.</w:t>
                  </w:r>
                  <w:r>
                    <w:rPr>
                      <w:rFonts w:hint="eastAsia" w:ascii="Times New Roman" w:hAnsi="Times New Roman"/>
                      <w:color w:val="000000" w:themeColor="text1"/>
                      <w:sz w:val="21"/>
                      <w:szCs w:val="21"/>
                      <w:highlight w:val="none"/>
                      <w14:textFill>
                        <w14:solidFill>
                          <w14:schemeClr w14:val="tx1"/>
                        </w14:solidFill>
                      </w14:textFill>
                    </w:rPr>
                    <w:t>本项目</w:t>
                  </w:r>
                  <w:r>
                    <w:rPr>
                      <w:rFonts w:ascii="Times New Roman" w:hAnsi="Times New Roman"/>
                      <w:color w:val="000000" w:themeColor="text1"/>
                      <w:sz w:val="21"/>
                      <w:szCs w:val="21"/>
                      <w:highlight w:val="none"/>
                      <w14:textFill>
                        <w14:solidFill>
                          <w14:schemeClr w14:val="tx1"/>
                        </w14:solidFill>
                      </w14:textFill>
                    </w:rPr>
                    <w:t>不</w:t>
                  </w:r>
                  <w:r>
                    <w:rPr>
                      <w:rFonts w:hint="eastAsia" w:ascii="Times New Roman" w:hAnsi="Times New Roman"/>
                      <w:color w:val="000000" w:themeColor="text1"/>
                      <w:sz w:val="21"/>
                      <w:szCs w:val="21"/>
                      <w:highlight w:val="none"/>
                      <w:lang w:eastAsia="zh-CN"/>
                      <w14:textFill>
                        <w14:solidFill>
                          <w14:schemeClr w14:val="tx1"/>
                        </w14:solidFill>
                      </w14:textFill>
                    </w:rPr>
                    <w:t>属于采矿项目</w:t>
                  </w:r>
                  <w:r>
                    <w:rPr>
                      <w:rFonts w:ascii="Times New Roman" w:hAnsi="Times New Roman"/>
                      <w:color w:val="000000" w:themeColor="text1"/>
                      <w:sz w:val="21"/>
                      <w:szCs w:val="21"/>
                      <w:highlight w:val="none"/>
                      <w14:textFill>
                        <w14:solidFill>
                          <w14:schemeClr w14:val="tx1"/>
                        </w14:solidFill>
                      </w14:textFill>
                    </w:rPr>
                    <w:t>。</w:t>
                  </w:r>
                </w:p>
                <w:p w14:paraId="082A716D">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6.项目生活污水</w:t>
                  </w:r>
                  <w:r>
                    <w:rPr>
                      <w:rFonts w:hint="eastAsia" w:ascii="Times New Roman" w:hAnsi="Times New Roman"/>
                      <w:color w:val="000000" w:themeColor="text1"/>
                      <w:sz w:val="21"/>
                      <w:szCs w:val="21"/>
                      <w:highlight w:val="none"/>
                      <w:lang w:eastAsia="zh-CN"/>
                      <w14:textFill>
                        <w14:solidFill>
                          <w14:schemeClr w14:val="tx1"/>
                        </w14:solidFill>
                      </w14:textFill>
                    </w:rPr>
                    <w:t>经化粪池处理后排入河南新投水务有限公司</w:t>
                  </w:r>
                  <w:r>
                    <w:rPr>
                      <w:rFonts w:hint="eastAsia" w:ascii="Times New Roman" w:hAnsi="Times New Roman"/>
                      <w:color w:val="000000" w:themeColor="text1"/>
                      <w:sz w:val="21"/>
                      <w:szCs w:val="21"/>
                      <w:highlight w:val="none"/>
                      <w14:textFill>
                        <w14:solidFill>
                          <w14:schemeClr w14:val="tx1"/>
                        </w14:solidFill>
                      </w14:textFill>
                    </w:rPr>
                    <w:t>（小尚庄污水处理厂）</w:t>
                  </w:r>
                  <w:r>
                    <w:rPr>
                      <w:rFonts w:ascii="Times New Roman" w:hAnsi="Times New Roman"/>
                      <w:color w:val="000000" w:themeColor="text1"/>
                      <w:sz w:val="21"/>
                      <w:szCs w:val="21"/>
                      <w:highlight w:val="none"/>
                      <w14:textFill>
                        <w14:solidFill>
                          <w14:schemeClr w14:val="tx1"/>
                        </w14:solidFill>
                      </w14:textFill>
                    </w:rPr>
                    <w:t>进一步处理。</w:t>
                  </w:r>
                </w:p>
                <w:p w14:paraId="6984BC0D">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highlight w:val="none"/>
                      <w14:textFill>
                        <w14:solidFill>
                          <w14:schemeClr w14:val="tx1"/>
                        </w14:solidFill>
                      </w14:textFill>
                    </w:rPr>
                  </w:pPr>
                  <w:r>
                    <w:rPr>
                      <w:rFonts w:ascii="Times New Roman" w:hAnsi="Times New Roman"/>
                      <w:color w:val="000000" w:themeColor="text1"/>
                      <w:sz w:val="21"/>
                      <w:szCs w:val="21"/>
                      <w:highlight w:val="none"/>
                      <w14:textFill>
                        <w14:solidFill>
                          <w14:schemeClr w14:val="tx1"/>
                        </w14:solidFill>
                      </w14:textFill>
                    </w:rPr>
                    <w:t>7.本项目建设选用低噪声设备</w:t>
                  </w:r>
                  <w:r>
                    <w:rPr>
                      <w:rFonts w:hint="eastAsia" w:ascii="Times New Roman" w:hAnsi="Times New Roman"/>
                      <w:color w:val="000000" w:themeColor="text1"/>
                      <w:sz w:val="21"/>
                      <w:szCs w:val="21"/>
                      <w:highlight w:val="none"/>
                      <w14:textFill>
                        <w14:solidFill>
                          <w14:schemeClr w14:val="tx1"/>
                        </w14:solidFill>
                      </w14:textFill>
                    </w:rPr>
                    <w:t>，并采取基础减振、</w:t>
                  </w:r>
                  <w:r>
                    <w:rPr>
                      <w:rFonts w:ascii="Times New Roman" w:hAnsi="Times New Roman"/>
                      <w:color w:val="000000" w:themeColor="text1"/>
                      <w:sz w:val="21"/>
                      <w:szCs w:val="21"/>
                      <w:highlight w:val="none"/>
                      <w14:textFill>
                        <w14:solidFill>
                          <w14:schemeClr w14:val="tx1"/>
                        </w14:solidFill>
                      </w14:textFill>
                    </w:rPr>
                    <w:t>合理布局</w:t>
                  </w:r>
                  <w:r>
                    <w:rPr>
                      <w:rFonts w:hint="eastAsia" w:ascii="Times New Roman" w:hAnsi="Times New Roman"/>
                      <w:color w:val="000000" w:themeColor="text1"/>
                      <w:sz w:val="21"/>
                      <w:szCs w:val="21"/>
                      <w:highlight w:val="none"/>
                      <w14:textFill>
                        <w14:solidFill>
                          <w14:schemeClr w14:val="tx1"/>
                        </w14:solidFill>
                      </w14:textFill>
                    </w:rPr>
                    <w:t>、</w:t>
                  </w:r>
                  <w:r>
                    <w:rPr>
                      <w:rFonts w:ascii="Times New Roman" w:hAnsi="Times New Roman"/>
                      <w:color w:val="000000" w:themeColor="text1"/>
                      <w:sz w:val="21"/>
                      <w:szCs w:val="21"/>
                      <w:highlight w:val="none"/>
                      <w14:textFill>
                        <w14:solidFill>
                          <w14:schemeClr w14:val="tx1"/>
                        </w14:solidFill>
                      </w14:textFill>
                    </w:rPr>
                    <w:t>厂房隔声</w:t>
                  </w:r>
                  <w:r>
                    <w:rPr>
                      <w:rFonts w:hint="eastAsia" w:ascii="Times New Roman" w:hAnsi="Times New Roman"/>
                      <w:color w:val="000000" w:themeColor="text1"/>
                      <w:sz w:val="21"/>
                      <w:szCs w:val="21"/>
                      <w:highlight w:val="none"/>
                      <w14:textFill>
                        <w14:solidFill>
                          <w14:schemeClr w14:val="tx1"/>
                        </w14:solidFill>
                      </w14:textFill>
                    </w:rPr>
                    <w:t>等措施降噪</w:t>
                  </w:r>
                  <w:r>
                    <w:rPr>
                      <w:rFonts w:ascii="Times New Roman" w:hAnsi="Times New Roman"/>
                      <w:color w:val="000000" w:themeColor="text1"/>
                      <w:sz w:val="21"/>
                      <w:szCs w:val="21"/>
                      <w:highlight w:val="none"/>
                      <w14:textFill>
                        <w14:solidFill>
                          <w14:schemeClr w14:val="tx1"/>
                        </w14:solidFill>
                      </w14:textFill>
                    </w:rPr>
                    <w:t>，避免对</w:t>
                  </w:r>
                  <w:r>
                    <w:rPr>
                      <w:rFonts w:hint="eastAsia" w:ascii="Times New Roman" w:hAnsi="Times New Roman"/>
                      <w:color w:val="000000" w:themeColor="text1"/>
                      <w:sz w:val="21"/>
                      <w:szCs w:val="21"/>
                      <w:highlight w:val="none"/>
                      <w14:textFill>
                        <w14:solidFill>
                          <w14:schemeClr w14:val="tx1"/>
                        </w14:solidFill>
                      </w14:textFill>
                    </w:rPr>
                    <w:t>周边</w:t>
                  </w:r>
                  <w:r>
                    <w:rPr>
                      <w:rFonts w:ascii="Times New Roman" w:hAnsi="Times New Roman"/>
                      <w:color w:val="000000" w:themeColor="text1"/>
                      <w:sz w:val="21"/>
                      <w:szCs w:val="21"/>
                      <w:highlight w:val="none"/>
                      <w14:textFill>
                        <w14:solidFill>
                          <w14:schemeClr w14:val="tx1"/>
                        </w14:solidFill>
                      </w14:textFill>
                    </w:rPr>
                    <w:t>居民产生影响。</w:t>
                  </w:r>
                </w:p>
              </w:tc>
              <w:tc>
                <w:tcPr>
                  <w:tcW w:w="477" w:type="dxa"/>
                  <w:vAlign w:val="center"/>
                </w:tcPr>
                <w:p w14:paraId="0234E3DB">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14CD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3E9962BB">
                  <w:pPr>
                    <w:pStyle w:val="76"/>
                    <w:framePr w:hSpace="0" w:wrap="auto" w:vAnchor="margin" w:hAnchor="text" w:yAlign="inline"/>
                    <w:adjustRightInd w:val="0"/>
                    <w:snapToGrid w:val="0"/>
                    <w:spacing w:line="240" w:lineRule="auto"/>
                    <w:ind w:firstLine="0" w:firstLineChars="0"/>
                    <w:jc w:val="center"/>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环境风险防控</w:t>
                  </w:r>
                </w:p>
              </w:tc>
              <w:tc>
                <w:tcPr>
                  <w:tcW w:w="4712" w:type="dxa"/>
                  <w:tcMar>
                    <w:top w:w="28" w:type="dxa"/>
                    <w:bottom w:w="57" w:type="dxa"/>
                  </w:tcMar>
                  <w:vAlign w:val="center"/>
                </w:tcPr>
                <w:p w14:paraId="20D7DFEB">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依法推行农用地分类管理制度，强化受污染耕地安全利用和风险管控；用途变更为住宅、公共管理与公共服务用地及有土壤污染风险的建设用地地块，应当依法开展土壤污染状况调查；污染地块经治理与修复，并符合相应规划用地土壤环境质量要求后，方可进入用地程序；合理规划污染地块土地用途，鼓励农药、化工等行业中重度污染地块优先规划用于拓展生态空间。</w:t>
                  </w:r>
                </w:p>
                <w:p w14:paraId="4C46904B">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以涉重涉危及有毒有害等行业企业为重点，加强水环境风险日常监管；推进涉水企业的环境风险排查整治、风险预防设施设备建设；制定水环境污染事故处置应急预案，加强上下游联防联控，防范跨界水环境风险，提升环境应急处置能力。</w:t>
                  </w:r>
                </w:p>
                <w:p w14:paraId="56496270">
                  <w:pPr>
                    <w:pStyle w:val="76"/>
                    <w:framePr w:hSpace="0" w:wrap="auto" w:vAnchor="margin" w:hAnchor="text" w:yAlign="inline"/>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化工园区内涉及有毒有害物质的重点场所或者重点设施设备（特别是地下储罐、管网等）应进行防渗漏设计和建设，消除土壤和地下水污染隐患；建立完善的生态环境监测监控和风险预警体系，相关监测监控数据应接入地方监测预警系统；建立满足突发环境事件情形下应急处置需求的应急救援体系、预案、平台和专职应急救援队伍，配备符合相关国家标准、行业标准要求的人员和装备。</w:t>
                  </w:r>
                </w:p>
              </w:tc>
              <w:tc>
                <w:tcPr>
                  <w:tcW w:w="2993" w:type="dxa"/>
                  <w:vAlign w:val="center"/>
                </w:tcPr>
                <w:p w14:paraId="12ACEDB5">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1.本</w:t>
                  </w:r>
                  <w:r>
                    <w:rPr>
                      <w:rFonts w:ascii="Times New Roman" w:hAnsi="Times New Roman"/>
                      <w:color w:val="000000" w:themeColor="text1"/>
                      <w:sz w:val="21"/>
                      <w:szCs w:val="21"/>
                      <w14:textFill>
                        <w14:solidFill>
                          <w14:schemeClr w14:val="tx1"/>
                        </w14:solidFill>
                      </w14:textFill>
                    </w:rPr>
                    <w:t>项目位于</w:t>
                  </w:r>
                  <w:r>
                    <w:rPr>
                      <w:rFonts w:hint="eastAsia" w:ascii="Times New Roman" w:hAnsi="Times New Roman"/>
                      <w:color w:val="000000" w:themeColor="text1"/>
                      <w:sz w:val="21"/>
                      <w:szCs w:val="21"/>
                      <w:lang w:eastAsia="zh-CN"/>
                      <w14:textFill>
                        <w14:solidFill>
                          <w14:schemeClr w14:val="tx1"/>
                        </w14:solidFill>
                      </w14:textFill>
                    </w:rPr>
                    <w:t>新乡市新能源电池专业园区标北路11号3A号厂房</w:t>
                  </w:r>
                  <w:r>
                    <w:rPr>
                      <w:rFonts w:ascii="Times New Roman" w:hAnsi="Times New Roman"/>
                      <w:color w:val="000000" w:themeColor="text1"/>
                      <w:sz w:val="21"/>
                      <w:szCs w:val="21"/>
                      <w14:textFill>
                        <w14:solidFill>
                          <w14:schemeClr w14:val="tx1"/>
                        </w14:solidFill>
                      </w14:textFill>
                    </w:rPr>
                    <w:t>，用地性质属于</w:t>
                  </w:r>
                  <w:r>
                    <w:rPr>
                      <w:rFonts w:hint="eastAsia" w:ascii="Times New Roman" w:hAnsi="Times New Roman"/>
                      <w:color w:val="000000" w:themeColor="text1"/>
                      <w:sz w:val="21"/>
                      <w:szCs w:val="21"/>
                      <w14:textFill>
                        <w14:solidFill>
                          <w14:schemeClr w14:val="tx1"/>
                        </w14:solidFill>
                      </w14:textFill>
                    </w:rPr>
                    <w:t>工业</w:t>
                  </w:r>
                  <w:r>
                    <w:rPr>
                      <w:rFonts w:ascii="Times New Roman" w:hAnsi="Times New Roman"/>
                      <w:color w:val="000000" w:themeColor="text1"/>
                      <w:sz w:val="21"/>
                      <w:szCs w:val="21"/>
                      <w14:textFill>
                        <w14:solidFill>
                          <w14:schemeClr w14:val="tx1"/>
                        </w14:solidFill>
                      </w14:textFill>
                    </w:rPr>
                    <w:t>用地。</w:t>
                  </w:r>
                </w:p>
                <w:p w14:paraId="11920DFC">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2.本项目不属于涉重涉危及有毒有害等行业</w:t>
                  </w:r>
                  <w:r>
                    <w:rPr>
                      <w:rFonts w:hint="eastAsia" w:ascii="Times New Roman" w:hAnsi="Times New Roman"/>
                      <w:color w:val="000000" w:themeColor="text1"/>
                      <w:sz w:val="21"/>
                      <w:szCs w:val="21"/>
                      <w14:textFill>
                        <w14:solidFill>
                          <w14:schemeClr w14:val="tx1"/>
                        </w14:solidFill>
                      </w14:textFill>
                    </w:rPr>
                    <w:t>。</w:t>
                  </w:r>
                </w:p>
                <w:p w14:paraId="38D92E1A">
                  <w:pPr>
                    <w:pStyle w:val="76"/>
                    <w:framePr w:hSpace="0" w:wrap="auto" w:vAnchor="margin" w:hAnchor="text" w:yAlign="inline"/>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3.本项目不在化工园区内，不涉及有毒有害物质，项目建成后将按要求建立环境应急救援体系、预案、平台和专职应急救援队伍。</w:t>
                  </w:r>
                </w:p>
              </w:tc>
              <w:tc>
                <w:tcPr>
                  <w:tcW w:w="477" w:type="dxa"/>
                  <w:vAlign w:val="center"/>
                </w:tcPr>
                <w:p w14:paraId="517132C1">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1DC6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3478C72A">
                  <w:pPr>
                    <w:pStyle w:val="76"/>
                    <w:framePr w:hSpace="0" w:wrap="auto" w:vAnchor="margin" w:hAnchor="text" w:yAlign="inline"/>
                    <w:adjustRightInd w:val="0"/>
                    <w:snapToGrid w:val="0"/>
                    <w:spacing w:line="240" w:lineRule="auto"/>
                    <w:ind w:firstLine="0" w:firstLineChars="0"/>
                    <w:jc w:val="center"/>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资源利用效率</w:t>
                  </w:r>
                </w:p>
              </w:tc>
              <w:tc>
                <w:tcPr>
                  <w:tcW w:w="4712" w:type="dxa"/>
                  <w:tcMar>
                    <w:top w:w="28" w:type="dxa"/>
                    <w:bottom w:w="57" w:type="dxa"/>
                  </w:tcMar>
                  <w:vAlign w:val="center"/>
                </w:tcPr>
                <w:p w14:paraId="49855464">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1.“十四五”时期，规模以上工业单位增加值能耗下降18%，万元工业增加值用水量下降10%。</w:t>
                  </w:r>
                </w:p>
                <w:p w14:paraId="32F08C49">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2.新建、扩建“两高”项目单位产品物耗、能耗、水耗等达到清洁生产先进水平。</w:t>
                  </w:r>
                </w:p>
                <w:p w14:paraId="5A8EDF94">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3.实施重点领域节能降碳改造，到2025年钢铁、电解铝、水泥、炼油、乙烯、焦化等重点行业产能达到能效标杆水平的比例超过30%，行业整体能效水平明显提升，碳排放强度明显下降，绿色低碳发展能力显著增强。</w:t>
                  </w:r>
                </w:p>
                <w:p w14:paraId="624AE37D">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4.对以煤、石油焦、渣油、重油等为燃料的锅炉和工业炉窑，加快使用工业余热、电厂热力、清洁能源等进行替代。</w:t>
                  </w:r>
                </w:p>
                <w:p w14:paraId="41E5B6E6">
                  <w:pPr>
                    <w:pStyle w:val="76"/>
                    <w:framePr w:hSpace="0" w:wrap="auto" w:vAnchor="margin" w:hAnchor="text" w:yAlign="inline"/>
                    <w:adjustRightInd w:val="0"/>
                    <w:snapToGrid w:val="0"/>
                    <w:spacing w:line="240" w:lineRule="auto"/>
                    <w:ind w:firstLine="0" w:firstLineChars="0"/>
                    <w:jc w:val="left"/>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5.除应急取（排）水、地下水监测外，在地下水禁采区内，禁止取用地下水；在地下水限采区内，禁止开凿新的取水井或者增加地下水取水量。</w:t>
                  </w:r>
                </w:p>
              </w:tc>
              <w:tc>
                <w:tcPr>
                  <w:tcW w:w="2993" w:type="dxa"/>
                  <w:vAlign w:val="center"/>
                </w:tcPr>
                <w:p w14:paraId="7DB78AF2">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1.本项目建成后将按要求开展节能评估。</w:t>
                  </w:r>
                </w:p>
                <w:p w14:paraId="14AB7412">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2.本项目不属于</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两高</w:t>
                  </w:r>
                  <w:r>
                    <w:rPr>
                      <w:rFonts w:hint="eastAsia" w:ascii="Times New Roman" w:hAnsi="Times New Roman"/>
                      <w:color w:val="000000" w:themeColor="text1"/>
                      <w:sz w:val="21"/>
                      <w:szCs w:val="21"/>
                      <w14:textFill>
                        <w14:solidFill>
                          <w14:schemeClr w14:val="tx1"/>
                        </w14:solidFill>
                      </w14:textFill>
                    </w:rPr>
                    <w:t>”</w:t>
                  </w:r>
                  <w:r>
                    <w:rPr>
                      <w:rFonts w:ascii="Times New Roman" w:hAnsi="Times New Roman"/>
                      <w:color w:val="000000" w:themeColor="text1"/>
                      <w:sz w:val="21"/>
                      <w:szCs w:val="21"/>
                      <w14:textFill>
                        <w14:solidFill>
                          <w14:schemeClr w14:val="tx1"/>
                        </w14:solidFill>
                      </w14:textFill>
                    </w:rPr>
                    <w:t>项目。</w:t>
                  </w:r>
                </w:p>
                <w:p w14:paraId="7D98453A">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3.本项目建成后将按要求开展节能评估。</w:t>
                  </w:r>
                </w:p>
                <w:p w14:paraId="4A045F66">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4.本项目</w:t>
                  </w:r>
                  <w:r>
                    <w:rPr>
                      <w:rFonts w:hint="eastAsia" w:ascii="Times New Roman" w:hAnsi="Times New Roman"/>
                      <w:color w:val="000000" w:themeColor="text1"/>
                      <w:sz w:val="21"/>
                      <w:szCs w:val="21"/>
                      <w14:textFill>
                        <w14:solidFill>
                          <w14:schemeClr w14:val="tx1"/>
                        </w14:solidFill>
                      </w14:textFill>
                    </w:rPr>
                    <w:t>能源为电能，属于</w:t>
                  </w:r>
                  <w:r>
                    <w:rPr>
                      <w:rFonts w:ascii="Times New Roman" w:hAnsi="Times New Roman"/>
                      <w:color w:val="000000" w:themeColor="text1"/>
                      <w:sz w:val="21"/>
                      <w:szCs w:val="21"/>
                      <w14:textFill>
                        <w14:solidFill>
                          <w14:schemeClr w14:val="tx1"/>
                        </w14:solidFill>
                      </w14:textFill>
                    </w:rPr>
                    <w:t>清洁能源。</w:t>
                  </w:r>
                </w:p>
                <w:p w14:paraId="596D9F3C">
                  <w:pPr>
                    <w:pStyle w:val="76"/>
                    <w:framePr w:hSpace="0" w:wrap="auto" w:vAnchor="margin" w:hAnchor="text" w:yAlign="inline"/>
                    <w:adjustRightInd w:val="0"/>
                    <w:snapToGrid w:val="0"/>
                    <w:spacing w:line="240" w:lineRule="auto"/>
                    <w:ind w:firstLine="0" w:firstLineChars="0"/>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5.本项目用水</w:t>
                  </w:r>
                  <w:r>
                    <w:rPr>
                      <w:rFonts w:hint="eastAsia" w:ascii="Times New Roman" w:hAnsi="Times New Roman"/>
                      <w:color w:val="000000" w:themeColor="text1"/>
                      <w:sz w:val="21"/>
                      <w:szCs w:val="21"/>
                      <w14:textFill>
                        <w14:solidFill>
                          <w14:schemeClr w14:val="tx1"/>
                        </w14:solidFill>
                      </w14:textFill>
                    </w:rPr>
                    <w:t>为自来水，不涉及地下水取水</w:t>
                  </w:r>
                  <w:r>
                    <w:rPr>
                      <w:rFonts w:ascii="Times New Roman" w:hAnsi="Times New Roman"/>
                      <w:color w:val="000000" w:themeColor="text1"/>
                      <w:sz w:val="21"/>
                      <w:szCs w:val="21"/>
                      <w14:textFill>
                        <w14:solidFill>
                          <w14:schemeClr w14:val="tx1"/>
                        </w14:solidFill>
                      </w14:textFill>
                    </w:rPr>
                    <w:t>。</w:t>
                  </w:r>
                </w:p>
              </w:tc>
              <w:tc>
                <w:tcPr>
                  <w:tcW w:w="477" w:type="dxa"/>
                  <w:vAlign w:val="center"/>
                </w:tcPr>
                <w:p w14:paraId="3A66162A">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55AD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262" w:hRule="atLeast"/>
                <w:jc w:val="center"/>
              </w:trPr>
              <w:tc>
                <w:tcPr>
                  <w:tcW w:w="8854" w:type="dxa"/>
                  <w:gridSpan w:val="5"/>
                  <w:tcMar>
                    <w:top w:w="28" w:type="dxa"/>
                    <w:bottom w:w="57" w:type="dxa"/>
                  </w:tcMar>
                  <w:vAlign w:val="center"/>
                </w:tcPr>
                <w:p w14:paraId="7BECCAC4">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重点区域生态环境管控要求</w:t>
                  </w:r>
                </w:p>
              </w:tc>
            </w:tr>
            <w:tr w14:paraId="17DD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7DE7D121">
                  <w:pPr>
                    <w:pStyle w:val="21"/>
                    <w:adjustRightInd w:val="0"/>
                    <w:snapToGrid w:val="0"/>
                    <w:spacing w:before="0" w:beforeAutospacing="0" w:after="0" w:afterAutospacing="0" w:line="240" w:lineRule="auto"/>
                    <w:ind w:firstLine="0" w:firstLineChars="0"/>
                    <w:jc w:val="center"/>
                    <w:outlineLvl w:val="0"/>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空间布局约束</w:t>
                  </w:r>
                </w:p>
              </w:tc>
              <w:tc>
                <w:tcPr>
                  <w:tcW w:w="4712" w:type="dxa"/>
                  <w:tcMar>
                    <w:top w:w="28" w:type="dxa"/>
                    <w:bottom w:w="57" w:type="dxa"/>
                  </w:tcMar>
                  <w:vAlign w:val="center"/>
                </w:tcPr>
                <w:p w14:paraId="69C6B143">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1.坚决遏制“两高”项目盲目发展，落实《中共河南省委</w:t>
                  </w:r>
                  <w:r>
                    <w:rPr>
                      <w:rFonts w:hint="eastAsia"/>
                      <w:color w:val="000000" w:themeColor="text1"/>
                      <w:kern w:val="0"/>
                      <w:sz w:val="21"/>
                      <w:szCs w:val="21"/>
                      <w:lang w:bidi="ar"/>
                      <w14:textFill>
                        <w14:solidFill>
                          <w14:schemeClr w14:val="tx1"/>
                        </w14:solidFill>
                      </w14:textFill>
                    </w:rPr>
                    <w:t xml:space="preserve"> </w:t>
                  </w:r>
                  <w:r>
                    <w:rPr>
                      <w:color w:val="000000" w:themeColor="text1"/>
                      <w:kern w:val="0"/>
                      <w:sz w:val="21"/>
                      <w:szCs w:val="21"/>
                      <w:lang w:bidi="ar"/>
                      <w14:textFill>
                        <w14:solidFill>
                          <w14:schemeClr w14:val="tx1"/>
                        </w14:solidFill>
                      </w14:textFill>
                    </w:rPr>
                    <w:t>河南省人民政府 关于深入打好污染防治攻坚战的实施意见》中关于空间布局约束的相关要求。</w:t>
                  </w:r>
                </w:p>
                <w:p w14:paraId="426B7162">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2.严控磷铵、电石、黄磷等行业新增产能，禁止新建用汞的（聚）氯乙烯产能，加快低效落后产能退出。</w:t>
                  </w:r>
                </w:p>
                <w:p w14:paraId="5F2E72A7">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 xml:space="preserve">3.原则上禁止新建企业自备燃煤机组，有序关停整合30万千瓦以上热电联产机组供热合理半径范围内的落后燃煤小热电机组（含自备电厂）。 </w:t>
                  </w:r>
                </w:p>
                <w:p w14:paraId="69BD0302">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4.优化危险化学品生产布局，禁止在化工园区外新建、扩建危险化学品生产项目。新建危险化学品生产项目必须进入通过认定的一般或较低安全风险的化工园区（与其他行业生产装置配套建设的项目除外）。</w:t>
                  </w:r>
                </w:p>
                <w:p w14:paraId="39246A28">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5.新建、扩建石化项目不得位于黄河干支流岸线管控范围内等法律法规明令禁止的区域，尽可能远离居民集中区、医院、学校等环境敏感区。</w:t>
                  </w:r>
                </w:p>
                <w:p w14:paraId="13E702FA">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6.严格采矿权准入管理，新建露天矿山项目原则上必须位于省级矿产资源规划划定的重点开采区内，鼓励集中连片规模化开发。</w:t>
                  </w:r>
                </w:p>
              </w:tc>
              <w:tc>
                <w:tcPr>
                  <w:tcW w:w="2993" w:type="dxa"/>
                  <w:vAlign w:val="center"/>
                </w:tcPr>
                <w:p w14:paraId="0F5A6E38">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1.本项目不属于“两高”项目；</w:t>
                  </w:r>
                </w:p>
                <w:p w14:paraId="4EC9A35B">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2.本项目属于棉纺织及印染精加工业，不属于磷铵、电石、黄磷等行业。</w:t>
                  </w:r>
                </w:p>
                <w:p w14:paraId="6B872AD3">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3.本项目不涉及燃煤机组；</w:t>
                  </w:r>
                </w:p>
                <w:p w14:paraId="3F27D5F7">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4.本项目不属于危险化学品生产项目；</w:t>
                  </w:r>
                </w:p>
                <w:p w14:paraId="795D8A0D">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5.本项目不属于石化项目；</w:t>
                  </w:r>
                </w:p>
                <w:p w14:paraId="7A032648">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6.本项目不</w:t>
                  </w:r>
                  <w:r>
                    <w:rPr>
                      <w:rFonts w:hint="eastAsia"/>
                      <w:color w:val="000000" w:themeColor="text1"/>
                      <w:sz w:val="21"/>
                      <w:szCs w:val="21"/>
                      <w:lang w:eastAsia="zh-CN"/>
                      <w14:textFill>
                        <w14:solidFill>
                          <w14:schemeClr w14:val="tx1"/>
                        </w14:solidFill>
                      </w14:textFill>
                    </w:rPr>
                    <w:t>属于采矿项目</w:t>
                  </w:r>
                  <w:r>
                    <w:rPr>
                      <w:rFonts w:hint="eastAsia"/>
                      <w:color w:val="000000" w:themeColor="text1"/>
                      <w:sz w:val="21"/>
                      <w:szCs w:val="21"/>
                      <w14:textFill>
                        <w14:solidFill>
                          <w14:schemeClr w14:val="tx1"/>
                        </w14:solidFill>
                      </w14:textFill>
                    </w:rPr>
                    <w:t>。</w:t>
                  </w:r>
                </w:p>
              </w:tc>
              <w:tc>
                <w:tcPr>
                  <w:tcW w:w="477" w:type="dxa"/>
                  <w:vAlign w:val="center"/>
                </w:tcPr>
                <w:p w14:paraId="1EFBDF2A">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2223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6CB16CCA">
                  <w:pPr>
                    <w:pStyle w:val="21"/>
                    <w:adjustRightInd w:val="0"/>
                    <w:snapToGrid w:val="0"/>
                    <w:spacing w:before="0" w:beforeAutospacing="0" w:after="0" w:afterAutospacing="0" w:line="240" w:lineRule="auto"/>
                    <w:ind w:firstLine="0" w:firstLineChars="0"/>
                    <w:jc w:val="center"/>
                    <w:outlineLvl w:val="0"/>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污染物排放管控</w:t>
                  </w:r>
                </w:p>
              </w:tc>
              <w:tc>
                <w:tcPr>
                  <w:tcW w:w="4712" w:type="dxa"/>
                  <w:tcMar>
                    <w:top w:w="28" w:type="dxa"/>
                    <w:bottom w:w="57" w:type="dxa"/>
                  </w:tcMar>
                  <w:vAlign w:val="center"/>
                </w:tcPr>
                <w:p w14:paraId="1CEB8441">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 xml:space="preserve">1.落实超低排放要求、无组织排放特别控制要求。 </w:t>
                  </w:r>
                </w:p>
                <w:p w14:paraId="3623B3D3">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2.聚焦夏秋季臭氧污染，推进挥发性有机物和氮氧化物协同减排。以石化、化工、涂装、医药、包装印刷、油品储运销等行业领域为重点，推进挥发性有机物综合治理，实施原辅材料和产品源头替代工程。</w:t>
                  </w:r>
                </w:p>
                <w:p w14:paraId="119CDAB4">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3.全面淘汰国三及以下排放标准营运中重型柴油货车；推进大宗货物“公转铁”“公转水”。</w:t>
                  </w:r>
                </w:p>
                <w:p w14:paraId="3496E332">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4.全面推广绿色化工制造技术，实现化工原料和反应介质、生产工艺和制造过程绿色化，从源头上控制和减少污染。</w:t>
                  </w:r>
                </w:p>
                <w:p w14:paraId="22C5CC9E">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5.推行农业绿色生产方式，协同推进种植业、养殖业节能减排与污染治理；推广生物质能、太阳能等绿色用能模式，加快农业及农产品加工设施等可再生能源替代。</w:t>
                  </w:r>
                </w:p>
              </w:tc>
              <w:tc>
                <w:tcPr>
                  <w:tcW w:w="2993" w:type="dxa"/>
                  <w:vAlign w:val="center"/>
                </w:tcPr>
                <w:p w14:paraId="112D4092">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1.本项目生产废气排放均满足无组织排放特别控制要求；</w:t>
                  </w:r>
                </w:p>
                <w:p w14:paraId="5A901254">
                  <w:pPr>
                    <w:pStyle w:val="6"/>
                    <w:adjustRightInd w:val="0"/>
                    <w:snapToGrid w:val="0"/>
                    <w:spacing w:line="240" w:lineRule="auto"/>
                    <w:ind w:firstLine="0" w:firstLineChars="0"/>
                    <w:rPr>
                      <w:color w:val="auto"/>
                      <w:sz w:val="21"/>
                      <w:szCs w:val="21"/>
                      <w:highlight w:val="none"/>
                    </w:rPr>
                  </w:pPr>
                  <w:r>
                    <w:rPr>
                      <w:rFonts w:hint="eastAsia"/>
                      <w:color w:val="auto"/>
                      <w:sz w:val="21"/>
                      <w:szCs w:val="21"/>
                      <w:highlight w:val="none"/>
                    </w:rPr>
                    <w:t>2.本项目使用</w:t>
                  </w:r>
                  <w:r>
                    <w:rPr>
                      <w:rFonts w:hint="eastAsia"/>
                      <w:color w:val="auto"/>
                      <w:sz w:val="21"/>
                      <w:szCs w:val="21"/>
                      <w:highlight w:val="none"/>
                      <w:lang w:eastAsia="zh-CN"/>
                    </w:rPr>
                    <w:t>水性丙烯酸油墨</w:t>
                  </w:r>
                  <w:r>
                    <w:rPr>
                      <w:rFonts w:hint="eastAsia"/>
                      <w:color w:val="auto"/>
                      <w:sz w:val="21"/>
                      <w:szCs w:val="21"/>
                      <w:highlight w:val="none"/>
                    </w:rPr>
                    <w:t>符合</w:t>
                  </w:r>
                  <w:r>
                    <w:rPr>
                      <w:rFonts w:hint="eastAsia"/>
                      <w:color w:val="auto"/>
                      <w:sz w:val="21"/>
                      <w:szCs w:val="21"/>
                      <w:highlight w:val="none"/>
                      <w:lang w:eastAsia="zh-CN"/>
                    </w:rPr>
                    <w:t>《油墨中可挥发性有机化合物（VOCs）含量限值》（GB38507-2020）、水性丙烯酸胶浆</w:t>
                  </w:r>
                  <w:r>
                    <w:rPr>
                      <w:rFonts w:hint="eastAsia"/>
                      <w:color w:val="auto"/>
                      <w:sz w:val="21"/>
                      <w:szCs w:val="21"/>
                      <w:highlight w:val="none"/>
                    </w:rPr>
                    <w:t>符合《胶粘剂挥发性有机化合物限值》（GB 33372-2020）限值要求</w:t>
                  </w:r>
                  <w:r>
                    <w:rPr>
                      <w:rFonts w:hint="eastAsia"/>
                      <w:color w:val="auto"/>
                      <w:sz w:val="21"/>
                      <w:szCs w:val="21"/>
                      <w:highlight w:val="none"/>
                      <w:lang w:eastAsia="zh-CN"/>
                    </w:rPr>
                    <w:t>，，属于低VOCs含量的油墨、胶粘剂</w:t>
                  </w:r>
                  <w:r>
                    <w:rPr>
                      <w:rFonts w:hint="eastAsia"/>
                      <w:color w:val="auto"/>
                      <w:sz w:val="21"/>
                      <w:szCs w:val="21"/>
                      <w:highlight w:val="none"/>
                    </w:rPr>
                    <w:t>；</w:t>
                  </w:r>
                </w:p>
                <w:p w14:paraId="2855A40C">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本企业不采用国五以下的车辆进行物料运输、场内运输，厂内非道路移动机械均采用国三及以上排放标准</w:t>
                  </w:r>
                  <w:r>
                    <w:rPr>
                      <w:rFonts w:hint="eastAsia"/>
                      <w:color w:val="000000" w:themeColor="text1"/>
                      <w:sz w:val="21"/>
                      <w:szCs w:val="21"/>
                      <w14:textFill>
                        <w14:solidFill>
                          <w14:schemeClr w14:val="tx1"/>
                        </w14:solidFill>
                      </w14:textFill>
                    </w:rPr>
                    <w:t>或新能源</w:t>
                  </w:r>
                  <w:r>
                    <w:rPr>
                      <w:color w:val="000000" w:themeColor="text1"/>
                      <w:sz w:val="21"/>
                      <w:szCs w:val="21"/>
                      <w14:textFill>
                        <w14:solidFill>
                          <w14:schemeClr w14:val="tx1"/>
                        </w14:solidFill>
                      </w14:textFill>
                    </w:rPr>
                    <w:t>机械</w:t>
                  </w:r>
                  <w:r>
                    <w:rPr>
                      <w:rFonts w:hint="eastAsia"/>
                      <w:color w:val="000000" w:themeColor="text1"/>
                      <w:sz w:val="21"/>
                      <w:szCs w:val="21"/>
                      <w14:textFill>
                        <w14:solidFill>
                          <w14:schemeClr w14:val="tx1"/>
                        </w14:solidFill>
                      </w14:textFill>
                    </w:rPr>
                    <w:t>；</w:t>
                  </w:r>
                </w:p>
                <w:p w14:paraId="393F2D89">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4.本项目不</w:t>
                  </w:r>
                  <w:r>
                    <w:rPr>
                      <w:rFonts w:hint="eastAsia"/>
                      <w:color w:val="000000" w:themeColor="text1"/>
                      <w:sz w:val="21"/>
                      <w:szCs w:val="21"/>
                      <w:lang w:eastAsia="zh-CN"/>
                      <w14:textFill>
                        <w14:solidFill>
                          <w14:schemeClr w14:val="tx1"/>
                        </w14:solidFill>
                      </w14:textFill>
                    </w:rPr>
                    <w:t>属于化工行业</w:t>
                  </w:r>
                  <w:r>
                    <w:rPr>
                      <w:rFonts w:hint="eastAsia"/>
                      <w:color w:val="000000" w:themeColor="text1"/>
                      <w:sz w:val="21"/>
                      <w:szCs w:val="21"/>
                      <w14:textFill>
                        <w14:solidFill>
                          <w14:schemeClr w14:val="tx1"/>
                        </w14:solidFill>
                      </w14:textFill>
                    </w:rPr>
                    <w:t>；</w:t>
                  </w:r>
                </w:p>
                <w:p w14:paraId="36C59F9D">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5.本项目不涉及</w:t>
                  </w:r>
                  <w:r>
                    <w:rPr>
                      <w:rFonts w:hint="eastAsia"/>
                      <w:color w:val="000000" w:themeColor="text1"/>
                      <w:sz w:val="21"/>
                      <w:szCs w:val="21"/>
                      <w:lang w:eastAsia="zh-CN"/>
                      <w14:textFill>
                        <w14:solidFill>
                          <w14:schemeClr w14:val="tx1"/>
                        </w14:solidFill>
                      </w14:textFill>
                    </w:rPr>
                    <w:t>农业种植和养殖业</w:t>
                  </w:r>
                  <w:r>
                    <w:rPr>
                      <w:rFonts w:hint="eastAsia"/>
                      <w:color w:val="000000" w:themeColor="text1"/>
                      <w:sz w:val="21"/>
                      <w:szCs w:val="21"/>
                      <w14:textFill>
                        <w14:solidFill>
                          <w14:schemeClr w14:val="tx1"/>
                        </w14:solidFill>
                      </w14:textFill>
                    </w:rPr>
                    <w:t>。</w:t>
                  </w:r>
                </w:p>
              </w:tc>
              <w:tc>
                <w:tcPr>
                  <w:tcW w:w="477" w:type="dxa"/>
                  <w:vAlign w:val="center"/>
                </w:tcPr>
                <w:p w14:paraId="5C633BA3">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67AB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0FDBA0F3">
                  <w:pPr>
                    <w:pStyle w:val="21"/>
                    <w:adjustRightInd w:val="0"/>
                    <w:snapToGrid w:val="0"/>
                    <w:spacing w:before="0" w:beforeAutospacing="0" w:after="0" w:afterAutospacing="0" w:line="240" w:lineRule="auto"/>
                    <w:ind w:firstLine="0" w:firstLineChars="0"/>
                    <w:jc w:val="center"/>
                    <w:outlineLvl w:val="0"/>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环境风险防控</w:t>
                  </w:r>
                </w:p>
              </w:tc>
              <w:tc>
                <w:tcPr>
                  <w:tcW w:w="4712" w:type="dxa"/>
                  <w:tcMar>
                    <w:top w:w="28" w:type="dxa"/>
                    <w:bottom w:w="57" w:type="dxa"/>
                  </w:tcMar>
                  <w:vAlign w:val="center"/>
                </w:tcPr>
                <w:p w14:paraId="557D8504">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1.对无法实现低VOCs原辅材料替代的工序，在保证安全情况下，应在密闭设备、密闭空间作业或安装二次密闭设施。</w:t>
                  </w:r>
                </w:p>
                <w:p w14:paraId="31096E7C">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2.矿山开采、选矿、运输过程中，应采取相应的防尘措施，化学矿、有色金属矿石及产品堆场应采取“三防”措施。</w:t>
                  </w:r>
                </w:p>
                <w:p w14:paraId="2EF009A4">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3.加强空气质量预测预报能力，完善联动应急响应体系，强化区域联防联控。</w:t>
                  </w:r>
                </w:p>
              </w:tc>
              <w:tc>
                <w:tcPr>
                  <w:tcW w:w="2993" w:type="dxa"/>
                  <w:vAlign w:val="center"/>
                </w:tcPr>
                <w:p w14:paraId="1F83A7D3">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本项目各生产工序均位于密闭生产车间内</w:t>
                  </w:r>
                  <w:r>
                    <w:rPr>
                      <w:rFonts w:hint="eastAsia"/>
                      <w:color w:val="000000" w:themeColor="text1"/>
                      <w:sz w:val="21"/>
                      <w:szCs w:val="21"/>
                      <w14:textFill>
                        <w14:solidFill>
                          <w14:schemeClr w14:val="tx1"/>
                        </w14:solidFill>
                      </w14:textFill>
                    </w:rPr>
                    <w:t>；</w:t>
                  </w:r>
                </w:p>
                <w:p w14:paraId="48E3727B">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2.本项目不</w:t>
                  </w:r>
                  <w:r>
                    <w:rPr>
                      <w:rFonts w:hint="eastAsia"/>
                      <w:color w:val="000000" w:themeColor="text1"/>
                      <w:sz w:val="21"/>
                      <w:szCs w:val="21"/>
                      <w:lang w:eastAsia="zh-CN"/>
                      <w14:textFill>
                        <w14:solidFill>
                          <w14:schemeClr w14:val="tx1"/>
                        </w14:solidFill>
                      </w14:textFill>
                    </w:rPr>
                    <w:t>属于采矿业</w:t>
                  </w:r>
                  <w:r>
                    <w:rPr>
                      <w:rFonts w:hint="eastAsia"/>
                      <w:color w:val="000000" w:themeColor="text1"/>
                      <w:sz w:val="21"/>
                      <w:szCs w:val="21"/>
                      <w14:textFill>
                        <w14:solidFill>
                          <w14:schemeClr w14:val="tx1"/>
                        </w14:solidFill>
                      </w14:textFill>
                    </w:rPr>
                    <w:t>；</w:t>
                  </w:r>
                </w:p>
                <w:p w14:paraId="2F0568B0">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3.本项目建成后将根据环保要求制定环境应急预案强化区域联防联控。</w:t>
                  </w:r>
                </w:p>
              </w:tc>
              <w:tc>
                <w:tcPr>
                  <w:tcW w:w="477" w:type="dxa"/>
                  <w:vAlign w:val="center"/>
                </w:tcPr>
                <w:p w14:paraId="13655FA5">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5D97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7A0777C3">
                  <w:pPr>
                    <w:pStyle w:val="21"/>
                    <w:adjustRightInd w:val="0"/>
                    <w:snapToGrid w:val="0"/>
                    <w:spacing w:before="0" w:beforeAutospacing="0" w:after="0" w:afterAutospacing="0" w:line="240" w:lineRule="auto"/>
                    <w:ind w:firstLine="0" w:firstLineChars="0"/>
                    <w:jc w:val="center"/>
                    <w:outlineLvl w:val="0"/>
                    <w:rPr>
                      <w:rFonts w:ascii="Times New Roman" w:hAnsi="Times New Roman"/>
                      <w:snapToGrid w:val="0"/>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资源利用效率</w:t>
                  </w:r>
                </w:p>
              </w:tc>
              <w:tc>
                <w:tcPr>
                  <w:tcW w:w="4712" w:type="dxa"/>
                  <w:tcMar>
                    <w:top w:w="28" w:type="dxa"/>
                    <w:bottom w:w="57" w:type="dxa"/>
                  </w:tcMar>
                  <w:vAlign w:val="center"/>
                </w:tcPr>
                <w:p w14:paraId="188B0C99">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1.严格合理控制煤炭消费，“十四五”期间完成省定煤炭消费总量控制目标。</w:t>
                  </w:r>
                </w:p>
                <w:p w14:paraId="34A3C4BB">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 xml:space="preserve">2.到2025年，吨钢综合能耗达到国内先进水平。 </w:t>
                  </w:r>
                </w:p>
                <w:p w14:paraId="51855FFA">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3.到2025年，钢铁、石化化工、有色金属、建材等行业重点产品能效达到国际先进水平，规模以上工业单位增加值能耗比2020年下降13.5%。</w:t>
                  </w:r>
                </w:p>
              </w:tc>
              <w:tc>
                <w:tcPr>
                  <w:tcW w:w="2993" w:type="dxa"/>
                  <w:vAlign w:val="center"/>
                </w:tcPr>
                <w:p w14:paraId="7D212F46">
                  <w:pPr>
                    <w:pStyle w:val="6"/>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本项目不涉及煤炭消费，不使用钢，不属于钢铁、石化化工、有色金属、建材等行业。</w:t>
                  </w:r>
                </w:p>
              </w:tc>
              <w:tc>
                <w:tcPr>
                  <w:tcW w:w="477" w:type="dxa"/>
                  <w:vAlign w:val="center"/>
                </w:tcPr>
                <w:p w14:paraId="3EEDCDF1">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符合</w:t>
                  </w:r>
                </w:p>
              </w:tc>
            </w:tr>
            <w:tr w14:paraId="7649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8854" w:type="dxa"/>
                  <w:gridSpan w:val="5"/>
                  <w:tcMar>
                    <w:top w:w="28" w:type="dxa"/>
                    <w:bottom w:w="57" w:type="dxa"/>
                  </w:tcMar>
                  <w:vAlign w:val="center"/>
                </w:tcPr>
                <w:p w14:paraId="3354F143">
                  <w:pPr>
                    <w:pStyle w:val="6"/>
                    <w:adjustRightInd w:val="0"/>
                    <w:snapToGrid w:val="0"/>
                    <w:spacing w:line="240" w:lineRule="auto"/>
                    <w:ind w:firstLine="0" w:firstLine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省辖海河流域</w:t>
                  </w:r>
                </w:p>
              </w:tc>
            </w:tr>
            <w:tr w14:paraId="540F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1CF49D82">
                  <w:pPr>
                    <w:pStyle w:val="21"/>
                    <w:adjustRightInd w:val="0"/>
                    <w:snapToGrid w:val="0"/>
                    <w:spacing w:before="0" w:beforeAutospacing="0" w:after="0" w:afterAutospacing="0" w:line="240" w:lineRule="auto"/>
                    <w:ind w:firstLine="0" w:firstLineChars="0"/>
                    <w:jc w:val="center"/>
                    <w:outlineLvl w:val="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空间布局约束</w:t>
                  </w:r>
                </w:p>
              </w:tc>
              <w:tc>
                <w:tcPr>
                  <w:tcW w:w="4712" w:type="dxa"/>
                  <w:tcMar>
                    <w:top w:w="28" w:type="dxa"/>
                    <w:bottom w:w="57" w:type="dxa"/>
                  </w:tcMar>
                  <w:vAlign w:val="center"/>
                </w:tcPr>
                <w:p w14:paraId="20828388">
                  <w:pPr>
                    <w:widowControl/>
                    <w:adjustRightInd w:val="0"/>
                    <w:snapToGrid w:val="0"/>
                    <w:spacing w:line="240" w:lineRule="auto"/>
                    <w:ind w:firstLine="0" w:firstLineChars="0"/>
                    <w:jc w:val="left"/>
                    <w:rPr>
                      <w:rFonts w:hint="eastAsia" w:eastAsia="宋体"/>
                      <w:color w:val="000000" w:themeColor="text1"/>
                      <w:kern w:val="0"/>
                      <w:sz w:val="21"/>
                      <w:szCs w:val="21"/>
                      <w:lang w:eastAsia="zh-CN"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严格限制造纸、印染等高耗水、重污染产业发展</w:t>
                  </w:r>
                  <w:r>
                    <w:rPr>
                      <w:rFonts w:hint="eastAsia"/>
                      <w:color w:val="000000" w:themeColor="text1"/>
                      <w:kern w:val="0"/>
                      <w:sz w:val="21"/>
                      <w:szCs w:val="21"/>
                      <w:lang w:eastAsia="zh-CN" w:bidi="ar"/>
                      <w14:textFill>
                        <w14:solidFill>
                          <w14:schemeClr w14:val="tx1"/>
                        </w14:solidFill>
                      </w14:textFill>
                    </w:rPr>
                    <w:t>。</w:t>
                  </w:r>
                </w:p>
              </w:tc>
              <w:tc>
                <w:tcPr>
                  <w:tcW w:w="2993" w:type="dxa"/>
                  <w:vAlign w:val="center"/>
                </w:tcPr>
                <w:p w14:paraId="57E435B4">
                  <w:pPr>
                    <w:pStyle w:val="6"/>
                    <w:adjustRightInd w:val="0"/>
                    <w:snapToGrid w:val="0"/>
                    <w:spacing w:line="240" w:lineRule="auto"/>
                    <w:ind w:firstLine="0" w:firstLineChars="0"/>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项目属于棉纺织及印染精加工业，印花工序属于喷墨</w:t>
                  </w:r>
                  <w:r>
                    <w:rPr>
                      <w:rFonts w:hint="eastAsia"/>
                      <w:color w:val="000000" w:themeColor="text1"/>
                      <w:sz w:val="21"/>
                      <w:szCs w:val="21"/>
                      <w:lang w:val="en-US" w:eastAsia="zh-CN"/>
                      <w14:textFill>
                        <w14:solidFill>
                          <w14:schemeClr w14:val="tx1"/>
                        </w14:solidFill>
                      </w14:textFill>
                    </w:rPr>
                    <w:t>印花，不产生生产废水，不属于</w:t>
                  </w:r>
                  <w:r>
                    <w:rPr>
                      <w:rFonts w:hint="eastAsia"/>
                      <w:color w:val="000000" w:themeColor="text1"/>
                      <w:sz w:val="21"/>
                      <w:szCs w:val="21"/>
                      <w:lang w:eastAsia="zh-CN"/>
                      <w14:textFill>
                        <w14:solidFill>
                          <w14:schemeClr w14:val="tx1"/>
                        </w14:solidFill>
                      </w14:textFill>
                    </w:rPr>
                    <w:t>高耗水、重污染产业。</w:t>
                  </w:r>
                </w:p>
              </w:tc>
              <w:tc>
                <w:tcPr>
                  <w:tcW w:w="477" w:type="dxa"/>
                  <w:vAlign w:val="center"/>
                </w:tcPr>
                <w:p w14:paraId="750F7933">
                  <w:pPr>
                    <w:pStyle w:val="6"/>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4966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5080055D">
                  <w:pPr>
                    <w:pStyle w:val="21"/>
                    <w:adjustRightInd w:val="0"/>
                    <w:snapToGrid w:val="0"/>
                    <w:spacing w:before="0" w:beforeAutospacing="0" w:after="0" w:afterAutospacing="0" w:line="240" w:lineRule="auto"/>
                    <w:ind w:firstLine="0" w:firstLineChars="0"/>
                    <w:jc w:val="center"/>
                    <w:outlineLvl w:val="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污染物排放管控</w:t>
                  </w:r>
                </w:p>
              </w:tc>
              <w:tc>
                <w:tcPr>
                  <w:tcW w:w="4712" w:type="dxa"/>
                  <w:tcMar>
                    <w:top w:w="28" w:type="dxa"/>
                    <w:bottom w:w="57" w:type="dxa"/>
                  </w:tcMar>
                  <w:vAlign w:val="center"/>
                </w:tcPr>
                <w:p w14:paraId="66EA7077">
                  <w:pPr>
                    <w:widowControl/>
                    <w:adjustRightInd w:val="0"/>
                    <w:snapToGrid w:val="0"/>
                    <w:spacing w:line="240" w:lineRule="auto"/>
                    <w:ind w:firstLine="0" w:firstLineChars="0"/>
                    <w:jc w:val="left"/>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快补齐城镇污水处理短板，推进污水处理设施及配套管网建设，实施雨污分流系统改造，尽快实现管网全覆</w:t>
                  </w:r>
                  <w:r>
                    <w:rPr>
                      <w:rFonts w:hint="eastAsia"/>
                      <w:color w:val="000000" w:themeColor="text1"/>
                      <w:kern w:val="0"/>
                      <w:sz w:val="21"/>
                      <w:szCs w:val="21"/>
                      <w:lang w:eastAsia="zh-CN" w:bidi="ar"/>
                      <w14:textFill>
                        <w14:solidFill>
                          <w14:schemeClr w14:val="tx1"/>
                        </w14:solidFill>
                      </w14:textFill>
                    </w:rPr>
                    <w:t>。</w:t>
                  </w:r>
                  <w:r>
                    <w:rPr>
                      <w:rFonts w:hint="eastAsia"/>
                      <w:color w:val="000000" w:themeColor="text1"/>
                      <w:kern w:val="0"/>
                      <w:sz w:val="21"/>
                      <w:szCs w:val="21"/>
                      <w:lang w:bidi="ar"/>
                      <w14:textFill>
                        <w14:solidFill>
                          <w14:schemeClr w14:val="tx1"/>
                        </w14:solidFill>
                      </w14:textFill>
                    </w:rPr>
                    <w:t xml:space="preserve"> </w:t>
                  </w:r>
                </w:p>
              </w:tc>
              <w:tc>
                <w:tcPr>
                  <w:tcW w:w="2993" w:type="dxa"/>
                  <w:vAlign w:val="center"/>
                </w:tcPr>
                <w:p w14:paraId="7B216A5E">
                  <w:pPr>
                    <w:pStyle w:val="6"/>
                    <w:adjustRightInd w:val="0"/>
                    <w:snapToGrid w:val="0"/>
                    <w:spacing w:line="240" w:lineRule="auto"/>
                    <w:ind w:firstLine="0" w:firstLineChars="0"/>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项目实施</w:t>
                  </w:r>
                  <w:r>
                    <w:rPr>
                      <w:rFonts w:hint="eastAsia"/>
                      <w:color w:val="000000" w:themeColor="text1"/>
                      <w:kern w:val="0"/>
                      <w:sz w:val="21"/>
                      <w:szCs w:val="21"/>
                      <w:lang w:bidi="ar"/>
                      <w14:textFill>
                        <w14:solidFill>
                          <w14:schemeClr w14:val="tx1"/>
                        </w14:solidFill>
                      </w14:textFill>
                    </w:rPr>
                    <w:t>雨污分流系统</w:t>
                  </w:r>
                  <w:r>
                    <w:rPr>
                      <w:rFonts w:hint="eastAsia"/>
                      <w:color w:val="000000" w:themeColor="text1"/>
                      <w:kern w:val="0"/>
                      <w:sz w:val="21"/>
                      <w:szCs w:val="21"/>
                      <w:lang w:eastAsia="zh-CN" w:bidi="ar"/>
                      <w14:textFill>
                        <w14:solidFill>
                          <w14:schemeClr w14:val="tx1"/>
                        </w14:solidFill>
                      </w14:textFill>
                    </w:rPr>
                    <w:t>，管网污水管网已配置完善。</w:t>
                  </w:r>
                </w:p>
              </w:tc>
              <w:tc>
                <w:tcPr>
                  <w:tcW w:w="477" w:type="dxa"/>
                  <w:vAlign w:val="center"/>
                </w:tcPr>
                <w:p w14:paraId="09C4116B">
                  <w:pPr>
                    <w:pStyle w:val="6"/>
                    <w:adjustRightInd w:val="0"/>
                    <w:snapToGrid w:val="0"/>
                    <w:spacing w:line="240" w:lineRule="auto"/>
                    <w:ind w:firstLine="0" w:firstLine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7656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6DB9094C">
                  <w:pPr>
                    <w:pStyle w:val="21"/>
                    <w:adjustRightInd w:val="0"/>
                    <w:snapToGrid w:val="0"/>
                    <w:spacing w:before="0" w:beforeAutospacing="0" w:after="0" w:afterAutospacing="0" w:line="240" w:lineRule="auto"/>
                    <w:ind w:firstLine="0" w:firstLineChars="0"/>
                    <w:jc w:val="center"/>
                    <w:outlineLvl w:val="0"/>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环境风险防控</w:t>
                  </w:r>
                </w:p>
              </w:tc>
              <w:tc>
                <w:tcPr>
                  <w:tcW w:w="4712" w:type="dxa"/>
                  <w:tcMar>
                    <w:top w:w="28" w:type="dxa"/>
                    <w:bottom w:w="57" w:type="dxa"/>
                  </w:tcMar>
                  <w:vAlign w:val="center"/>
                </w:tcPr>
                <w:p w14:paraId="3A34DF39">
                  <w:pPr>
                    <w:widowControl/>
                    <w:adjustRightInd w:val="0"/>
                    <w:snapToGrid w:val="0"/>
                    <w:spacing w:line="240" w:lineRule="auto"/>
                    <w:ind w:firstLine="0" w:firstLineChars="0"/>
                    <w:jc w:val="left"/>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加强水环境风险源日常管理，以化工园区污水处理厂和化工、制药、造纸等主要排污企业为重点，加强日常监测监控，推进涉水企业的环境风险排查整治、风险预防设施建设;加强跨省界河流上下游联防联控，提升应急处置能力。</w:t>
                  </w:r>
                </w:p>
              </w:tc>
              <w:tc>
                <w:tcPr>
                  <w:tcW w:w="2993" w:type="dxa"/>
                  <w:vAlign w:val="center"/>
                </w:tcPr>
                <w:p w14:paraId="31F57EEC">
                  <w:pPr>
                    <w:pStyle w:val="6"/>
                    <w:adjustRightInd w:val="0"/>
                    <w:snapToGrid w:val="0"/>
                    <w:spacing w:line="240" w:lineRule="auto"/>
                    <w:ind w:firstLine="0" w:firstLineChars="0"/>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项目不属于</w:t>
                  </w:r>
                  <w:r>
                    <w:rPr>
                      <w:rFonts w:hint="eastAsia"/>
                      <w:color w:val="000000" w:themeColor="text1"/>
                      <w:kern w:val="0"/>
                      <w:sz w:val="21"/>
                      <w:szCs w:val="21"/>
                      <w:lang w:bidi="ar"/>
                      <w14:textFill>
                        <w14:solidFill>
                          <w14:schemeClr w14:val="tx1"/>
                        </w14:solidFill>
                      </w14:textFill>
                    </w:rPr>
                    <w:t>化工园区污水处理厂和化工、制药、造纸等主要排污企业</w:t>
                  </w:r>
                  <w:r>
                    <w:rPr>
                      <w:rFonts w:hint="eastAsia"/>
                      <w:color w:val="000000" w:themeColor="text1"/>
                      <w:kern w:val="0"/>
                      <w:sz w:val="21"/>
                      <w:szCs w:val="21"/>
                      <w:lang w:eastAsia="zh-CN" w:bidi="ar"/>
                      <w14:textFill>
                        <w14:solidFill>
                          <w14:schemeClr w14:val="tx1"/>
                        </w14:solidFill>
                      </w14:textFill>
                    </w:rPr>
                    <w:t>，不涉及生产废水产生。</w:t>
                  </w:r>
                </w:p>
              </w:tc>
              <w:tc>
                <w:tcPr>
                  <w:tcW w:w="477" w:type="dxa"/>
                  <w:vAlign w:val="center"/>
                </w:tcPr>
                <w:p w14:paraId="451647AB">
                  <w:pPr>
                    <w:pStyle w:val="6"/>
                    <w:adjustRightInd w:val="0"/>
                    <w:snapToGrid w:val="0"/>
                    <w:spacing w:line="240" w:lineRule="auto"/>
                    <w:ind w:firstLine="0" w:firstLine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252B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672" w:type="dxa"/>
                  <w:gridSpan w:val="2"/>
                  <w:tcMar>
                    <w:top w:w="28" w:type="dxa"/>
                    <w:bottom w:w="57" w:type="dxa"/>
                  </w:tcMar>
                  <w:vAlign w:val="center"/>
                </w:tcPr>
                <w:p w14:paraId="2BA8E123">
                  <w:pPr>
                    <w:pStyle w:val="21"/>
                    <w:adjustRightInd w:val="0"/>
                    <w:snapToGrid w:val="0"/>
                    <w:spacing w:before="0" w:beforeAutospacing="0" w:after="0" w:afterAutospacing="0" w:line="240" w:lineRule="auto"/>
                    <w:ind w:firstLine="0" w:firstLineChars="0"/>
                    <w:jc w:val="center"/>
                    <w:outlineLvl w:val="0"/>
                    <w:rPr>
                      <w:rFonts w:hint="eastAsia"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资源利用效率</w:t>
                  </w:r>
                </w:p>
              </w:tc>
              <w:tc>
                <w:tcPr>
                  <w:tcW w:w="4712" w:type="dxa"/>
                  <w:tcMar>
                    <w:top w:w="28" w:type="dxa"/>
                    <w:bottom w:w="57" w:type="dxa"/>
                  </w:tcMar>
                  <w:vAlign w:val="center"/>
                </w:tcPr>
                <w:p w14:paraId="0513C34D">
                  <w:pPr>
                    <w:widowControl/>
                    <w:adjustRightInd w:val="0"/>
                    <w:snapToGrid w:val="0"/>
                    <w:spacing w:line="240" w:lineRule="auto"/>
                    <w:ind w:firstLine="0" w:firstLineChars="0"/>
                    <w:jc w:val="left"/>
                    <w:rPr>
                      <w:rFonts w:hint="eastAsia"/>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1.按照合理有序使用地表水、控制使用地下水、积极利用非常规水的要求，做好区域水资源统筹调配工作，逐步降低部分过度开发河流和区域的水资源开发利用强度，退减被挤占的生态用水。</w:t>
                  </w:r>
                </w:p>
                <w:p w14:paraId="18612903">
                  <w:pPr>
                    <w:widowControl/>
                    <w:adjustRightInd w:val="0"/>
                    <w:snapToGrid w:val="0"/>
                    <w:spacing w:line="240" w:lineRule="auto"/>
                    <w:ind w:firstLine="0" w:firstLineChars="0"/>
                    <w:jc w:val="left"/>
                    <w:rPr>
                      <w:rFonts w:hint="eastAsia" w:eastAsia="宋体"/>
                      <w:color w:val="000000" w:themeColor="text1"/>
                      <w:kern w:val="0"/>
                      <w:sz w:val="21"/>
                      <w:szCs w:val="21"/>
                      <w:lang w:eastAsia="zh-CN"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2.在粮食核心区规模化推行高效节水灌溉:实施工节水减排行动，大力推进工业水循环利用，推进节水型企业、节水型工业园区建设</w:t>
                  </w:r>
                  <w:r>
                    <w:rPr>
                      <w:rFonts w:hint="eastAsia"/>
                      <w:color w:val="000000" w:themeColor="text1"/>
                      <w:kern w:val="0"/>
                      <w:sz w:val="21"/>
                      <w:szCs w:val="21"/>
                      <w:lang w:eastAsia="zh-CN" w:bidi="ar"/>
                      <w14:textFill>
                        <w14:solidFill>
                          <w14:schemeClr w14:val="tx1"/>
                        </w14:solidFill>
                      </w14:textFill>
                    </w:rPr>
                    <w:t>。</w:t>
                  </w:r>
                </w:p>
                <w:p w14:paraId="4FC3EC29">
                  <w:pPr>
                    <w:widowControl/>
                    <w:adjustRightInd w:val="0"/>
                    <w:snapToGrid w:val="0"/>
                    <w:spacing w:line="240" w:lineRule="auto"/>
                    <w:ind w:firstLine="0" w:firstLineChars="0"/>
                    <w:jc w:val="left"/>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3.重点推进南水北调受水区地下水压采工作，加快公共供水管网建设，逐步关停自备井。</w:t>
                  </w:r>
                </w:p>
              </w:tc>
              <w:tc>
                <w:tcPr>
                  <w:tcW w:w="2993" w:type="dxa"/>
                  <w:vAlign w:val="center"/>
                </w:tcPr>
                <w:p w14:paraId="4B261610">
                  <w:pPr>
                    <w:pStyle w:val="6"/>
                    <w:adjustRightInd w:val="0"/>
                    <w:snapToGrid w:val="0"/>
                    <w:spacing w:line="240" w:lineRule="auto"/>
                    <w:ind w:firstLine="0" w:firstLineChars="0"/>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lang w:eastAsia="zh-CN"/>
                      <w14:textFill>
                        <w14:solidFill>
                          <w14:schemeClr w14:val="tx1"/>
                        </w14:solidFill>
                      </w14:textFill>
                    </w:rPr>
                    <w:t>项目采用市政集中供水，不涉及地表水和地下水开采。</w:t>
                  </w:r>
                </w:p>
                <w:p w14:paraId="1AD633E2">
                  <w:pPr>
                    <w:pStyle w:val="6"/>
                    <w:adjustRightInd w:val="0"/>
                    <w:snapToGrid w:val="0"/>
                    <w:spacing w:line="240" w:lineRule="auto"/>
                    <w:ind w:firstLine="0" w:firstLineChars="0"/>
                    <w:rPr>
                      <w:rFonts w:hint="eastAsia"/>
                      <w:color w:val="000000" w:themeColor="text1"/>
                      <w:kern w:val="0"/>
                      <w:sz w:val="21"/>
                      <w:szCs w:val="21"/>
                      <w:lang w:eastAsia="zh-CN" w:bidi="ar"/>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2.项目选址位于新乡市新能源电池专业园区中片区，不属于</w:t>
                  </w:r>
                  <w:r>
                    <w:rPr>
                      <w:rFonts w:hint="eastAsia"/>
                      <w:color w:val="000000" w:themeColor="text1"/>
                      <w:kern w:val="0"/>
                      <w:sz w:val="21"/>
                      <w:szCs w:val="21"/>
                      <w:lang w:bidi="ar"/>
                      <w14:textFill>
                        <w14:solidFill>
                          <w14:schemeClr w14:val="tx1"/>
                        </w14:solidFill>
                      </w14:textFill>
                    </w:rPr>
                    <w:t>粮食核心区</w:t>
                  </w:r>
                  <w:r>
                    <w:rPr>
                      <w:rFonts w:hint="eastAsia"/>
                      <w:color w:val="000000" w:themeColor="text1"/>
                      <w:kern w:val="0"/>
                      <w:sz w:val="21"/>
                      <w:szCs w:val="21"/>
                      <w:lang w:eastAsia="zh-CN" w:bidi="ar"/>
                      <w14:textFill>
                        <w14:solidFill>
                          <w14:schemeClr w14:val="tx1"/>
                        </w14:solidFill>
                      </w14:textFill>
                    </w:rPr>
                    <w:t>。</w:t>
                  </w:r>
                </w:p>
                <w:p w14:paraId="57C19A66">
                  <w:pPr>
                    <w:pStyle w:val="6"/>
                    <w:adjustRightInd w:val="0"/>
                    <w:snapToGrid w:val="0"/>
                    <w:spacing w:line="240" w:lineRule="auto"/>
                    <w:ind w:firstLine="0" w:firstLineChars="0"/>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w:t>
                  </w:r>
                  <w:r>
                    <w:rPr>
                      <w:rFonts w:hint="eastAsia"/>
                      <w:color w:val="000000" w:themeColor="text1"/>
                      <w:sz w:val="21"/>
                      <w:szCs w:val="21"/>
                      <w:lang w:eastAsia="zh-CN"/>
                      <w14:textFill>
                        <w14:solidFill>
                          <w14:schemeClr w14:val="tx1"/>
                        </w14:solidFill>
                      </w14:textFill>
                    </w:rPr>
                    <w:t>项目采用市政集中供水，不涉及地下水开采。</w:t>
                  </w:r>
                </w:p>
              </w:tc>
              <w:tc>
                <w:tcPr>
                  <w:tcW w:w="477" w:type="dxa"/>
                  <w:vAlign w:val="center"/>
                </w:tcPr>
                <w:p w14:paraId="6728A2B6">
                  <w:pPr>
                    <w:pStyle w:val="6"/>
                    <w:adjustRightInd w:val="0"/>
                    <w:snapToGrid w:val="0"/>
                    <w:spacing w:line="240" w:lineRule="auto"/>
                    <w:ind w:firstLine="0" w:firstLine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0D4C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54" w:type="dxa"/>
                  <w:gridSpan w:val="5"/>
                  <w:vAlign w:val="center"/>
                </w:tcPr>
                <w:p w14:paraId="38A80CA7">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新乡市生态环境总体准入要求</w:t>
                  </w:r>
                </w:p>
              </w:tc>
            </w:tr>
            <w:tr w14:paraId="2245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restart"/>
                  <w:vAlign w:val="center"/>
                </w:tcPr>
                <w:p w14:paraId="2E0B6A51">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空间布局约束</w:t>
                  </w:r>
                </w:p>
              </w:tc>
              <w:tc>
                <w:tcPr>
                  <w:tcW w:w="4712" w:type="dxa"/>
                  <w:vAlign w:val="center"/>
                </w:tcPr>
                <w:p w14:paraId="1D645569">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1.禁止在自然保护区内进行砍伐、放牧、狩猎、捕捞、采药、开垦、烧荒、开矿、采石、挖沙等活动；但是，法律、行政法规另有规定的除外。</w:t>
                  </w:r>
                </w:p>
              </w:tc>
              <w:tc>
                <w:tcPr>
                  <w:tcW w:w="2993" w:type="dxa"/>
                  <w:vAlign w:val="center"/>
                </w:tcPr>
                <w:p w14:paraId="703863A4">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本项目不在自然保护区范围内。</w:t>
                  </w:r>
                </w:p>
              </w:tc>
              <w:tc>
                <w:tcPr>
                  <w:tcW w:w="477" w:type="dxa"/>
                  <w:vAlign w:val="center"/>
                </w:tcPr>
                <w:p w14:paraId="61FD7FC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28D3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5367D3A9">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D3057B1">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2.在风景名胜区内禁止进行下列活动：（略）</w:t>
                  </w:r>
                </w:p>
              </w:tc>
              <w:tc>
                <w:tcPr>
                  <w:tcW w:w="2993" w:type="dxa"/>
                  <w:vAlign w:val="center"/>
                </w:tcPr>
                <w:p w14:paraId="27056963">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本项目不在风景名胜区范围内。</w:t>
                  </w:r>
                </w:p>
              </w:tc>
              <w:tc>
                <w:tcPr>
                  <w:tcW w:w="477" w:type="dxa"/>
                  <w:vAlign w:val="center"/>
                </w:tcPr>
                <w:p w14:paraId="26F6869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09F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6B077564">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9A677A3">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3.饮用水地表水源各级保护区必须遵守下列规定：（略）</w:t>
                  </w:r>
                </w:p>
              </w:tc>
              <w:tc>
                <w:tcPr>
                  <w:tcW w:w="2993" w:type="dxa"/>
                  <w:vAlign w:val="center"/>
                </w:tcPr>
                <w:p w14:paraId="286D6614">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本项目不在饮用水地表水源各级保护区范围内。</w:t>
                  </w:r>
                </w:p>
              </w:tc>
              <w:tc>
                <w:tcPr>
                  <w:tcW w:w="477" w:type="dxa"/>
                  <w:vAlign w:val="center"/>
                </w:tcPr>
                <w:p w14:paraId="7821358F">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18E1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0772A664">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C45BA8A">
                  <w:pPr>
                    <w:widowControl/>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按照《河南省南水北调饮用水水源保护条例》（2022年3月1日实施），在南水北调饮用水水源保护范围内，禁止下列行为：向水体排放油类、酸液、碱液或者剧毒废液；在水体清洗装贮过油类或者有毒污染物的车辆和容器；向水体倾倒....</w:t>
                  </w:r>
                  <w:r>
                    <w:rPr>
                      <w:color w:val="000000" w:themeColor="text1"/>
                      <w:sz w:val="21"/>
                      <w:szCs w:val="21"/>
                      <w14:textFill>
                        <w14:solidFill>
                          <w14:schemeClr w14:val="tx1"/>
                        </w14:solidFill>
                      </w14:textFill>
                    </w:rPr>
                    <w:t>（略）</w:t>
                  </w:r>
                </w:p>
              </w:tc>
              <w:tc>
                <w:tcPr>
                  <w:tcW w:w="2993" w:type="dxa"/>
                  <w:vAlign w:val="center"/>
                </w:tcPr>
                <w:p w14:paraId="24DB7F47">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本项目不在南水北调中线一期工程总干渠（河南段）范围内。</w:t>
                  </w:r>
                </w:p>
              </w:tc>
              <w:tc>
                <w:tcPr>
                  <w:tcW w:w="477" w:type="dxa"/>
                  <w:vAlign w:val="center"/>
                </w:tcPr>
                <w:p w14:paraId="54CDE905">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24D1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06418CDC">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7B662C1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河湖湿地、森林公园内的珍贵景物和风景名胜区核心景区、自然保护区的核心区和缓冲区、土地利用总体规划所确定的永久基本农田保护区、地质遗迹一级保护区、饮用水水源一级保护区、水工程保护范围、地质灾害危险区、矿产资源密集地区的禁止开采区、工程建设不适宜区、大于25%的陡坡地、行洪通道、防洪工程设施保护范围、高压输电线路走廊、天然气输送管线及其防护区、成品油输送管线及其防护区、区域性调水工程管线及其防护区和生态保护红线属于规划的禁止建设区。</w:t>
                  </w:r>
                </w:p>
              </w:tc>
              <w:tc>
                <w:tcPr>
                  <w:tcW w:w="2993" w:type="dxa"/>
                  <w:vAlign w:val="center"/>
                </w:tcPr>
                <w:p w14:paraId="443949F6">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本项目位于</w:t>
                  </w:r>
                  <w:r>
                    <w:rPr>
                      <w:rFonts w:hint="eastAsia"/>
                      <w:color w:val="000000" w:themeColor="text1"/>
                      <w:sz w:val="21"/>
                      <w:szCs w:val="21"/>
                      <w:lang w:eastAsia="zh-CN"/>
                      <w14:textFill>
                        <w14:solidFill>
                          <w14:schemeClr w14:val="tx1"/>
                        </w14:solidFill>
                      </w14:textFill>
                    </w:rPr>
                    <w:t>新乡市新能源电池专业园区标北路11号3A号厂房</w:t>
                  </w:r>
                  <w:r>
                    <w:rPr>
                      <w:color w:val="000000" w:themeColor="text1"/>
                      <w:sz w:val="21"/>
                      <w:szCs w:val="21"/>
                      <w14:textFill>
                        <w14:solidFill>
                          <w14:schemeClr w14:val="tx1"/>
                        </w14:solidFill>
                      </w14:textFill>
                    </w:rPr>
                    <w:t>，不属于禁止建设区。</w:t>
                  </w:r>
                </w:p>
              </w:tc>
              <w:tc>
                <w:tcPr>
                  <w:tcW w:w="477" w:type="dxa"/>
                  <w:vAlign w:val="center"/>
                </w:tcPr>
                <w:p w14:paraId="6DA3A4AB">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属于</w:t>
                  </w:r>
                </w:p>
              </w:tc>
            </w:tr>
            <w:tr w14:paraId="1785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2AE93915">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5F8F717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6.禁止在水产种质资源保护区内从事围湖造田、围海造地或围填海工程……（略）</w:t>
                  </w:r>
                </w:p>
              </w:tc>
              <w:tc>
                <w:tcPr>
                  <w:tcW w:w="2993" w:type="dxa"/>
                  <w:vAlign w:val="center"/>
                </w:tcPr>
                <w:p w14:paraId="3F167B33">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本项目不在水产种质资源保护区内。</w:t>
                  </w:r>
                </w:p>
              </w:tc>
              <w:tc>
                <w:tcPr>
                  <w:tcW w:w="477" w:type="dxa"/>
                  <w:vAlign w:val="center"/>
                </w:tcPr>
                <w:p w14:paraId="0977E749">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65EC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757634F9">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1115BAC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共产主义渠、卫河、天然文岩渠等主要河道除涝标准达到3年一遇，防洪标准达到10-20年一遇，重点河段达到50-100年一遇设置堤防。</w:t>
                  </w:r>
                </w:p>
              </w:tc>
              <w:tc>
                <w:tcPr>
                  <w:tcW w:w="2993" w:type="dxa"/>
                  <w:vAlign w:val="center"/>
                </w:tcPr>
                <w:p w14:paraId="7A0BAD76">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w:t>
                  </w:r>
                  <w:r>
                    <w:rPr>
                      <w:rFonts w:hint="eastAsia"/>
                      <w:color w:val="000000" w:themeColor="text1"/>
                      <w:sz w:val="21"/>
                      <w:szCs w:val="21"/>
                      <w14:textFill>
                        <w14:solidFill>
                          <w14:schemeClr w14:val="tx1"/>
                        </w14:solidFill>
                      </w14:textFill>
                    </w:rPr>
                    <w:t>共产主义渠、卫河、天然文岩渠等主要河道防洪除涝区域</w:t>
                  </w:r>
                  <w:r>
                    <w:rPr>
                      <w:color w:val="000000" w:themeColor="text1"/>
                      <w:sz w:val="21"/>
                      <w:szCs w:val="21"/>
                      <w14:textFill>
                        <w14:solidFill>
                          <w14:schemeClr w14:val="tx1"/>
                        </w14:solidFill>
                      </w14:textFill>
                    </w:rPr>
                    <w:t>，不会影响城市防洪。</w:t>
                  </w:r>
                </w:p>
              </w:tc>
              <w:tc>
                <w:tcPr>
                  <w:tcW w:w="477" w:type="dxa"/>
                  <w:vAlign w:val="center"/>
                </w:tcPr>
                <w:p w14:paraId="369FE772">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6C4A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149E5AFD">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47CAB60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w:t>
                  </w:r>
                  <w:r>
                    <w:rPr>
                      <w:rFonts w:hint="eastAsia"/>
                      <w:color w:val="000000" w:themeColor="text1"/>
                      <w:sz w:val="21"/>
                      <w:szCs w:val="21"/>
                      <w14:textFill>
                        <w14:solidFill>
                          <w14:schemeClr w14:val="tx1"/>
                        </w14:solidFill>
                      </w14:textFill>
                    </w:rPr>
                    <w:t>南太行旅游度假区规划区范围内；新乡市山水林田湖草一体化生态城规划区范围内；按规定划定的自然保护区、景观区、居民集中生活区的周边和重要交通干线、河流湖泊直观可视范围内；特定生态保护红线范围内禁止新建露天矿山项目。</w:t>
                  </w:r>
                  <w:r>
                    <w:rPr>
                      <w:rFonts w:hint="eastAsia"/>
                      <w:color w:val="auto"/>
                      <w:sz w:val="21"/>
                      <w:szCs w:val="21"/>
                      <w:highlight w:val="none"/>
                    </w:rPr>
                    <w:t>禁止建设生产和使用高挥发性有机物含量的溶剂型涂料、油墨、胶粘剂等项目。按照“可替尽替、应代尽代”的原则，开展汽车制造、工业涂装、家具制造、包装印刷、钢结构制造、工程机械等行业溶剂型涂料、油墨、胶粘剂、清洗剂使用低VOCs含量原辅材料替代。禁止生产、销售不符合标准的机动车船、非</w:t>
                  </w:r>
                  <w:r>
                    <w:rPr>
                      <w:rFonts w:hint="eastAsia"/>
                      <w:color w:val="000000" w:themeColor="text1"/>
                      <w:sz w:val="21"/>
                      <w:szCs w:val="21"/>
                      <w14:textFill>
                        <w14:solidFill>
                          <w14:schemeClr w14:val="tx1"/>
                        </w14:solidFill>
                      </w14:textFill>
                    </w:rPr>
                    <w:t>道路移动机械用燃料；禁止向汽车和摩托车销售普通柴油以及其他非机动车用燃料；禁止向非道路移动机械销售渣油、重油和不符合规定的燃用油。</w:t>
                  </w:r>
                </w:p>
              </w:tc>
              <w:tc>
                <w:tcPr>
                  <w:tcW w:w="2993" w:type="dxa"/>
                  <w:vAlign w:val="center"/>
                </w:tcPr>
                <w:p w14:paraId="57ECE12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本项目选址</w:t>
                  </w:r>
                  <w:r>
                    <w:rPr>
                      <w:rFonts w:hint="eastAsia"/>
                      <w:color w:val="000000" w:themeColor="text1"/>
                      <w:sz w:val="21"/>
                      <w:szCs w:val="21"/>
                      <w14:textFill>
                        <w14:solidFill>
                          <w14:schemeClr w14:val="tx1"/>
                        </w14:solidFill>
                      </w14:textFill>
                    </w:rPr>
                    <w:t>位于</w:t>
                  </w:r>
                  <w:r>
                    <w:rPr>
                      <w:rFonts w:hint="eastAsia"/>
                      <w:color w:val="000000" w:themeColor="text1"/>
                      <w:sz w:val="21"/>
                      <w:szCs w:val="21"/>
                      <w:lang w:eastAsia="zh-CN"/>
                      <w14:textFill>
                        <w14:solidFill>
                          <w14:schemeClr w14:val="tx1"/>
                        </w14:solidFill>
                      </w14:textFill>
                    </w:rPr>
                    <w:t>新乡市新能源电池专业园区标北路11号3A号厂房，</w:t>
                  </w:r>
                  <w:r>
                    <w:rPr>
                      <w:color w:val="000000" w:themeColor="text1"/>
                      <w:sz w:val="21"/>
                      <w:szCs w:val="21"/>
                      <w14:textFill>
                        <w14:solidFill>
                          <w14:schemeClr w14:val="tx1"/>
                        </w14:solidFill>
                      </w14:textFill>
                    </w:rPr>
                    <w:t>不</w:t>
                  </w:r>
                  <w:r>
                    <w:rPr>
                      <w:rFonts w:hint="eastAsia"/>
                      <w:color w:val="000000" w:themeColor="text1"/>
                      <w:sz w:val="21"/>
                      <w:szCs w:val="21"/>
                      <w:lang w:eastAsia="zh-CN"/>
                      <w14:textFill>
                        <w14:solidFill>
                          <w14:schemeClr w14:val="tx1"/>
                        </w14:solidFill>
                      </w14:textFill>
                    </w:rPr>
                    <w:t>属于</w:t>
                  </w:r>
                  <w:r>
                    <w:rPr>
                      <w:color w:val="000000" w:themeColor="text1"/>
                      <w:sz w:val="21"/>
                      <w:szCs w:val="21"/>
                      <w14:textFill>
                        <w14:solidFill>
                          <w14:schemeClr w14:val="tx1"/>
                        </w14:solidFill>
                      </w14:textFill>
                    </w:rPr>
                    <w:t>特定生态保护红线范围内，</w:t>
                  </w:r>
                  <w:r>
                    <w:rPr>
                      <w:rFonts w:hint="eastAsia"/>
                      <w:color w:val="000000" w:themeColor="text1"/>
                      <w:sz w:val="21"/>
                      <w:szCs w:val="21"/>
                      <w14:textFill>
                        <w14:solidFill>
                          <w14:schemeClr w14:val="tx1"/>
                        </w14:solidFill>
                      </w14:textFill>
                    </w:rPr>
                    <w:t>选址</w:t>
                  </w:r>
                  <w:r>
                    <w:rPr>
                      <w:color w:val="000000" w:themeColor="text1"/>
                      <w:sz w:val="21"/>
                      <w:szCs w:val="21"/>
                      <w14:textFill>
                        <w14:solidFill>
                          <w14:schemeClr w14:val="tx1"/>
                        </w14:solidFill>
                      </w14:textFill>
                    </w:rPr>
                    <w:t>符合</w:t>
                  </w:r>
                  <w:r>
                    <w:rPr>
                      <w:rFonts w:hint="eastAsia"/>
                      <w:color w:val="000000" w:themeColor="text1"/>
                      <w:sz w:val="21"/>
                      <w:szCs w:val="21"/>
                      <w:lang w:eastAsia="zh-CN"/>
                      <w14:textFill>
                        <w14:solidFill>
                          <w14:schemeClr w14:val="tx1"/>
                        </w14:solidFill>
                      </w14:textFill>
                    </w:rPr>
                    <w:t>新乡市新能源电池专业园区发展规划</w:t>
                  </w:r>
                  <w:r>
                    <w:rPr>
                      <w:snapToGrid w:val="0"/>
                      <w:color w:val="000000" w:themeColor="text1"/>
                      <w:kern w:val="0"/>
                      <w:sz w:val="21"/>
                      <w:szCs w:val="21"/>
                      <w14:textFill>
                        <w14:solidFill>
                          <w14:schemeClr w14:val="tx1"/>
                        </w14:solidFill>
                      </w14:textFill>
                    </w:rPr>
                    <w:t>。</w:t>
                  </w:r>
                </w:p>
              </w:tc>
              <w:tc>
                <w:tcPr>
                  <w:tcW w:w="477" w:type="dxa"/>
                  <w:vAlign w:val="center"/>
                </w:tcPr>
                <w:p w14:paraId="1F93C87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61E3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2E27509F">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27BA622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w:t>
                  </w:r>
                  <w:r>
                    <w:rPr>
                      <w:rFonts w:hint="eastAsia"/>
                      <w:color w:val="000000" w:themeColor="text1"/>
                      <w:sz w:val="21"/>
                      <w:szCs w:val="21"/>
                      <w14:textFill>
                        <w14:solidFill>
                          <w14:schemeClr w14:val="tx1"/>
                        </w14:solidFill>
                      </w14:textFill>
                    </w:rPr>
                    <w:t>严格控制新建、扩建钢铁冶炼、水泥、有色金属冶炼、平板玻璃、化工、建筑陶瓷、耐火材料、砖瓦、矿山开采等行业的高排放、高污染项目</w:t>
                  </w:r>
                  <w:r>
                    <w:rPr>
                      <w:color w:val="000000" w:themeColor="text1"/>
                      <w:sz w:val="21"/>
                      <w:szCs w:val="21"/>
                      <w14:textFill>
                        <w14:solidFill>
                          <w14:schemeClr w14:val="tx1"/>
                        </w14:solidFill>
                      </w14:textFill>
                    </w:rPr>
                    <w:t>……（略）</w:t>
                  </w:r>
                </w:p>
              </w:tc>
              <w:tc>
                <w:tcPr>
                  <w:tcW w:w="2993" w:type="dxa"/>
                  <w:vAlign w:val="center"/>
                </w:tcPr>
                <w:p w14:paraId="63AC4D7A">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本项目不属于</w:t>
                  </w:r>
                  <w:r>
                    <w:rPr>
                      <w:rFonts w:hint="eastAsia"/>
                      <w:color w:val="000000" w:themeColor="text1"/>
                      <w:sz w:val="21"/>
                      <w:szCs w:val="21"/>
                      <w14:textFill>
                        <w14:solidFill>
                          <w14:schemeClr w14:val="tx1"/>
                        </w14:solidFill>
                      </w14:textFill>
                    </w:rPr>
                    <w:t>高排放、</w:t>
                  </w:r>
                  <w:r>
                    <w:rPr>
                      <w:color w:val="000000" w:themeColor="text1"/>
                      <w:sz w:val="21"/>
                      <w:szCs w:val="21"/>
                      <w14:textFill>
                        <w14:solidFill>
                          <w14:schemeClr w14:val="tx1"/>
                        </w14:solidFill>
                      </w14:textFill>
                    </w:rPr>
                    <w:t>高污染项目。</w:t>
                  </w:r>
                </w:p>
              </w:tc>
              <w:tc>
                <w:tcPr>
                  <w:tcW w:w="477" w:type="dxa"/>
                  <w:vAlign w:val="center"/>
                </w:tcPr>
                <w:p w14:paraId="3A91DF9B">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47C2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659DD7B2">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7CAFAE9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按照各园区建设发展规划，培育和建设关联企业高度集中的产业基地，积极推行区域、规划环境影响评价，对搬迁升级改造石化、化工、建材、有色等项目的环境影响评价，应满足区域、规划环评要求。鼓励支持水泥等重点行业进行产能置换、装备大型改造、重组整合。</w:t>
                  </w:r>
                </w:p>
              </w:tc>
              <w:tc>
                <w:tcPr>
                  <w:tcW w:w="2993" w:type="dxa"/>
                  <w:vAlign w:val="center"/>
                </w:tcPr>
                <w:p w14:paraId="32D45AF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本项目位于</w:t>
                  </w:r>
                  <w:r>
                    <w:rPr>
                      <w:rFonts w:hint="eastAsia"/>
                      <w:color w:val="000000" w:themeColor="text1"/>
                      <w:sz w:val="21"/>
                      <w:szCs w:val="21"/>
                      <w:lang w:eastAsia="zh-CN"/>
                      <w14:textFill>
                        <w14:solidFill>
                          <w14:schemeClr w14:val="tx1"/>
                        </w14:solidFill>
                      </w14:textFill>
                    </w:rPr>
                    <w:t>新乡市新能源电池专业园区标北路11号3A号厂房</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属于</w:t>
                  </w:r>
                  <w:r>
                    <w:rPr>
                      <w:rFonts w:hint="eastAsia"/>
                      <w:color w:val="000000" w:themeColor="text1"/>
                      <w:sz w:val="21"/>
                      <w:szCs w:val="21"/>
                      <w:lang w:eastAsia="zh-CN"/>
                      <w14:textFill>
                        <w14:solidFill>
                          <w14:schemeClr w14:val="tx1"/>
                        </w14:solidFill>
                      </w14:textFill>
                    </w:rPr>
                    <w:t>棉纺织及印染精加工业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不属于石化、化工、建材、有色等项目，不属于水泥行业。</w:t>
                  </w:r>
                </w:p>
              </w:tc>
              <w:tc>
                <w:tcPr>
                  <w:tcW w:w="477" w:type="dxa"/>
                  <w:vAlign w:val="center"/>
                </w:tcPr>
                <w:p w14:paraId="41A4F812">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4C66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639BCDCB">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0B60666">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化工园区选址布局应符合有关法律法规、政策规定、相关规划和行业管理或技术规范，满足国土空间规划和生态环境保护、安全生产、应急救援、资源利用、综合防灾减灾、交通运输等相关要求，原则上不再设立新的化工园区。</w:t>
                  </w:r>
                </w:p>
              </w:tc>
              <w:tc>
                <w:tcPr>
                  <w:tcW w:w="2993" w:type="dxa"/>
                  <w:vAlign w:val="center"/>
                </w:tcPr>
                <w:p w14:paraId="3B219C87">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w:t>
                  </w:r>
                  <w:r>
                    <w:rPr>
                      <w:rFonts w:hint="eastAsia"/>
                      <w:color w:val="000000" w:themeColor="text1"/>
                      <w:sz w:val="21"/>
                      <w:szCs w:val="21"/>
                      <w:lang w:eastAsia="zh-CN"/>
                      <w14:textFill>
                        <w14:solidFill>
                          <w14:schemeClr w14:val="tx1"/>
                        </w14:solidFill>
                      </w14:textFill>
                    </w:rPr>
                    <w:t>属于化工项目</w:t>
                  </w:r>
                  <w:r>
                    <w:rPr>
                      <w:rFonts w:hint="eastAsia"/>
                      <w:color w:val="000000" w:themeColor="text1"/>
                      <w:sz w:val="21"/>
                      <w:szCs w:val="21"/>
                      <w14:textFill>
                        <w14:solidFill>
                          <w14:schemeClr w14:val="tx1"/>
                        </w14:solidFill>
                      </w14:textFill>
                    </w:rPr>
                    <w:t>。</w:t>
                  </w:r>
                </w:p>
              </w:tc>
              <w:tc>
                <w:tcPr>
                  <w:tcW w:w="477" w:type="dxa"/>
                  <w:vAlign w:val="center"/>
                </w:tcPr>
                <w:p w14:paraId="0942A0AD">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5EE5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1CC2432C">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29DBE6C3">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12.推动我市沿黄重点地区拟建工业项目转入合规工业园区，严格控制高污染、高耗水、高耗能项目。</w:t>
                  </w:r>
                </w:p>
              </w:tc>
              <w:tc>
                <w:tcPr>
                  <w:tcW w:w="2993" w:type="dxa"/>
                  <w:vAlign w:val="center"/>
                </w:tcPr>
                <w:p w14:paraId="3159363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选址</w:t>
                  </w:r>
                  <w:r>
                    <w:rPr>
                      <w:rFonts w:hint="eastAsia"/>
                      <w:color w:val="000000" w:themeColor="text1"/>
                      <w:sz w:val="21"/>
                      <w:szCs w:val="21"/>
                      <w:lang w:val="en-US" w:eastAsia="zh-CN"/>
                      <w14:textFill>
                        <w14:solidFill>
                          <w14:schemeClr w14:val="tx1"/>
                        </w14:solidFill>
                      </w14:textFill>
                    </w:rPr>
                    <w:t>所在地不属于沿黄重点地区，</w:t>
                  </w:r>
                  <w:r>
                    <w:rPr>
                      <w:color w:val="000000" w:themeColor="text1"/>
                      <w:sz w:val="21"/>
                      <w:szCs w:val="21"/>
                      <w14:textFill>
                        <w14:solidFill>
                          <w14:schemeClr w14:val="tx1"/>
                        </w14:solidFill>
                      </w14:textFill>
                    </w:rPr>
                    <w:t>不属于高污染</w:t>
                  </w:r>
                  <w:r>
                    <w:rPr>
                      <w:rFonts w:hint="eastAsia"/>
                      <w:color w:val="000000" w:themeColor="text1"/>
                      <w:sz w:val="21"/>
                      <w:szCs w:val="21"/>
                      <w14:textFill>
                        <w14:solidFill>
                          <w14:schemeClr w14:val="tx1"/>
                        </w14:solidFill>
                      </w14:textFill>
                    </w:rPr>
                    <w:t>、高耗水、高耗能</w:t>
                  </w:r>
                  <w:r>
                    <w:rPr>
                      <w:color w:val="000000" w:themeColor="text1"/>
                      <w:sz w:val="21"/>
                      <w:szCs w:val="21"/>
                      <w14:textFill>
                        <w14:solidFill>
                          <w14:schemeClr w14:val="tx1"/>
                        </w14:solidFill>
                      </w14:textFill>
                    </w:rPr>
                    <w:t>项目。</w:t>
                  </w:r>
                </w:p>
              </w:tc>
              <w:tc>
                <w:tcPr>
                  <w:tcW w:w="477" w:type="dxa"/>
                  <w:vAlign w:val="center"/>
                </w:tcPr>
                <w:p w14:paraId="09787539">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045A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restart"/>
                  <w:vAlign w:val="center"/>
                </w:tcPr>
                <w:p w14:paraId="129B9436">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污染物排放管控</w:t>
                  </w:r>
                </w:p>
              </w:tc>
              <w:tc>
                <w:tcPr>
                  <w:tcW w:w="4712" w:type="dxa"/>
                  <w:vAlign w:val="center"/>
                </w:tcPr>
                <w:p w14:paraId="7A55282F">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1.新、改、扩建项目主要污染物排放要求满足当地总量减排要求。</w:t>
                  </w:r>
                </w:p>
              </w:tc>
              <w:tc>
                <w:tcPr>
                  <w:tcW w:w="2993" w:type="dxa"/>
                  <w:vAlign w:val="center"/>
                </w:tcPr>
                <w:p w14:paraId="1C2413D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污染物</w:t>
                  </w:r>
                  <w:r>
                    <w:rPr>
                      <w:color w:val="000000" w:themeColor="text1"/>
                      <w:sz w:val="21"/>
                      <w:szCs w:val="21"/>
                      <w14:textFill>
                        <w14:solidFill>
                          <w14:schemeClr w14:val="tx1"/>
                        </w14:solidFill>
                      </w14:textFill>
                    </w:rPr>
                    <w:t>排放满足当地总量减排要求。</w:t>
                  </w:r>
                </w:p>
              </w:tc>
              <w:tc>
                <w:tcPr>
                  <w:tcW w:w="477" w:type="dxa"/>
                  <w:vAlign w:val="center"/>
                </w:tcPr>
                <w:p w14:paraId="0023056A">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80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426173F5">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52E916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2.十四五末，共产主义渠、西柳青河达到Ⅳ类指标，卫河、文岩渠、天然渠、天然文岩渠、黄庄河达到Ⅲ类指标；城市集中式饮</w:t>
                  </w:r>
                  <w:r>
                    <w:rPr>
                      <w:rFonts w:hint="eastAsia"/>
                      <w:color w:val="000000" w:themeColor="text1"/>
                      <w:sz w:val="21"/>
                      <w:szCs w:val="21"/>
                      <w14:textFill>
                        <w14:solidFill>
                          <w14:schemeClr w14:val="tx1"/>
                        </w14:solidFill>
                      </w14:textFill>
                    </w:rPr>
                    <w:t>用水水源地取水水质达标率达到100%；地下水质量考核点位水质级别保持稳定；确保完成国家水质考核目标。全市建成区全面消除黑臭水体，县（市）建成区基本完成黑臭水体整治任务。重点治理市域内卫河</w:t>
                  </w:r>
                  <w:r>
                    <w:rPr>
                      <w:color w:val="000000" w:themeColor="text1"/>
                      <w:sz w:val="21"/>
                      <w:szCs w:val="21"/>
                      <w14:textFill>
                        <w14:solidFill>
                          <w14:schemeClr w14:val="tx1"/>
                        </w14:solidFill>
                      </w14:textFill>
                    </w:rPr>
                    <w:t>……（略）</w:t>
                  </w:r>
                </w:p>
              </w:tc>
              <w:tc>
                <w:tcPr>
                  <w:tcW w:w="2993" w:type="dxa"/>
                  <w:vAlign w:val="center"/>
                </w:tcPr>
                <w:p w14:paraId="322AE0E7">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项目生活污水</w:t>
                  </w:r>
                  <w:r>
                    <w:rPr>
                      <w:rFonts w:hint="eastAsia"/>
                      <w:color w:val="000000" w:themeColor="text1"/>
                      <w:sz w:val="21"/>
                      <w:szCs w:val="21"/>
                      <w:lang w:eastAsia="zh-CN"/>
                      <w14:textFill>
                        <w14:solidFill>
                          <w14:schemeClr w14:val="tx1"/>
                        </w14:solidFill>
                      </w14:textFill>
                    </w:rPr>
                    <w:t>经化粪池处理后排入河南新投水务有限公司</w:t>
                  </w:r>
                  <w:r>
                    <w:rPr>
                      <w:rFonts w:hint="eastAsia"/>
                      <w:color w:val="000000" w:themeColor="text1"/>
                      <w:sz w:val="21"/>
                      <w:szCs w:val="21"/>
                      <w14:textFill>
                        <w14:solidFill>
                          <w14:schemeClr w14:val="tx1"/>
                        </w14:solidFill>
                      </w14:textFill>
                    </w:rPr>
                    <w:t>（小尚庄污水处理厂）</w:t>
                  </w:r>
                  <w:r>
                    <w:rPr>
                      <w:color w:val="000000" w:themeColor="text1"/>
                      <w:sz w:val="21"/>
                      <w:szCs w:val="21"/>
                      <w14:textFill>
                        <w14:solidFill>
                          <w14:schemeClr w14:val="tx1"/>
                        </w14:solidFill>
                      </w14:textFill>
                    </w:rPr>
                    <w:t>进一步处理。</w:t>
                  </w:r>
                </w:p>
              </w:tc>
              <w:tc>
                <w:tcPr>
                  <w:tcW w:w="477" w:type="dxa"/>
                  <w:vAlign w:val="center"/>
                </w:tcPr>
                <w:p w14:paraId="28B84F1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768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5F885EFD">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2BC15F90">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全面推进城镇（园区）污水处理厂Ⅴ类水提标改造工程建设，市、县（市、区）污水处理率、城市污泥无害化处置率达到政府目标任务。到2025年，黄河流域内现有污水处理厂完成提质增效改造，确保出水稳定达到《河南省黄河流域水污染物排放标准》污染物（DB41/2087-2021）。</w:t>
                  </w:r>
                </w:p>
              </w:tc>
              <w:tc>
                <w:tcPr>
                  <w:tcW w:w="2993" w:type="dxa"/>
                  <w:vAlign w:val="center"/>
                </w:tcPr>
                <w:p w14:paraId="050CFA3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项目生活污水</w:t>
                  </w:r>
                  <w:r>
                    <w:rPr>
                      <w:rFonts w:hint="eastAsia"/>
                      <w:color w:val="000000" w:themeColor="text1"/>
                      <w:sz w:val="21"/>
                      <w:szCs w:val="21"/>
                      <w:lang w:eastAsia="zh-CN"/>
                      <w14:textFill>
                        <w14:solidFill>
                          <w14:schemeClr w14:val="tx1"/>
                        </w14:solidFill>
                      </w14:textFill>
                    </w:rPr>
                    <w:t>经化粪池处理后排入河南新投水务有限公司</w:t>
                  </w:r>
                  <w:r>
                    <w:rPr>
                      <w:rFonts w:hint="eastAsia"/>
                      <w:color w:val="000000" w:themeColor="text1"/>
                      <w:sz w:val="21"/>
                      <w:szCs w:val="21"/>
                      <w14:textFill>
                        <w14:solidFill>
                          <w14:schemeClr w14:val="tx1"/>
                        </w14:solidFill>
                      </w14:textFill>
                    </w:rPr>
                    <w:t>（小尚庄污水处理厂）进一步处理</w:t>
                  </w:r>
                  <w:r>
                    <w:rPr>
                      <w:rFonts w:hint="eastAsia"/>
                      <w:color w:val="000000" w:themeColor="text1"/>
                      <w:sz w:val="21"/>
                      <w:szCs w:val="21"/>
                      <w:lang w:eastAsia="zh-CN"/>
                      <w14:textFill>
                        <w14:solidFill>
                          <w14:schemeClr w14:val="tx1"/>
                        </w14:solidFill>
                      </w14:textFill>
                    </w:rPr>
                    <w:t>，尾水排入卫河，卫河不属于黄河流域</w:t>
                  </w:r>
                  <w:r>
                    <w:rPr>
                      <w:rFonts w:hint="eastAsia"/>
                      <w:color w:val="000000" w:themeColor="text1"/>
                      <w:sz w:val="21"/>
                      <w:szCs w:val="21"/>
                      <w14:textFill>
                        <w14:solidFill>
                          <w14:schemeClr w14:val="tx1"/>
                        </w14:solidFill>
                      </w14:textFill>
                    </w:rPr>
                    <w:t>。</w:t>
                  </w:r>
                </w:p>
              </w:tc>
              <w:tc>
                <w:tcPr>
                  <w:tcW w:w="477" w:type="dxa"/>
                  <w:vAlign w:val="center"/>
                </w:tcPr>
                <w:p w14:paraId="7E71E4D0">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符合</w:t>
                  </w:r>
                </w:p>
              </w:tc>
            </w:tr>
            <w:tr w14:paraId="43D9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199CC721">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1CA7EC7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严控新增重金属污染物排放量，在重有色金属冶炼业（铜、铅锌、镍、钴、锡、锑和汞冶炼等）、铅蓄电池制造业、皮革及其制品业（皮革鞣制加工等）、化学原料及化学制品制造业（电石法聚氯乙烯行业、铬盐行业等）、电镀行业等重点行业实施重点重金属减量替代。新、改、扩建涉重金属重点行业建设项目应遵循重点重金属污染物排放“减量替代”原则，应符合《新乡市“十四五”重金属污染防控工作方案》相关要求</w:t>
                  </w:r>
                  <w:r>
                    <w:rPr>
                      <w:color w:val="000000" w:themeColor="text1"/>
                      <w:sz w:val="21"/>
                      <w:szCs w:val="21"/>
                      <w14:textFill>
                        <w14:solidFill>
                          <w14:schemeClr w14:val="tx1"/>
                        </w14:solidFill>
                      </w14:textFill>
                    </w:rPr>
                    <w:t>。</w:t>
                  </w:r>
                </w:p>
              </w:tc>
              <w:tc>
                <w:tcPr>
                  <w:tcW w:w="2993" w:type="dxa"/>
                  <w:vAlign w:val="center"/>
                </w:tcPr>
                <w:p w14:paraId="5686A8D2">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本项目不涉及重金属污染物排放。</w:t>
                  </w:r>
                </w:p>
              </w:tc>
              <w:tc>
                <w:tcPr>
                  <w:tcW w:w="477" w:type="dxa"/>
                  <w:vAlign w:val="center"/>
                </w:tcPr>
                <w:p w14:paraId="6247918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699C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7DFECD48">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08979DC3">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5.全面推进企业清洁生产，完善省级产业集聚区污水处理设施水平……（略）</w:t>
                  </w:r>
                </w:p>
              </w:tc>
              <w:tc>
                <w:tcPr>
                  <w:tcW w:w="2993" w:type="dxa"/>
                  <w:vAlign w:val="center"/>
                </w:tcPr>
                <w:p w14:paraId="38B40F26">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项目建成后严格按照清洁生产要求进行管理和生产。</w:t>
                  </w:r>
                </w:p>
              </w:tc>
              <w:tc>
                <w:tcPr>
                  <w:tcW w:w="477" w:type="dxa"/>
                  <w:vAlign w:val="center"/>
                </w:tcPr>
                <w:p w14:paraId="4BC461A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8E1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42FC4A2E">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2ECD2B3E">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测土配方施肥技术推广覆盖率、绿色防控覆盖率达到政府目标任务，实现化肥农药施用量零增长。</w:t>
                  </w:r>
                </w:p>
              </w:tc>
              <w:tc>
                <w:tcPr>
                  <w:tcW w:w="2993" w:type="dxa"/>
                  <w:vAlign w:val="center"/>
                </w:tcPr>
                <w:p w14:paraId="74BADB38">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不涉及</w:t>
                  </w:r>
                  <w:r>
                    <w:rPr>
                      <w:rFonts w:hint="eastAsia"/>
                      <w:color w:val="000000" w:themeColor="text1"/>
                      <w:sz w:val="21"/>
                      <w:szCs w:val="21"/>
                      <w:lang w:eastAsia="zh-CN"/>
                      <w14:textFill>
                        <w14:solidFill>
                          <w14:schemeClr w14:val="tx1"/>
                        </w14:solidFill>
                      </w14:textFill>
                    </w:rPr>
                    <w:t>施肥</w:t>
                  </w:r>
                  <w:r>
                    <w:rPr>
                      <w:color w:val="000000" w:themeColor="text1"/>
                      <w:sz w:val="21"/>
                      <w:szCs w:val="21"/>
                      <w14:textFill>
                        <w14:solidFill>
                          <w14:schemeClr w14:val="tx1"/>
                        </w14:solidFill>
                      </w14:textFill>
                    </w:rPr>
                    <w:t>。</w:t>
                  </w:r>
                </w:p>
              </w:tc>
              <w:tc>
                <w:tcPr>
                  <w:tcW w:w="477" w:type="dxa"/>
                  <w:vAlign w:val="center"/>
                </w:tcPr>
                <w:p w14:paraId="131207D6">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0AA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24F5A754">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10923BA4">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7.实施节能降碳增效行动，提高能源利用效率，推动电力、钢铁、有色金属、建材、石化化工等行业绿色转型发展。</w:t>
                  </w:r>
                </w:p>
              </w:tc>
              <w:tc>
                <w:tcPr>
                  <w:tcW w:w="2993" w:type="dxa"/>
                  <w:vAlign w:val="center"/>
                </w:tcPr>
                <w:p w14:paraId="4E774A1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本项目不属于</w:t>
                  </w:r>
                  <w:r>
                    <w:rPr>
                      <w:rFonts w:hint="eastAsia"/>
                      <w:color w:val="000000" w:themeColor="text1"/>
                      <w:sz w:val="21"/>
                      <w:szCs w:val="21"/>
                      <w14:textFill>
                        <w14:solidFill>
                          <w14:schemeClr w14:val="tx1"/>
                        </w14:solidFill>
                      </w14:textFill>
                    </w:rPr>
                    <w:t>电力、钢铁、有色金属、建材、石化化工等行业。</w:t>
                  </w:r>
                </w:p>
              </w:tc>
              <w:tc>
                <w:tcPr>
                  <w:tcW w:w="477" w:type="dxa"/>
                  <w:vAlign w:val="center"/>
                </w:tcPr>
                <w:p w14:paraId="72D74DB9">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54FE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2" w:type="dxa"/>
                  <w:gridSpan w:val="2"/>
                  <w:vMerge w:val="continue"/>
                  <w:vAlign w:val="center"/>
                </w:tcPr>
                <w:p w14:paraId="39DE3317">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5BD47FF9">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国家、省绩效分级重点行业以及涉及锅炉炉窑的其他行业，新建、扩建项目污染物排放限值、污染治理措施、无组织排放控制水平、运输方式等达到 A级绩效水平，改建项目污染物排放限值、污染治理措施、无组织排放控制水平、运输方式等达到B级以上绩效水平</w:t>
                  </w:r>
                </w:p>
              </w:tc>
              <w:tc>
                <w:tcPr>
                  <w:tcW w:w="2993" w:type="dxa"/>
                  <w:vAlign w:val="center"/>
                </w:tcPr>
                <w:p w14:paraId="48F74CE2">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14:textFill>
                        <w14:solidFill>
                          <w14:schemeClr w14:val="tx1"/>
                        </w14:solidFill>
                      </w14:textFill>
                    </w:rPr>
                    <w:t>污染物排放限值、污染治理措施、无组织排放控制水平、运输方式等均达到满足《河南省重污染天气重点行业应急减排措施制定技术指南</w:t>
                  </w:r>
                  <w:r>
                    <w:rPr>
                      <w:rFonts w:hint="eastAsia"/>
                      <w:color w:val="000000" w:themeColor="text1"/>
                      <w:sz w:val="21"/>
                      <w:szCs w:val="21"/>
                      <w:lang w:eastAsia="zh-CN"/>
                      <w14:textFill>
                        <w14:solidFill>
                          <w14:schemeClr w14:val="tx1"/>
                        </w14:solidFill>
                      </w14:textFill>
                    </w:rPr>
                    <w:t xml:space="preserve">（2024年修订版）》 </w:t>
                  </w:r>
                  <w:r>
                    <w:rPr>
                      <w:rFonts w:hint="eastAsia"/>
                      <w:color w:val="000000" w:themeColor="text1"/>
                      <w:sz w:val="21"/>
                      <w:szCs w:val="21"/>
                      <w14:textFill>
                        <w14:solidFill>
                          <w14:schemeClr w14:val="tx1"/>
                        </w14:solidFill>
                      </w14:textFill>
                    </w:rPr>
                    <w:t>“纺织印染与服饰制造”绩效分级A级要求建设</w:t>
                  </w:r>
                  <w:r>
                    <w:rPr>
                      <w:color w:val="000000" w:themeColor="text1"/>
                      <w:sz w:val="21"/>
                      <w:szCs w:val="21"/>
                      <w14:textFill>
                        <w14:solidFill>
                          <w14:schemeClr w14:val="tx1"/>
                        </w14:solidFill>
                      </w14:textFill>
                    </w:rPr>
                    <w:t>。</w:t>
                  </w:r>
                </w:p>
              </w:tc>
              <w:tc>
                <w:tcPr>
                  <w:tcW w:w="477" w:type="dxa"/>
                  <w:vAlign w:val="center"/>
                </w:tcPr>
                <w:p w14:paraId="714D8DB3">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DB4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restart"/>
                  <w:vAlign w:val="center"/>
                </w:tcPr>
                <w:p w14:paraId="65CCB3FF">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环境风险防控</w:t>
                  </w:r>
                </w:p>
              </w:tc>
              <w:tc>
                <w:tcPr>
                  <w:tcW w:w="4712" w:type="dxa"/>
                  <w:vAlign w:val="center"/>
                </w:tcPr>
                <w:p w14:paraId="5CD936D0">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1.地下水漏斗区、重金属污染区、生态严重退化区等区域：探索开展耕地轮作休耕试点；实行休耕补贴，引导农民自愿将重度污染耕地退出农业生产。</w:t>
                  </w:r>
                </w:p>
              </w:tc>
              <w:tc>
                <w:tcPr>
                  <w:tcW w:w="2993" w:type="dxa"/>
                  <w:vAlign w:val="center"/>
                </w:tcPr>
                <w:p w14:paraId="7AD750D7">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选址不属于地下水漏斗区、重金属污染区、生态严重退化区等区域，不属于农业项目</w:t>
                  </w:r>
                  <w:r>
                    <w:rPr>
                      <w:rFonts w:hint="eastAsia"/>
                      <w:color w:val="000000" w:themeColor="text1"/>
                      <w:sz w:val="21"/>
                      <w:szCs w:val="21"/>
                      <w14:textFill>
                        <w14:solidFill>
                          <w14:schemeClr w14:val="tx1"/>
                        </w14:solidFill>
                      </w14:textFill>
                    </w:rPr>
                    <w:t>。</w:t>
                  </w:r>
                </w:p>
              </w:tc>
              <w:tc>
                <w:tcPr>
                  <w:tcW w:w="477" w:type="dxa"/>
                  <w:vAlign w:val="center"/>
                </w:tcPr>
                <w:p w14:paraId="33B34ED1">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538D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1C9FFA88">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538A7F7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2、具备饮用水水源保护区及影响范围内风险源名录和风险防控方案……（略）</w:t>
                  </w:r>
                </w:p>
              </w:tc>
              <w:tc>
                <w:tcPr>
                  <w:tcW w:w="2993" w:type="dxa"/>
                  <w:vAlign w:val="center"/>
                </w:tcPr>
                <w:p w14:paraId="0049BAAC">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本项目不在水源地保护区及影响范围内。</w:t>
                  </w:r>
                </w:p>
              </w:tc>
              <w:tc>
                <w:tcPr>
                  <w:tcW w:w="477" w:type="dxa"/>
                  <w:vAlign w:val="center"/>
                </w:tcPr>
                <w:p w14:paraId="72421D9E">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1D6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restart"/>
                  <w:vAlign w:val="center"/>
                </w:tcPr>
                <w:p w14:paraId="053C30BD">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资源开发效率要求</w:t>
                  </w:r>
                </w:p>
              </w:tc>
              <w:tc>
                <w:tcPr>
                  <w:tcW w:w="4712" w:type="dxa"/>
                  <w:vAlign w:val="center"/>
                </w:tcPr>
                <w:p w14:paraId="6DFE2DE4">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十四五”期间按照政府目标控制能耗增量指标。严控新增耗煤项目，新、改、扩建项目实施煤炭减量替代，重点削减非电力用煤。鼓励使用清洁燃料，重点区域建设项目原则上不新建燃煤自备锅炉。2023年底，全面淘汰35蒸吨/小时及以下的燃煤锅炉，鼓励淘汰4蒸吨/小时以下生物质锅炉，保留现有生物质锅炉应采用专用炉具，禁止掺烧煤炭、垃圾、工业固体废物等其他物料</w:t>
                  </w:r>
                  <w:r>
                    <w:rPr>
                      <w:color w:val="000000" w:themeColor="text1"/>
                      <w:sz w:val="21"/>
                      <w:szCs w:val="21"/>
                      <w14:textFill>
                        <w14:solidFill>
                          <w14:schemeClr w14:val="tx1"/>
                        </w14:solidFill>
                      </w14:textFill>
                    </w:rPr>
                    <w:t>。</w:t>
                  </w:r>
                </w:p>
              </w:tc>
              <w:tc>
                <w:tcPr>
                  <w:tcW w:w="2993" w:type="dxa"/>
                  <w:vAlign w:val="center"/>
                </w:tcPr>
                <w:p w14:paraId="76014BE6">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以电为能源，不涉及燃煤及生物质锅炉</w:t>
                  </w:r>
                  <w:r>
                    <w:rPr>
                      <w:color w:val="000000" w:themeColor="text1"/>
                      <w:sz w:val="21"/>
                      <w:szCs w:val="21"/>
                      <w14:textFill>
                        <w14:solidFill>
                          <w14:schemeClr w14:val="tx1"/>
                        </w14:solidFill>
                      </w14:textFill>
                    </w:rPr>
                    <w:t>。</w:t>
                  </w:r>
                </w:p>
              </w:tc>
              <w:tc>
                <w:tcPr>
                  <w:tcW w:w="477" w:type="dxa"/>
                  <w:vAlign w:val="center"/>
                </w:tcPr>
                <w:p w14:paraId="27AF16FA">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1042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64D8100E">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39247ED1">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重点推进南水北调受水区地下水压采工作，加快公共供水管网建设，促进供水管网覆盖范围以外的自备井封闭工作。</w:t>
                  </w:r>
                </w:p>
              </w:tc>
              <w:tc>
                <w:tcPr>
                  <w:tcW w:w="2993" w:type="dxa"/>
                  <w:vAlign w:val="center"/>
                </w:tcPr>
                <w:p w14:paraId="0A1F06A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本项目不在南水北调受水区</w:t>
                  </w:r>
                  <w:r>
                    <w:rPr>
                      <w:rFonts w:hint="eastAsia"/>
                      <w:color w:val="000000" w:themeColor="text1"/>
                      <w:sz w:val="21"/>
                      <w:szCs w:val="21"/>
                      <w14:textFill>
                        <w14:solidFill>
                          <w14:schemeClr w14:val="tx1"/>
                        </w14:solidFill>
                      </w14:textFill>
                    </w:rPr>
                    <w:t>，项目用水来自供水管网</w:t>
                  </w:r>
                  <w:r>
                    <w:rPr>
                      <w:color w:val="000000" w:themeColor="text1"/>
                      <w:sz w:val="21"/>
                      <w:szCs w:val="21"/>
                      <w14:textFill>
                        <w14:solidFill>
                          <w14:schemeClr w14:val="tx1"/>
                        </w14:solidFill>
                      </w14:textFill>
                    </w:rPr>
                    <w:t>。</w:t>
                  </w:r>
                </w:p>
              </w:tc>
              <w:tc>
                <w:tcPr>
                  <w:tcW w:w="477" w:type="dxa"/>
                  <w:vAlign w:val="center"/>
                </w:tcPr>
                <w:p w14:paraId="731FD96B">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7BBF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223B5C3C">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518168F0">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开展高耗水工业行业节水技术改造，大力推广工业水循环利用，推进节水型企业、节水型工业园区建设。</w:t>
                  </w:r>
                </w:p>
              </w:tc>
              <w:tc>
                <w:tcPr>
                  <w:tcW w:w="2993" w:type="dxa"/>
                  <w:vAlign w:val="center"/>
                </w:tcPr>
                <w:p w14:paraId="19461EF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本项目不属于高耗水项目。</w:t>
                  </w:r>
                </w:p>
              </w:tc>
              <w:tc>
                <w:tcPr>
                  <w:tcW w:w="477" w:type="dxa"/>
                  <w:vAlign w:val="center"/>
                </w:tcPr>
                <w:p w14:paraId="64112654">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54F9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633734E5">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199DF7F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按照合理有序使用地表水、控制使用地下水、积极利用非常规水源的要求，做好区域水资源统筹调配，逐步降低区域内的水资源开发利用强度，退减被挤占的生态用水，2030年全市浅层地下水开采控制在57390万立方米。</w:t>
                  </w:r>
                </w:p>
              </w:tc>
              <w:tc>
                <w:tcPr>
                  <w:tcW w:w="2993" w:type="dxa"/>
                  <w:vAlign w:val="center"/>
                </w:tcPr>
                <w:p w14:paraId="444DDE3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项目采用市政供水，不涉及地表水和地下水的开采</w:t>
                  </w:r>
                  <w:r>
                    <w:rPr>
                      <w:rFonts w:hint="eastAsia"/>
                      <w:color w:val="000000" w:themeColor="text1"/>
                      <w:sz w:val="21"/>
                      <w:szCs w:val="21"/>
                      <w14:textFill>
                        <w14:solidFill>
                          <w14:schemeClr w14:val="tx1"/>
                        </w14:solidFill>
                      </w14:textFill>
                    </w:rPr>
                    <w:t>。</w:t>
                  </w:r>
                </w:p>
              </w:tc>
              <w:tc>
                <w:tcPr>
                  <w:tcW w:w="477" w:type="dxa"/>
                  <w:vAlign w:val="center"/>
                </w:tcPr>
                <w:p w14:paraId="49B92FAB">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不属于</w:t>
                  </w:r>
                </w:p>
              </w:tc>
            </w:tr>
            <w:tr w14:paraId="451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780CE9A4">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6CB1B26A">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到2025年，全市用水总量为20.838亿m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，万元 GDP用水量下降比例达到16%，全省市级缺水城市再生水利用率达到25%以上。</w:t>
                  </w:r>
                </w:p>
              </w:tc>
              <w:tc>
                <w:tcPr>
                  <w:tcW w:w="2993" w:type="dxa"/>
                  <w:vAlign w:val="center"/>
                </w:tcPr>
                <w:p w14:paraId="7D01FE54">
                  <w:pPr>
                    <w:adjustRightInd w:val="0"/>
                    <w:snapToGrid w:val="0"/>
                    <w:spacing w:line="240" w:lineRule="auto"/>
                    <w:ind w:firstLine="0" w:firstLineChars="0"/>
                    <w:jc w:val="left"/>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项目采用市政供水，年用水量为</w:t>
                  </w:r>
                  <w:r>
                    <w:rPr>
                      <w:sz w:val="21"/>
                      <w:szCs w:val="21"/>
                    </w:rPr>
                    <w:t>450</w:t>
                  </w:r>
                  <w:r>
                    <w:rPr>
                      <w:rFonts w:hint="eastAsia"/>
                      <w:sz w:val="21"/>
                      <w:szCs w:val="21"/>
                    </w:rPr>
                    <w:t>m</w:t>
                  </w:r>
                  <w:r>
                    <w:rPr>
                      <w:rFonts w:hint="eastAsia"/>
                      <w:sz w:val="21"/>
                      <w:szCs w:val="21"/>
                      <w:vertAlign w:val="superscript"/>
                    </w:rPr>
                    <w:t>3</w:t>
                  </w:r>
                  <w:r>
                    <w:rPr>
                      <w:rFonts w:hint="eastAsia"/>
                      <w:sz w:val="21"/>
                      <w:szCs w:val="21"/>
                    </w:rPr>
                    <w:t>/a</w:t>
                  </w:r>
                  <w:r>
                    <w:rPr>
                      <w:rFonts w:hint="eastAsia"/>
                      <w:sz w:val="21"/>
                      <w:szCs w:val="21"/>
                      <w:lang w:eastAsia="zh-CN"/>
                    </w:rPr>
                    <w:t>。</w:t>
                  </w:r>
                </w:p>
              </w:tc>
              <w:tc>
                <w:tcPr>
                  <w:tcW w:w="477" w:type="dxa"/>
                  <w:vAlign w:val="center"/>
                </w:tcPr>
                <w:p w14:paraId="17EC718B">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729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34B0C327">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70D30257">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二级国家级公益林在不影响整体森林生态系统功能发挥的前提下，可以按照相关技术规程的规定开展抚育和更新性质的采伐。在不破坏森林植被的前提下，可以合理利用其林地资源，适度开展林下种植养殖和森林游憩等非木质资源开发与利用，科学发展林下经济。国有二级国家级公益林除执行上述规定外，需要开展抚育和更新采伐或者非木质资源培育利用的，还应当符合森林经营方案的规划，并编制采伐或非木质资源培育利用作业设计，经县级以上林业主管部门依法批准后实施。</w:t>
                  </w:r>
                </w:p>
              </w:tc>
              <w:tc>
                <w:tcPr>
                  <w:tcW w:w="2993" w:type="dxa"/>
                  <w:vAlign w:val="center"/>
                </w:tcPr>
                <w:p w14:paraId="4A64EFE9">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本项目不涉及国家级公益林。</w:t>
                  </w:r>
                </w:p>
              </w:tc>
              <w:tc>
                <w:tcPr>
                  <w:tcW w:w="477" w:type="dxa"/>
                  <w:vAlign w:val="center"/>
                </w:tcPr>
                <w:p w14:paraId="78B94583">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41AD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0EFC53F9">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26B436CF">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7.禁燃区内禁止新建、扩建燃用高污染燃料的锅炉、炉窑、炉灶等燃烧设施，已建成的应当由所在辖区限期责令拆除或改用清洁能源；禁止加工、销售各类高污染燃料。</w:t>
                  </w:r>
                </w:p>
              </w:tc>
              <w:tc>
                <w:tcPr>
                  <w:tcW w:w="2993" w:type="dxa"/>
                  <w:vAlign w:val="center"/>
                </w:tcPr>
                <w:p w14:paraId="291180CD">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以电为能源，不涉及燃用高污染燃料的锅炉、炉窑、炉灶等燃烧设施建设。</w:t>
                  </w:r>
                </w:p>
              </w:tc>
              <w:tc>
                <w:tcPr>
                  <w:tcW w:w="477" w:type="dxa"/>
                  <w:vAlign w:val="center"/>
                </w:tcPr>
                <w:p w14:paraId="4B2B6DA8">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48D4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35DC0C18">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6125427F">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8.到2025年，煤炭消费占比降至60%以下，非化石能源消费占比提高到16%以上。单位GDP（生产总值）能耗下降15%以上，煤电机组平均供电煤耗降至 285 克标准煤/千瓦时。</w:t>
                  </w:r>
                </w:p>
              </w:tc>
              <w:tc>
                <w:tcPr>
                  <w:tcW w:w="2993" w:type="dxa"/>
                  <w:vAlign w:val="center"/>
                </w:tcPr>
                <w:p w14:paraId="49B5927B">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r>
                    <w:rPr>
                      <w:rFonts w:hint="eastAsia"/>
                      <w:color w:val="000000" w:themeColor="text1"/>
                      <w:sz w:val="21"/>
                      <w:szCs w:val="21"/>
                      <w:lang w:eastAsia="zh-CN"/>
                      <w14:textFill>
                        <w14:solidFill>
                          <w14:schemeClr w14:val="tx1"/>
                        </w14:solidFill>
                      </w14:textFill>
                    </w:rPr>
                    <w:t>燃煤</w:t>
                  </w:r>
                  <w:r>
                    <w:rPr>
                      <w:rFonts w:hint="eastAsia"/>
                      <w:color w:val="000000" w:themeColor="text1"/>
                      <w:sz w:val="21"/>
                      <w:szCs w:val="21"/>
                      <w14:textFill>
                        <w14:solidFill>
                          <w14:schemeClr w14:val="tx1"/>
                        </w14:solidFill>
                      </w14:textFill>
                    </w:rPr>
                    <w:t>。</w:t>
                  </w:r>
                </w:p>
              </w:tc>
              <w:tc>
                <w:tcPr>
                  <w:tcW w:w="477" w:type="dxa"/>
                  <w:vAlign w:val="center"/>
                </w:tcPr>
                <w:p w14:paraId="3B090404">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00F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59B53B40">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4336B1C1">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9.到2025年，单位GDP二氧化碳排放降低比例达 20%。</w:t>
                  </w:r>
                </w:p>
              </w:tc>
              <w:tc>
                <w:tcPr>
                  <w:tcW w:w="2993" w:type="dxa"/>
                  <w:vAlign w:val="center"/>
                </w:tcPr>
                <w:p w14:paraId="3E862300">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477" w:type="dxa"/>
                  <w:vAlign w:val="center"/>
                </w:tcPr>
                <w:p w14:paraId="1A271EAF">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445E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72" w:type="dxa"/>
                  <w:gridSpan w:val="2"/>
                  <w:vMerge w:val="continue"/>
                  <w:vAlign w:val="center"/>
                </w:tcPr>
                <w:p w14:paraId="7C4D17E1">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vAlign w:val="center"/>
                </w:tcPr>
                <w:p w14:paraId="4F0F649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10.到2025年，全市河湖生态缓冲带修复长度达到总体要求，逐步恢复河流沿线生态廊道功能。海河流域内涉及被挤占的河湖生态用水逐步得到退还，黄河流域内天然文岩渠生态流量得到保障。</w:t>
                  </w:r>
                </w:p>
              </w:tc>
              <w:tc>
                <w:tcPr>
                  <w:tcW w:w="2993" w:type="dxa"/>
                  <w:vAlign w:val="center"/>
                </w:tcPr>
                <w:p w14:paraId="7364C4C5">
                  <w:p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本项目不涉及。</w:t>
                  </w:r>
                </w:p>
              </w:tc>
              <w:tc>
                <w:tcPr>
                  <w:tcW w:w="477" w:type="dxa"/>
                  <w:vAlign w:val="center"/>
                </w:tcPr>
                <w:p w14:paraId="53822046">
                  <w:pPr>
                    <w:adjustRightInd w:val="0"/>
                    <w:snapToGrid w:val="0"/>
                    <w:spacing w:line="240" w:lineRule="auto"/>
                    <w:ind w:firstLine="0" w:firstLineChars="0"/>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13E1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54" w:type="dxa"/>
                  <w:gridSpan w:val="5"/>
                  <w:vAlign w:val="center"/>
                </w:tcPr>
                <w:p w14:paraId="6402C621">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新乡市各县区分区管控单元生态环境准入清单（凤泉区大气布局敏感区）</w:t>
                  </w:r>
                </w:p>
              </w:tc>
            </w:tr>
            <w:tr w14:paraId="191F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334" w:type="dxa"/>
                  <w:vMerge w:val="restart"/>
                  <w:tcMar>
                    <w:top w:w="28" w:type="dxa"/>
                    <w:bottom w:w="57" w:type="dxa"/>
                  </w:tcMar>
                  <w:vAlign w:val="center"/>
                </w:tcPr>
                <w:p w14:paraId="40BD5791">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ZH41070420003</w:t>
                  </w:r>
                </w:p>
              </w:tc>
              <w:tc>
                <w:tcPr>
                  <w:tcW w:w="338" w:type="dxa"/>
                  <w:vMerge w:val="restart"/>
                  <w:tcMar>
                    <w:top w:w="28" w:type="dxa"/>
                    <w:bottom w:w="57" w:type="dxa"/>
                  </w:tcMar>
                  <w:vAlign w:val="center"/>
                </w:tcPr>
                <w:p w14:paraId="19AA3D36">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重点管控单元3</w:t>
                  </w:r>
                </w:p>
              </w:tc>
              <w:tc>
                <w:tcPr>
                  <w:tcW w:w="4712" w:type="dxa"/>
                  <w:tcMar>
                    <w:top w:w="28" w:type="dxa"/>
                    <w:bottom w:w="57" w:type="dxa"/>
                  </w:tcMar>
                  <w:vAlign w:val="center"/>
                </w:tcPr>
                <w:p w14:paraId="7EC85D43">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空间布局约束：</w:t>
                  </w:r>
                </w:p>
                <w:p w14:paraId="26272BDD">
                  <w:pPr>
                    <w:pStyle w:val="75"/>
                    <w:numPr>
                      <w:ilvl w:val="0"/>
                      <w:numId w:val="2"/>
                    </w:num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按照凤泉区生态城建设总体规划要求，整合各类资源，发挥工业用地最大效能。</w:t>
                  </w:r>
                </w:p>
                <w:p w14:paraId="10AC9699">
                  <w:pPr>
                    <w:pStyle w:val="75"/>
                    <w:numPr>
                      <w:ilvl w:val="0"/>
                      <w:numId w:val="2"/>
                    </w:num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严格控制新建、扩建高排放、高污染项目，包括钢铁、水泥、有色、平板玻璃、建筑陶瓷等行业及其他排放重金属、持久性有机污染物的工业项目等。</w:t>
                  </w:r>
                </w:p>
                <w:p w14:paraId="757708AC">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3、严格控制新、改、扩建“两高”项目建设。</w:t>
                  </w:r>
                </w:p>
              </w:tc>
              <w:tc>
                <w:tcPr>
                  <w:tcW w:w="2993" w:type="dxa"/>
                  <w:vAlign w:val="center"/>
                </w:tcPr>
                <w:p w14:paraId="4DE97762">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本项目棉纺织及印染精加工</w:t>
                  </w:r>
                  <w:r>
                    <w:rPr>
                      <w:rFonts w:hint="eastAsia"/>
                      <w:color w:val="000000" w:themeColor="text1"/>
                      <w:sz w:val="21"/>
                      <w:szCs w:val="21"/>
                      <w14:textFill>
                        <w14:solidFill>
                          <w14:schemeClr w14:val="tx1"/>
                        </w14:solidFill>
                      </w14:textFill>
                    </w:rPr>
                    <w:t>，与主导产业不冲突，符合园区规划；</w:t>
                  </w:r>
                  <w:r>
                    <w:rPr>
                      <w:rFonts w:hint="eastAsia"/>
                      <w:color w:val="000000" w:themeColor="text1"/>
                      <w:sz w:val="21"/>
                      <w:szCs w:val="21"/>
                      <w14:textFill>
                        <w14:solidFill>
                          <w14:schemeClr w14:val="tx1"/>
                        </w14:solidFill>
                      </w14:textFill>
                    </w:rPr>
                    <w:br w:type="textWrapping"/>
                  </w:r>
                  <w:r>
                    <w:rPr>
                      <w:rFonts w:hint="eastAsia"/>
                      <w:color w:val="000000" w:themeColor="text1"/>
                      <w:sz w:val="21"/>
                      <w:szCs w:val="21"/>
                      <w14:textFill>
                        <w14:solidFill>
                          <w14:schemeClr w14:val="tx1"/>
                        </w14:solidFill>
                      </w14:textFill>
                    </w:rPr>
                    <w:t>2、本项目符合园区规划和规划环评的要求。</w:t>
                  </w:r>
                </w:p>
                <w:p w14:paraId="60760623">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3、本项目不属于高能耗、高耗水、污染重的工业企业。</w:t>
                  </w:r>
                </w:p>
              </w:tc>
              <w:tc>
                <w:tcPr>
                  <w:tcW w:w="477" w:type="dxa"/>
                  <w:vAlign w:val="center"/>
                </w:tcPr>
                <w:p w14:paraId="5582D534">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kern w:val="0"/>
                      <w:sz w:val="21"/>
                      <w:szCs w:val="21"/>
                      <w14:textFill>
                        <w14:solidFill>
                          <w14:schemeClr w14:val="tx1"/>
                        </w14:solidFill>
                      </w14:textFill>
                    </w:rPr>
                    <w:t>符合</w:t>
                  </w:r>
                </w:p>
              </w:tc>
            </w:tr>
            <w:tr w14:paraId="371E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334" w:type="dxa"/>
                  <w:vMerge w:val="continue"/>
                  <w:tcMar>
                    <w:top w:w="28" w:type="dxa"/>
                    <w:bottom w:w="57" w:type="dxa"/>
                  </w:tcMar>
                  <w:vAlign w:val="center"/>
                </w:tcPr>
                <w:p w14:paraId="323FF05D">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38" w:type="dxa"/>
                  <w:vMerge w:val="continue"/>
                  <w:tcMar>
                    <w:top w:w="28" w:type="dxa"/>
                    <w:bottom w:w="57" w:type="dxa"/>
                  </w:tcMar>
                  <w:vAlign w:val="center"/>
                </w:tcPr>
                <w:p w14:paraId="1F0C611B">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tcMar>
                    <w:top w:w="28" w:type="dxa"/>
                    <w:bottom w:w="57" w:type="dxa"/>
                  </w:tcMar>
                  <w:vAlign w:val="center"/>
                </w:tcPr>
                <w:p w14:paraId="231D97ED">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污染物排放管控：</w:t>
                  </w:r>
                </w:p>
                <w:p w14:paraId="6B22ECEE">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二氧化硫、氮氧化物、颗粒物、VOCs全面执行大气污染物特别排放限值。</w:t>
                  </w:r>
                </w:p>
                <w:p w14:paraId="5A7AA38A">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2、禁止填埋场渗滤液直排或超标排放。</w:t>
                  </w:r>
                </w:p>
              </w:tc>
              <w:tc>
                <w:tcPr>
                  <w:tcW w:w="2993" w:type="dxa"/>
                  <w:vAlign w:val="center"/>
                </w:tcPr>
                <w:p w14:paraId="61682F7D">
                  <w:pPr>
                    <w:widowControl/>
                    <w:adjustRightInd w:val="0"/>
                    <w:snapToGrid w:val="0"/>
                    <w:spacing w:line="240" w:lineRule="auto"/>
                    <w:ind w:firstLine="0" w:firstLineChars="0"/>
                    <w:textAlignment w:val="center"/>
                    <w:rPr>
                      <w:color w:val="000000" w:themeColor="text1"/>
                      <w:sz w:val="21"/>
                      <w:szCs w:val="21"/>
                      <w14:textFill>
                        <w14:solidFill>
                          <w14:schemeClr w14:val="tx1"/>
                        </w14:solidFill>
                      </w14:textFill>
                    </w:rPr>
                  </w:pPr>
                  <w:r>
                    <w:rPr>
                      <w:color w:val="000000" w:themeColor="text1"/>
                      <w:kern w:val="0"/>
                      <w:sz w:val="21"/>
                      <w:szCs w:val="21"/>
                      <w14:textFill>
                        <w14:solidFill>
                          <w14:schemeClr w14:val="tx1"/>
                        </w14:solidFill>
                      </w14:textFill>
                    </w:rPr>
                    <w:t>1、项目排放的</w:t>
                  </w:r>
                  <w:r>
                    <w:rPr>
                      <w:rFonts w:hint="eastAsia"/>
                      <w:color w:val="000000" w:themeColor="text1"/>
                      <w:sz w:val="21"/>
                      <w:szCs w:val="21"/>
                      <w14:textFill>
                        <w14:solidFill>
                          <w14:schemeClr w14:val="tx1"/>
                        </w14:solidFill>
                      </w14:textFill>
                    </w:rPr>
                    <w:t>颗粒物、VOCs排放满足《大气污染物综合排放标准》（GB16297-1996）</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《河南省重污染天气重点行业应急减排措施制定技术指南</w:t>
                  </w:r>
                  <w:r>
                    <w:rPr>
                      <w:rFonts w:hint="eastAsia"/>
                      <w:color w:val="000000" w:themeColor="text1"/>
                      <w:sz w:val="21"/>
                      <w:szCs w:val="21"/>
                      <w:lang w:eastAsia="zh-CN"/>
                      <w14:textFill>
                        <w14:solidFill>
                          <w14:schemeClr w14:val="tx1"/>
                        </w14:solidFill>
                      </w14:textFill>
                    </w:rPr>
                    <w:t xml:space="preserve">（2024年修订版）》 </w:t>
                  </w:r>
                  <w:r>
                    <w:rPr>
                      <w:rFonts w:hint="eastAsia"/>
                      <w:color w:val="000000" w:themeColor="text1"/>
                      <w:sz w:val="21"/>
                      <w:szCs w:val="21"/>
                      <w14:textFill>
                        <w14:solidFill>
                          <w14:schemeClr w14:val="tx1"/>
                        </w14:solidFill>
                      </w14:textFill>
                    </w:rPr>
                    <w:t>“纺织印染与服饰制造”绩效分级A级要求</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《新乡市生态环境局关于进一步规范工业企业颗粒物排放限值的通知》限值要求</w:t>
                  </w:r>
                  <w:r>
                    <w:rPr>
                      <w:color w:val="000000" w:themeColor="text1"/>
                      <w:sz w:val="21"/>
                      <w:szCs w:val="21"/>
                      <w14:textFill>
                        <w14:solidFill>
                          <w14:schemeClr w14:val="tx1"/>
                        </w14:solidFill>
                      </w14:textFill>
                    </w:rPr>
                    <w:t>。</w:t>
                  </w:r>
                </w:p>
                <w:p w14:paraId="539C39C5">
                  <w:pPr>
                    <w:widowControl/>
                    <w:adjustRightInd w:val="0"/>
                    <w:snapToGrid w:val="0"/>
                    <w:spacing w:line="240" w:lineRule="auto"/>
                    <w:ind w:firstLine="0" w:firstLineChars="0"/>
                    <w:textAlignment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2、本项目不</w:t>
                  </w:r>
                  <w:r>
                    <w:rPr>
                      <w:rFonts w:hint="eastAsia"/>
                      <w:color w:val="000000" w:themeColor="text1"/>
                      <w:sz w:val="21"/>
                      <w:szCs w:val="21"/>
                      <w14:textFill>
                        <w14:solidFill>
                          <w14:schemeClr w14:val="tx1"/>
                        </w14:solidFill>
                      </w14:textFill>
                    </w:rPr>
                    <w:t>属于填埋场</w:t>
                  </w:r>
                  <w:r>
                    <w:rPr>
                      <w:color w:val="000000" w:themeColor="text1"/>
                      <w:sz w:val="21"/>
                      <w:szCs w:val="21"/>
                      <w14:textFill>
                        <w14:solidFill>
                          <w14:schemeClr w14:val="tx1"/>
                        </w14:solidFill>
                      </w14:textFill>
                    </w:rPr>
                    <w:t>项目。</w:t>
                  </w:r>
                </w:p>
              </w:tc>
              <w:tc>
                <w:tcPr>
                  <w:tcW w:w="477" w:type="dxa"/>
                  <w:vAlign w:val="center"/>
                </w:tcPr>
                <w:p w14:paraId="45ABA12F">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color w:val="000000" w:themeColor="text1"/>
                      <w:kern w:val="0"/>
                      <w:sz w:val="21"/>
                      <w:szCs w:val="21"/>
                      <w14:textFill>
                        <w14:solidFill>
                          <w14:schemeClr w14:val="tx1"/>
                        </w14:solidFill>
                      </w14:textFill>
                    </w:rPr>
                    <w:t>符合</w:t>
                  </w:r>
                </w:p>
              </w:tc>
            </w:tr>
            <w:tr w14:paraId="02E0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334" w:type="dxa"/>
                  <w:vMerge w:val="continue"/>
                  <w:tcMar>
                    <w:top w:w="28" w:type="dxa"/>
                    <w:bottom w:w="57" w:type="dxa"/>
                  </w:tcMar>
                  <w:vAlign w:val="center"/>
                </w:tcPr>
                <w:p w14:paraId="7DAC28BB">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38" w:type="dxa"/>
                  <w:vMerge w:val="continue"/>
                  <w:tcMar>
                    <w:top w:w="28" w:type="dxa"/>
                    <w:bottom w:w="57" w:type="dxa"/>
                  </w:tcMar>
                  <w:vAlign w:val="center"/>
                </w:tcPr>
                <w:p w14:paraId="0086A59E">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tcMar>
                    <w:top w:w="28" w:type="dxa"/>
                    <w:bottom w:w="57" w:type="dxa"/>
                  </w:tcMar>
                </w:tcPr>
                <w:p w14:paraId="70074B20">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环境风险防控：</w:t>
                  </w:r>
                </w:p>
                <w:p w14:paraId="09C205C7">
                  <w:pPr>
                    <w:pStyle w:val="75"/>
                    <w:numPr>
                      <w:ilvl w:val="0"/>
                      <w:numId w:val="3"/>
                    </w:num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对涉重行业企业加强管理，建立士壤和地下水污染隐患排查治理制度、风险防控体系和长效监管机制。</w:t>
                  </w:r>
                </w:p>
                <w:p w14:paraId="0AFA94AE">
                  <w:pPr>
                    <w:pStyle w:val="75"/>
                    <w:numPr>
                      <w:ilvl w:val="0"/>
                      <w:numId w:val="3"/>
                    </w:num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有色金属冶炼、铅酸蓄电池、石油加工、化工、电镀、制革和危险化学品生产、储存、使用等企业在拆除生产设施设备、污染治理设施时，要事先制定企业拆除活动污染防治方案和拆除活动环境应急预案。</w:t>
                  </w:r>
                </w:p>
                <w:p w14:paraId="6BACF30B">
                  <w:pPr>
                    <w:pStyle w:val="75"/>
                    <w:numPr>
                      <w:ilvl w:val="0"/>
                      <w:numId w:val="3"/>
                    </w:numPr>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高关注地块划分污染风险等级，纳入优先管控名录。</w:t>
                  </w:r>
                </w:p>
              </w:tc>
              <w:tc>
                <w:tcPr>
                  <w:tcW w:w="2993" w:type="dxa"/>
                  <w:vAlign w:val="center"/>
                </w:tcPr>
                <w:p w14:paraId="509CA3C1">
                  <w:pPr>
                    <w:pStyle w:val="21"/>
                    <w:numPr>
                      <w:ilvl w:val="0"/>
                      <w:numId w:val="4"/>
                    </w:numPr>
                    <w:adjustRightInd w:val="0"/>
                    <w:snapToGrid w:val="0"/>
                    <w:spacing w:before="0" w:beforeAutospacing="0" w:after="0" w:afterAutospacing="0" w:line="240" w:lineRule="auto"/>
                    <w:ind w:firstLine="0" w:firstLineChars="0"/>
                    <w:jc w:val="both"/>
                    <w:rPr>
                      <w:color w:val="000000" w:themeColor="text1"/>
                      <w:sz w:val="21"/>
                      <w:szCs w:val="21"/>
                      <w14:textFill>
                        <w14:solidFill>
                          <w14:schemeClr w14:val="tx1"/>
                        </w14:solidFill>
                      </w14:textFill>
                    </w:rPr>
                  </w:pPr>
                  <w:r>
                    <w:rPr>
                      <w:rFonts w:ascii="Times New Roman" w:hAnsi="Times New Roman"/>
                      <w:snapToGrid w:val="0"/>
                      <w:color w:val="000000" w:themeColor="text1"/>
                      <w:sz w:val="21"/>
                      <w:szCs w:val="21"/>
                      <w14:textFill>
                        <w14:solidFill>
                          <w14:schemeClr w14:val="tx1"/>
                        </w14:solidFill>
                      </w14:textFill>
                    </w:rPr>
                    <w:t>本项目</w:t>
                  </w:r>
                  <w:r>
                    <w:rPr>
                      <w:rFonts w:hint="eastAsia" w:ascii="Times New Roman" w:hAnsi="Times New Roman"/>
                      <w:snapToGrid w:val="0"/>
                      <w:color w:val="000000" w:themeColor="text1"/>
                      <w:sz w:val="21"/>
                      <w:szCs w:val="21"/>
                      <w14:textFill>
                        <w14:solidFill>
                          <w14:schemeClr w14:val="tx1"/>
                        </w14:solidFill>
                      </w14:textFill>
                    </w:rPr>
                    <w:t>不属于</w:t>
                  </w:r>
                  <w:r>
                    <w:rPr>
                      <w:rFonts w:hint="eastAsia"/>
                      <w:color w:val="000000" w:themeColor="text1"/>
                      <w:sz w:val="21"/>
                      <w:szCs w:val="21"/>
                      <w14:textFill>
                        <w14:solidFill>
                          <w14:schemeClr w14:val="tx1"/>
                        </w14:solidFill>
                      </w14:textFill>
                    </w:rPr>
                    <w:t>对涉重行业企业；</w:t>
                  </w:r>
                </w:p>
                <w:p w14:paraId="28D27E98">
                  <w:pPr>
                    <w:pStyle w:val="21"/>
                    <w:numPr>
                      <w:ilvl w:val="0"/>
                      <w:numId w:val="4"/>
                    </w:numPr>
                    <w:adjustRightInd w:val="0"/>
                    <w:snapToGrid w:val="0"/>
                    <w:spacing w:before="0" w:beforeAutospacing="0" w:after="0" w:afterAutospacing="0" w:line="240" w:lineRule="auto"/>
                    <w:ind w:firstLine="0" w:firstLineChars="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本项目为棉纺织及印染精加工业，不属于有色金属冶炼、铅酸蓄电池、石油加工、化工、电镀、制革和危险化学品生产、储存、使用等企业；</w:t>
                  </w:r>
                </w:p>
                <w:p w14:paraId="3E8A3E9D">
                  <w:pPr>
                    <w:pStyle w:val="21"/>
                    <w:numPr>
                      <w:ilvl w:val="0"/>
                      <w:numId w:val="4"/>
                    </w:numPr>
                    <w:adjustRightInd w:val="0"/>
                    <w:snapToGrid w:val="0"/>
                    <w:spacing w:before="0" w:beforeAutospacing="0" w:after="0" w:afterAutospacing="0" w:line="240" w:lineRule="auto"/>
                    <w:ind w:firstLine="0" w:firstLineChars="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本项目选址不属于高污染地块。</w:t>
                  </w:r>
                </w:p>
              </w:tc>
              <w:tc>
                <w:tcPr>
                  <w:tcW w:w="477" w:type="dxa"/>
                  <w:vAlign w:val="center"/>
                </w:tcPr>
                <w:p w14:paraId="71A441FB">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符合</w:t>
                  </w:r>
                </w:p>
              </w:tc>
            </w:tr>
            <w:tr w14:paraId="0862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7" w:type="dxa"/>
                  <w:bottom w:w="85" w:type="dxa"/>
                  <w:right w:w="57" w:type="dxa"/>
                </w:tblCellMar>
              </w:tblPrEx>
              <w:trPr>
                <w:trHeight w:val="397" w:hRule="atLeast"/>
                <w:jc w:val="center"/>
              </w:trPr>
              <w:tc>
                <w:tcPr>
                  <w:tcW w:w="334" w:type="dxa"/>
                  <w:vMerge w:val="continue"/>
                </w:tcPr>
                <w:p w14:paraId="235B5C88">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38" w:type="dxa"/>
                  <w:vMerge w:val="continue"/>
                </w:tcPr>
                <w:p w14:paraId="2A477B77">
                  <w:pPr>
                    <w:pStyle w:val="75"/>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4712" w:type="dxa"/>
                </w:tcPr>
                <w:p w14:paraId="1801EADC">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资源利用效率要求：</w:t>
                  </w:r>
                </w:p>
                <w:p w14:paraId="12B42754">
                  <w:pPr>
                    <w:pStyle w:val="75"/>
                    <w:adjustRightInd w:val="0"/>
                    <w:snapToGrid w:val="0"/>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进一步优化能源结构，加快园区配套管网建设。不得新改扩建分散燃煤设施。</w:t>
                  </w:r>
                </w:p>
              </w:tc>
              <w:tc>
                <w:tcPr>
                  <w:tcW w:w="2993" w:type="dxa"/>
                  <w:vAlign w:val="center"/>
                </w:tcPr>
                <w:p w14:paraId="13D836E0">
                  <w:pPr>
                    <w:pStyle w:val="75"/>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eastAsia="zh-CN"/>
                      <w14:textFill>
                        <w14:solidFill>
                          <w14:schemeClr w14:val="tx1"/>
                        </w14:solidFill>
                      </w14:textFill>
                    </w:rPr>
                    <w:t>不涉及燃煤，</w:t>
                  </w:r>
                  <w:r>
                    <w:rPr>
                      <w:color w:val="000000" w:themeColor="text1"/>
                      <w:sz w:val="21"/>
                      <w:szCs w:val="21"/>
                      <w14:textFill>
                        <w14:solidFill>
                          <w14:schemeClr w14:val="tx1"/>
                        </w14:solidFill>
                      </w14:textFill>
                    </w:rPr>
                    <w:t>选址</w:t>
                  </w:r>
                  <w:r>
                    <w:rPr>
                      <w:rFonts w:hint="eastAsia"/>
                      <w:color w:val="000000" w:themeColor="text1"/>
                      <w:sz w:val="21"/>
                      <w:szCs w:val="21"/>
                      <w:lang w:eastAsia="zh-CN"/>
                      <w14:textFill>
                        <w14:solidFill>
                          <w14:schemeClr w14:val="tx1"/>
                        </w14:solidFill>
                      </w14:textFill>
                    </w:rPr>
                    <w:t>配套管网已铺设完成</w:t>
                  </w:r>
                  <w:r>
                    <w:rPr>
                      <w:color w:val="000000" w:themeColor="text1"/>
                      <w:sz w:val="21"/>
                      <w:szCs w:val="21"/>
                      <w14:textFill>
                        <w14:solidFill>
                          <w14:schemeClr w14:val="tx1"/>
                        </w14:solidFill>
                      </w14:textFill>
                    </w:rPr>
                    <w:t>。</w:t>
                  </w:r>
                </w:p>
              </w:tc>
              <w:tc>
                <w:tcPr>
                  <w:tcW w:w="477" w:type="dxa"/>
                  <w:vAlign w:val="center"/>
                </w:tcPr>
                <w:p w14:paraId="20A17F7D">
                  <w:pPr>
                    <w:pStyle w:val="6"/>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符合</w:t>
                  </w:r>
                </w:p>
              </w:tc>
            </w:tr>
          </w:tbl>
          <w:p w14:paraId="49DD3880">
            <w:pPr>
              <w:snapToGrid w:val="0"/>
              <w:spacing w:line="520" w:lineRule="exact"/>
              <w:ind w:firstLine="480"/>
              <w:rPr>
                <w:color w:val="000000" w:themeColor="text1"/>
                <w14:textFill>
                  <w14:solidFill>
                    <w14:schemeClr w14:val="tx1"/>
                  </w14:solidFill>
                </w14:textFill>
              </w:rPr>
            </w:pPr>
            <w:r>
              <w:rPr>
                <w:color w:val="000000" w:themeColor="text1"/>
                <w:shd w:val="clear" w:color="auto" w:fill="FFFFFF"/>
                <w14:textFill>
                  <w14:solidFill>
                    <w14:schemeClr w14:val="tx1"/>
                  </w14:solidFill>
                </w14:textFill>
              </w:rPr>
              <w:t>根据</w:t>
            </w:r>
            <w:r>
              <w:rPr>
                <w:rFonts w:hint="eastAsia"/>
                <w:color w:val="000000" w:themeColor="text1"/>
                <w:shd w:val="clear" w:color="auto" w:fill="FFFFFF"/>
                <w14:textFill>
                  <w14:solidFill>
                    <w14:schemeClr w14:val="tx1"/>
                  </w14:solidFill>
                </w14:textFill>
              </w:rPr>
              <w:t>上</w:t>
            </w:r>
            <w:r>
              <w:rPr>
                <w:color w:val="000000" w:themeColor="text1"/>
                <w:shd w:val="clear" w:color="auto" w:fill="FFFFFF"/>
                <w14:textFill>
                  <w14:solidFill>
                    <w14:schemeClr w14:val="tx1"/>
                  </w14:solidFill>
                </w14:textFill>
              </w:rPr>
              <w:t>表可知，</w:t>
            </w:r>
            <w:r>
              <w:rPr>
                <w:color w:val="000000" w:themeColor="text1"/>
                <w:lang w:bidi="ar"/>
                <w14:textFill>
                  <w14:solidFill>
                    <w14:schemeClr w14:val="tx1"/>
                  </w14:solidFill>
                </w14:textFill>
              </w:rPr>
              <w:t>本项目的建设符合</w:t>
            </w:r>
            <w:r>
              <w:rPr>
                <w:rFonts w:hint="eastAsia"/>
                <w:color w:val="000000" w:themeColor="text1"/>
                <w:shd w:val="clear" w:color="auto" w:fill="FFFFFF"/>
                <w14:textFill>
                  <w14:solidFill>
                    <w14:schemeClr w14:val="tx1"/>
                  </w14:solidFill>
                </w14:textFill>
              </w:rPr>
              <w:t>《河南省生态环境分区管控总体要求（2023年版）》</w:t>
            </w:r>
            <w:r>
              <w:rPr>
                <w:rFonts w:hint="eastAsia"/>
                <w:color w:val="000000" w:themeColor="text1"/>
                <w14:textFill>
                  <w14:solidFill>
                    <w14:schemeClr w14:val="tx1"/>
                  </w14:solidFill>
                </w14:textFill>
              </w:rPr>
              <w:t>、</w:t>
            </w:r>
            <w:r>
              <w:rPr>
                <w:rFonts w:hint="eastAsia"/>
                <w:color w:val="000000" w:themeColor="text1"/>
                <w:shd w:val="clear" w:color="auto" w:fill="FFFFFF"/>
                <w14:textFill>
                  <w14:solidFill>
                    <w14:schemeClr w14:val="tx1"/>
                  </w14:solidFill>
                </w14:textFill>
              </w:rPr>
              <w:t>《新乡市“三线一单”生态环境准入清单》（2023年版）</w:t>
            </w:r>
            <w:r>
              <w:rPr>
                <w:color w:val="000000" w:themeColor="text1"/>
                <w:kern w:val="52"/>
                <w14:textFill>
                  <w14:solidFill>
                    <w14:schemeClr w14:val="tx1"/>
                  </w14:solidFill>
                </w14:textFill>
              </w:rPr>
              <w:t>的要求。</w:t>
            </w:r>
          </w:p>
          <w:p w14:paraId="644DEEE7">
            <w:pPr>
              <w:pStyle w:val="12"/>
              <w:spacing w:after="0" w:line="520" w:lineRule="exact"/>
              <w:ind w:left="0" w:leftChars="0" w:firstLine="480"/>
              <w:jc w:val="left"/>
              <w:rPr>
                <w:b/>
                <w:bCs/>
                <w:color w:val="000000" w:themeColor="text1"/>
                <w:szCs w:val="32"/>
                <w14:textFill>
                  <w14:solidFill>
                    <w14:schemeClr w14:val="tx1"/>
                  </w14:solidFill>
                </w14:textFill>
              </w:rPr>
            </w:pPr>
            <w:r>
              <w:rPr>
                <w:rFonts w:hint="eastAsia"/>
                <w:b/>
                <w:bCs/>
                <w:color w:val="000000" w:themeColor="text1"/>
                <w:szCs w:val="32"/>
                <w:lang w:val="en-US" w:eastAsia="zh-CN"/>
                <w14:textFill>
                  <w14:solidFill>
                    <w14:schemeClr w14:val="tx1"/>
                  </w14:solidFill>
                </w14:textFill>
              </w:rPr>
              <w:t>6</w:t>
            </w:r>
            <w:r>
              <w:rPr>
                <w:b/>
                <w:bCs/>
                <w:color w:val="000000" w:themeColor="text1"/>
                <w:szCs w:val="32"/>
                <w14:textFill>
                  <w14:solidFill>
                    <w14:schemeClr w14:val="tx1"/>
                  </w14:solidFill>
                </w14:textFill>
              </w:rPr>
              <w:t>、</w:t>
            </w:r>
            <w:r>
              <w:rPr>
                <w:rFonts w:hint="eastAsia"/>
                <w:b/>
                <w:bCs/>
                <w:color w:val="000000" w:themeColor="text1"/>
                <w:szCs w:val="32"/>
                <w14:textFill>
                  <w14:solidFill>
                    <w14:schemeClr w14:val="tx1"/>
                  </w14:solidFill>
                </w14:textFill>
              </w:rPr>
              <w:t>本</w:t>
            </w:r>
            <w:r>
              <w:rPr>
                <w:rFonts w:hint="eastAsia"/>
                <w:b/>
                <w:bCs/>
                <w:color w:val="000000" w:themeColor="text1"/>
                <w:szCs w:val="24"/>
                <w14:textFill>
                  <w14:solidFill>
                    <w14:schemeClr w14:val="tx1"/>
                  </w14:solidFill>
                </w14:textFill>
              </w:rPr>
              <w:t>项目</w:t>
            </w:r>
            <w:r>
              <w:rPr>
                <w:b/>
                <w:bCs/>
                <w:color w:val="000000" w:themeColor="text1"/>
                <w:szCs w:val="24"/>
                <w14:textFill>
                  <w14:solidFill>
                    <w14:schemeClr w14:val="tx1"/>
                  </w14:solidFill>
                </w14:textFill>
              </w:rPr>
              <w:t>与</w:t>
            </w:r>
            <w:r>
              <w:rPr>
                <w:rFonts w:hint="eastAsia"/>
                <w:b/>
                <w:bCs/>
                <w:color w:val="000000" w:themeColor="text1"/>
                <w:szCs w:val="24"/>
                <w14:textFill>
                  <w14:solidFill>
                    <w14:schemeClr w14:val="tx1"/>
                  </w14:solidFill>
                </w14:textFill>
              </w:rPr>
              <w:t>《河南省重污染天气重点行业应急减排措施制定技术指南》(2024年修订版)中“纺织印染与服饰制造”A级企业绩效分级指标相符性分析</w:t>
            </w:r>
          </w:p>
          <w:p w14:paraId="50700640">
            <w:pPr>
              <w:spacing w:line="520" w:lineRule="exact"/>
              <w:ind w:firstLine="960" w:firstLineChars="400"/>
              <w:rPr>
                <w:rFonts w:eastAsia="黑体"/>
                <w:color w:val="000000" w:themeColor="text1"/>
                <w:lang w:val="pt-BR"/>
                <w14:textFill>
                  <w14:solidFill>
                    <w14:schemeClr w14:val="tx1"/>
                  </w14:solidFill>
                </w14:textFill>
              </w:rPr>
            </w:pPr>
            <w:r>
              <w:rPr>
                <w:rFonts w:eastAsia="黑体"/>
                <w:color w:val="000000" w:themeColor="text1"/>
                <w:lang w:val="pt-BR"/>
                <w14:textFill>
                  <w14:solidFill>
                    <w14:schemeClr w14:val="tx1"/>
                  </w14:solidFill>
                </w14:textFill>
              </w:rPr>
              <w:t>表</w:t>
            </w:r>
            <w:r>
              <w:rPr>
                <w:rFonts w:eastAsia="黑体"/>
                <w:color w:val="000000" w:themeColor="text1"/>
                <w14:textFill>
                  <w14:solidFill>
                    <w14:schemeClr w14:val="tx1"/>
                  </w14:solidFill>
                </w14:textFill>
              </w:rPr>
              <w:t>1-</w:t>
            </w:r>
            <w:r>
              <w:rPr>
                <w:rFonts w:hint="eastAsia" w:eastAsia="黑体"/>
                <w:color w:val="000000" w:themeColor="text1"/>
                <w14:textFill>
                  <w14:solidFill>
                    <w14:schemeClr w14:val="tx1"/>
                  </w14:solidFill>
                </w14:textFill>
              </w:rPr>
              <w:t>7</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 xml:space="preserve">       </w:t>
            </w:r>
            <w:r>
              <w:rPr>
                <w:rFonts w:eastAsia="黑体"/>
                <w:color w:val="000000" w:themeColor="text1"/>
                <w:lang w:val="pt-BR"/>
                <w14:textFill>
                  <w14:solidFill>
                    <w14:schemeClr w14:val="tx1"/>
                  </w14:solidFill>
                </w14:textFill>
              </w:rPr>
              <w:t>与纺织印染与服饰制造</w:t>
            </w:r>
            <w:r>
              <w:rPr>
                <w:rFonts w:hint="eastAsia" w:eastAsia="黑体"/>
                <w:color w:val="000000" w:themeColor="text1"/>
                <w14:textFill>
                  <w14:solidFill>
                    <w14:schemeClr w14:val="tx1"/>
                  </w14:solidFill>
                </w14:textFill>
              </w:rPr>
              <w:t>A</w:t>
            </w:r>
            <w:r>
              <w:rPr>
                <w:rFonts w:eastAsia="黑体"/>
                <w:color w:val="000000" w:themeColor="text1"/>
                <w14:textFill>
                  <w14:solidFill>
                    <w14:schemeClr w14:val="tx1"/>
                  </w14:solidFill>
                </w14:textFill>
              </w:rPr>
              <w:t>级指标的对照分析</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634"/>
              <w:gridCol w:w="4119"/>
              <w:gridCol w:w="2662"/>
              <w:gridCol w:w="704"/>
            </w:tblGrid>
            <w:tr w14:paraId="5FEC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08B49F55">
                  <w:pPr>
                    <w:tabs>
                      <w:tab w:val="left" w:pos="940"/>
                    </w:tabs>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差异化</w:t>
                  </w:r>
                </w:p>
                <w:p w14:paraId="56F49343">
                  <w:pPr>
                    <w:tabs>
                      <w:tab w:val="left" w:pos="940"/>
                    </w:tabs>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指标</w:t>
                  </w:r>
                </w:p>
              </w:tc>
              <w:tc>
                <w:tcPr>
                  <w:tcW w:w="2352" w:type="pct"/>
                  <w:noWrap/>
                  <w:vAlign w:val="center"/>
                </w:tcPr>
                <w:p w14:paraId="46D67C0D">
                  <w:pPr>
                    <w:tabs>
                      <w:tab w:val="left" w:pos="940"/>
                    </w:tabs>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纺织印染与服饰制造A</w:t>
                  </w:r>
                  <w:r>
                    <w:rPr>
                      <w:b/>
                      <w:bCs/>
                      <w:color w:val="000000" w:themeColor="text1"/>
                      <w:sz w:val="21"/>
                      <w:szCs w:val="21"/>
                      <w14:textFill>
                        <w14:solidFill>
                          <w14:schemeClr w14:val="tx1"/>
                        </w14:solidFill>
                      </w14:textFill>
                    </w:rPr>
                    <w:t>级指标</w:t>
                  </w:r>
                </w:p>
              </w:tc>
              <w:tc>
                <w:tcPr>
                  <w:tcW w:w="1520" w:type="pct"/>
                  <w:noWrap/>
                  <w:vAlign w:val="center"/>
                </w:tcPr>
                <w:p w14:paraId="703D9F49">
                  <w:pPr>
                    <w:tabs>
                      <w:tab w:val="left" w:pos="940"/>
                    </w:tabs>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本项目情况</w:t>
                  </w:r>
                </w:p>
              </w:tc>
              <w:tc>
                <w:tcPr>
                  <w:tcW w:w="402" w:type="pct"/>
                  <w:noWrap/>
                  <w:vAlign w:val="center"/>
                </w:tcPr>
                <w:p w14:paraId="5BE868D2">
                  <w:pPr>
                    <w:tabs>
                      <w:tab w:val="left" w:pos="940"/>
                    </w:tabs>
                    <w:adjustRightInd w:val="0"/>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相符性</w:t>
                  </w:r>
                </w:p>
              </w:tc>
            </w:tr>
            <w:tr w14:paraId="2903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272478FA">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能源类型</w:t>
                  </w:r>
                </w:p>
              </w:tc>
              <w:tc>
                <w:tcPr>
                  <w:tcW w:w="2352" w:type="pct"/>
                  <w:noWrap/>
                  <w:vAlign w:val="center"/>
                </w:tcPr>
                <w:p w14:paraId="36F138B4">
                  <w:pPr>
                    <w:widowControl/>
                    <w:spacing w:line="240" w:lineRule="auto"/>
                    <w:ind w:firstLine="0" w:firstLineChars="0"/>
                    <w:rPr>
                      <w:rFonts w:ascii="宋体" w:hAnsi="宋体" w:cs="宋体"/>
                      <w:color w:val="000000" w:themeColor="text1"/>
                      <w:kern w:val="0"/>
                      <w:sz w:val="21"/>
                      <w:szCs w:val="21"/>
                      <w:lang w:bidi="ar"/>
                      <w14:textFill>
                        <w14:solidFill>
                          <w14:schemeClr w14:val="tx1"/>
                        </w14:solidFill>
                      </w14:textFill>
                    </w:rPr>
                  </w:pPr>
                  <w:r>
                    <w:rPr>
                      <w:rFonts w:hint="eastAsia" w:ascii="宋体" w:hAnsi="宋体" w:cs="宋体"/>
                      <w:color w:val="000000" w:themeColor="text1"/>
                      <w:kern w:val="0"/>
                      <w:sz w:val="21"/>
                      <w:szCs w:val="21"/>
                      <w:lang w:bidi="ar"/>
                      <w14:textFill>
                        <w14:solidFill>
                          <w14:schemeClr w14:val="tx1"/>
                        </w14:solidFill>
                      </w14:textFill>
                    </w:rPr>
                    <w:t>1.除热处理炉外，蒸汽来源采用电或外</w:t>
                  </w:r>
                </w:p>
                <w:p w14:paraId="086E3E64">
                  <w:pPr>
                    <w:widowControl/>
                    <w:spacing w:line="240" w:lineRule="auto"/>
                    <w:ind w:firstLine="0" w:firstLineChars="0"/>
                    <w:rPr>
                      <w:rFonts w:ascii="宋体" w:hAnsi="宋体" w:cs="宋体"/>
                      <w:color w:val="000000" w:themeColor="text1"/>
                      <w:kern w:val="0"/>
                      <w:sz w:val="21"/>
                      <w:szCs w:val="21"/>
                      <w:lang w:bidi="ar"/>
                      <w14:textFill>
                        <w14:solidFill>
                          <w14:schemeClr w14:val="tx1"/>
                        </w14:solidFill>
                      </w14:textFill>
                    </w:rPr>
                  </w:pPr>
                  <w:r>
                    <w:rPr>
                      <w:rFonts w:hint="eastAsia" w:ascii="宋体" w:hAnsi="宋体" w:cs="宋体"/>
                      <w:color w:val="000000" w:themeColor="text1"/>
                      <w:kern w:val="0"/>
                      <w:sz w:val="21"/>
                      <w:szCs w:val="21"/>
                      <w:lang w:bidi="ar"/>
                      <w14:textFill>
                        <w14:solidFill>
                          <w14:schemeClr w14:val="tx1"/>
                        </w14:solidFill>
                      </w14:textFill>
                    </w:rPr>
                    <w:t>购蒸汽；</w:t>
                  </w:r>
                </w:p>
                <w:p w14:paraId="0DECA7CD">
                  <w:pPr>
                    <w:widowControl/>
                    <w:spacing w:line="240" w:lineRule="auto"/>
                    <w:ind w:firstLine="0" w:firstLineChars="0"/>
                    <w:rPr>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lang w:bidi="ar"/>
                      <w14:textFill>
                        <w14:solidFill>
                          <w14:schemeClr w14:val="tx1"/>
                        </w14:solidFill>
                      </w14:textFill>
                    </w:rPr>
                    <w:t>2.热处理炉采用电、天然气。</w:t>
                  </w:r>
                </w:p>
              </w:tc>
              <w:tc>
                <w:tcPr>
                  <w:tcW w:w="1520" w:type="pct"/>
                  <w:noWrap/>
                  <w:vAlign w:val="center"/>
                </w:tcPr>
                <w:p w14:paraId="0D6F05AA">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本项目能源主要为电；</w:t>
                  </w:r>
                </w:p>
                <w:p w14:paraId="432DDE4A">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本项目箱式烘干炉以电为能源。</w:t>
                  </w:r>
                </w:p>
              </w:tc>
              <w:tc>
                <w:tcPr>
                  <w:tcW w:w="402" w:type="pct"/>
                  <w:noWrap/>
                  <w:vAlign w:val="center"/>
                </w:tcPr>
                <w:p w14:paraId="2C355A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32C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5A321B9F">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生产工艺及装备水平</w:t>
                  </w:r>
                </w:p>
              </w:tc>
              <w:tc>
                <w:tcPr>
                  <w:tcW w:w="2352" w:type="pct"/>
                  <w:noWrap/>
                  <w:vAlign w:val="center"/>
                </w:tcPr>
                <w:p w14:paraId="214F1868">
                  <w:pPr>
                    <w:numPr>
                      <w:ilvl w:val="0"/>
                      <w:numId w:val="5"/>
                    </w:num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属于《产业结构调整指导目录（2024 年版）》鼓励类和允许类；</w:t>
                  </w:r>
                </w:p>
                <w:p w14:paraId="480ECE10">
                  <w:pPr>
                    <w:numPr>
                      <w:ilvl w:val="0"/>
                      <w:numId w:val="5"/>
                    </w:num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符合相关行业产业政策；</w:t>
                  </w:r>
                </w:p>
                <w:p w14:paraId="3D2D1E80">
                  <w:pPr>
                    <w:numPr>
                      <w:ilvl w:val="0"/>
                      <w:numId w:val="5"/>
                    </w:num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符合河南省相关政策要求；</w:t>
                  </w:r>
                </w:p>
                <w:p w14:paraId="6D2EEBE3">
                  <w:pPr>
                    <w:numPr>
                      <w:ilvl w:val="0"/>
                      <w:numId w:val="5"/>
                    </w:num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符合市级规划。</w:t>
                  </w:r>
                </w:p>
              </w:tc>
              <w:tc>
                <w:tcPr>
                  <w:tcW w:w="1520" w:type="pct"/>
                  <w:noWrap/>
                  <w:vAlign w:val="center"/>
                </w:tcPr>
                <w:p w14:paraId="3AFE4028">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1.属于《产业结构调整指导目录（2024年本）》中允许类项目；</w:t>
                  </w:r>
                </w:p>
                <w:p w14:paraId="2BACA072">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符合相关行业产业政策；</w:t>
                  </w:r>
                </w:p>
                <w:p w14:paraId="0419EAB6">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3.符合河南省相关政策要求；</w:t>
                  </w:r>
                </w:p>
                <w:p w14:paraId="214973C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符合新乡市市级规划。</w:t>
                  </w:r>
                </w:p>
              </w:tc>
              <w:tc>
                <w:tcPr>
                  <w:tcW w:w="402" w:type="pct"/>
                  <w:noWrap/>
                  <w:vAlign w:val="center"/>
                </w:tcPr>
                <w:p w14:paraId="5FD1A7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63ED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1BE6DF04">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污染治理工艺与技术</w:t>
                  </w:r>
                </w:p>
              </w:tc>
              <w:tc>
                <w:tcPr>
                  <w:tcW w:w="2352" w:type="pct"/>
                  <w:noWrap/>
                  <w:vAlign w:val="center"/>
                </w:tcPr>
                <w:p w14:paraId="62E567B1">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1.电窑：</w:t>
                  </w:r>
                </w:p>
                <w:p w14:paraId="193F318C">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PM采用袋式除尘、静电除尘、湿电除尘等除尘技术。</w:t>
                  </w:r>
                </w:p>
                <w:p w14:paraId="6F43619F">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2.燃气热处理炉：</w:t>
                  </w:r>
                </w:p>
                <w:p w14:paraId="5BEC4CDC">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（1）PM 采用袋式除尘、静电除尘、湿电除尘等除尘技术；</w:t>
                  </w:r>
                </w:p>
                <w:p w14:paraId="1B6E0DD9">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（2）NOx【1】采用低氮燃烧或SNCR/SCR</w:t>
                  </w:r>
                </w:p>
                <w:p w14:paraId="2C721691">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等技术。使用氨法脱硝的企业，氨的装卸、储存、输送、制备等过程全程密闭，并采取氨气泄漏检测和收集措施；采用尿素作为还原剂的配备有尿素加热水解制氨系统。</w:t>
                  </w:r>
                </w:p>
                <w:p w14:paraId="4B035B7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3.其他工序（非锅炉/炉窑）：</w:t>
                  </w:r>
                </w:p>
                <w:p w14:paraId="1407FE5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PM采用袋式除尘或其他先进除尘工艺；</w:t>
                  </w:r>
                </w:p>
                <w:p w14:paraId="63BB5F34">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4.涉VOCs废气末端使用直接燃烧、吸附-燃烧，处理效率不低于90%，确实达不到的，生产车间或生产设备的无组织排放监控点 NMHC浓度低于4mg/m³，企业边界1h NMHC平均浓度低于2mg/m³；或使用的全部原辅材料VOCs含量（质量比）均低于 10%；</w:t>
                  </w:r>
                </w:p>
                <w:p w14:paraId="33ACF221">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5.生产设施使用含VOCs原辅材料初始排放速率低于2 kg/h时，可使用固定床吸附等治理技术。</w:t>
                  </w:r>
                </w:p>
              </w:tc>
              <w:tc>
                <w:tcPr>
                  <w:tcW w:w="1520" w:type="pct"/>
                  <w:noWrap/>
                  <w:vAlign w:val="center"/>
                </w:tcPr>
                <w:p w14:paraId="604FA6E5">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项目不涉及电窑；</w:t>
                  </w:r>
                </w:p>
                <w:p w14:paraId="11E85384">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项目不涉及燃气热处理炉；</w:t>
                  </w:r>
                </w:p>
                <w:p w14:paraId="1F07EBFE">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项目压花、雕花、开口工序产生的颗粒物采用</w:t>
                  </w:r>
                  <w:r>
                    <w:rPr>
                      <w:rFonts w:hint="eastAsia"/>
                      <w:color w:val="000000" w:themeColor="text1"/>
                      <w:sz w:val="21"/>
                      <w:szCs w:val="21"/>
                      <w:lang w:eastAsia="zh-CN"/>
                      <w14:textFill>
                        <w14:solidFill>
                          <w14:schemeClr w14:val="tx1"/>
                        </w14:solidFill>
                      </w14:textFill>
                    </w:rPr>
                    <w:t>袋式除尘器</w:t>
                  </w:r>
                  <w:r>
                    <w:rPr>
                      <w:rFonts w:hint="eastAsia"/>
                      <w:color w:val="000000" w:themeColor="text1"/>
                      <w:sz w:val="21"/>
                      <w:szCs w:val="21"/>
                      <w14:textFill>
                        <w14:solidFill>
                          <w14:schemeClr w14:val="tx1"/>
                        </w14:solidFill>
                      </w14:textFill>
                    </w:rPr>
                    <w:t>进行处理；</w:t>
                  </w:r>
                </w:p>
                <w:p w14:paraId="0976EAAC">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项目印花、复合、压花、雕花、开口工序产生的有机废气采取活性炭吸附/脱附-催化燃烧装置进行处理，处理效率为9</w:t>
                  </w: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w:t>
                  </w:r>
                </w:p>
                <w:p w14:paraId="754ED295">
                  <w:pPr>
                    <w:adjustRightInd w:val="0"/>
                    <w:snapToGrid w:val="0"/>
                    <w:spacing w:line="240" w:lineRule="auto"/>
                    <w:ind w:firstLine="0" w:firstLineChars="0"/>
                    <w:rPr>
                      <w:color w:val="000000" w:themeColor="text1"/>
                      <w:sz w:val="21"/>
                      <w:szCs w:val="21"/>
                      <w14:textFill>
                        <w14:solidFill>
                          <w14:schemeClr w14:val="tx1"/>
                        </w14:solidFill>
                      </w14:textFill>
                    </w:rPr>
                  </w:pPr>
                </w:p>
              </w:tc>
              <w:tc>
                <w:tcPr>
                  <w:tcW w:w="402" w:type="pct"/>
                  <w:noWrap/>
                  <w:vAlign w:val="center"/>
                </w:tcPr>
                <w:p w14:paraId="5FF8C9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5CC8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3DAB14A7">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涉VOCs和恶臭工艺控制</w:t>
                  </w:r>
                </w:p>
              </w:tc>
              <w:tc>
                <w:tcPr>
                  <w:tcW w:w="2352" w:type="pct"/>
                  <w:noWrap/>
                  <w:vAlign w:val="center"/>
                </w:tcPr>
                <w:p w14:paraId="2E27DE76">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1.VOCs物料的投加和卸放、配料、混合、搅拌、包装等过程，采用密闭设备，废气负压引至VOCs废气收集处理系统；</w:t>
                  </w:r>
                </w:p>
                <w:p w14:paraId="115DF878">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2.涉VOCs物料生产设施采用密闭设备，废气负压引至VOCs废气收集处理系统；</w:t>
                  </w:r>
                </w:p>
                <w:p w14:paraId="14670AF7">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3.废水处理设施加盖密闭，并配备废气收集处理设施，恶臭气体采用低温等离子、光氧化、活性炭吸附、生物法等两级及以上串联技术。</w:t>
                  </w:r>
                </w:p>
              </w:tc>
              <w:tc>
                <w:tcPr>
                  <w:tcW w:w="1520" w:type="pct"/>
                  <w:noWrap/>
                  <w:vAlign w:val="center"/>
                </w:tcPr>
                <w:p w14:paraId="6FBA78C5">
                  <w:pPr>
                    <w:adjustRightInd w:val="0"/>
                    <w:snapToGrid w:val="0"/>
                    <w:spacing w:line="240" w:lineRule="auto"/>
                    <w:ind w:firstLine="0" w:firstLineChars="0"/>
                    <w:rPr>
                      <w:sz w:val="21"/>
                      <w:szCs w:val="21"/>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sz w:val="21"/>
                      <w:szCs w:val="21"/>
                    </w:rPr>
                    <w:t xml:space="preserve"> 项目VOCs物料为水性丙烯酸胶浆、水性丙烯酸油墨，均为密闭桶装，存储于无阳光直射的密闭原料库</w:t>
                  </w:r>
                  <w:r>
                    <w:rPr>
                      <w:rFonts w:hint="eastAsia"/>
                      <w:sz w:val="21"/>
                      <w:szCs w:val="21"/>
                    </w:rPr>
                    <w:t>；喷墨印花机</w:t>
                  </w:r>
                  <w:r>
                    <w:rPr>
                      <w:sz w:val="21"/>
                      <w:szCs w:val="21"/>
                    </w:rPr>
                    <w:t>、</w:t>
                  </w:r>
                  <w:r>
                    <w:rPr>
                      <w:rFonts w:hint="eastAsia"/>
                      <w:sz w:val="21"/>
                      <w:szCs w:val="21"/>
                    </w:rPr>
                    <w:t>粘</w:t>
                  </w:r>
                  <w:r>
                    <w:rPr>
                      <w:sz w:val="21"/>
                      <w:szCs w:val="21"/>
                    </w:rPr>
                    <w:t>合机</w:t>
                  </w:r>
                  <w:r>
                    <w:rPr>
                      <w:rFonts w:hint="eastAsia"/>
                      <w:sz w:val="21"/>
                      <w:szCs w:val="21"/>
                      <w:lang w:eastAsia="zh-CN"/>
                    </w:rPr>
                    <w:t>二次密闭，</w:t>
                  </w:r>
                  <w:r>
                    <w:rPr>
                      <w:sz w:val="21"/>
                      <w:szCs w:val="21"/>
                    </w:rPr>
                    <w:t>上方设置集气罩，</w:t>
                  </w:r>
                  <w:r>
                    <w:rPr>
                      <w:rFonts w:hint="eastAsia"/>
                      <w:sz w:val="21"/>
                      <w:szCs w:val="21"/>
                      <w:lang w:eastAsia="zh-CN"/>
                    </w:rPr>
                    <w:t>油墨</w:t>
                  </w:r>
                  <w:r>
                    <w:rPr>
                      <w:sz w:val="21"/>
                      <w:szCs w:val="21"/>
                    </w:rPr>
                    <w:t>桶</w:t>
                  </w:r>
                  <w:r>
                    <w:rPr>
                      <w:rFonts w:hint="eastAsia"/>
                      <w:sz w:val="21"/>
                      <w:szCs w:val="21"/>
                    </w:rPr>
                    <w:t>、</w:t>
                  </w:r>
                  <w:r>
                    <w:rPr>
                      <w:sz w:val="21"/>
                      <w:szCs w:val="21"/>
                    </w:rPr>
                    <w:t>胶桶加盖密闭保存，密闭转运至印</w:t>
                  </w:r>
                  <w:r>
                    <w:rPr>
                      <w:rFonts w:hint="eastAsia"/>
                      <w:sz w:val="21"/>
                      <w:szCs w:val="21"/>
                      <w:lang w:eastAsia="zh-CN"/>
                    </w:rPr>
                    <w:t>花</w:t>
                  </w:r>
                  <w:r>
                    <w:rPr>
                      <w:sz w:val="21"/>
                      <w:szCs w:val="21"/>
                    </w:rPr>
                    <w:t>车间或复合车间，通过自动供墨/供胶系统，利用软管自动泵密闭墨槽或胶槽，密闭盖仅留有软管的进出口，供墨/供胶工序产生的废气与印</w:t>
                  </w:r>
                  <w:r>
                    <w:rPr>
                      <w:rFonts w:hint="eastAsia"/>
                      <w:sz w:val="21"/>
                      <w:szCs w:val="21"/>
                    </w:rPr>
                    <w:t>花</w:t>
                  </w:r>
                  <w:r>
                    <w:rPr>
                      <w:sz w:val="21"/>
                      <w:szCs w:val="21"/>
                    </w:rPr>
                    <w:t>/复合工序产生的废气经集气罩收集引至有机废气处理装置进行处理。</w:t>
                  </w:r>
                </w:p>
                <w:p w14:paraId="776F99D8">
                  <w:pPr>
                    <w:adjustRightInd w:val="0"/>
                    <w:snapToGrid w:val="0"/>
                    <w:spacing w:line="240" w:lineRule="auto"/>
                    <w:ind w:firstLine="0" w:firstLineChars="0"/>
                    <w:rPr>
                      <w:sz w:val="21"/>
                      <w:szCs w:val="21"/>
                    </w:rPr>
                  </w:pPr>
                  <w:r>
                    <w:rPr>
                      <w:rFonts w:hint="eastAsia"/>
                      <w:sz w:val="21"/>
                      <w:szCs w:val="21"/>
                    </w:rPr>
                    <w:t>2</w:t>
                  </w:r>
                  <w:r>
                    <w:rPr>
                      <w:sz w:val="21"/>
                      <w:szCs w:val="21"/>
                    </w:rPr>
                    <w:t>.</w:t>
                  </w:r>
                  <w:r>
                    <w:rPr>
                      <w:rFonts w:hint="eastAsia"/>
                    </w:rPr>
                    <w:t xml:space="preserve"> </w:t>
                  </w:r>
                  <w:r>
                    <w:rPr>
                      <w:rFonts w:hint="eastAsia"/>
                      <w:sz w:val="21"/>
                      <w:szCs w:val="21"/>
                    </w:rPr>
                    <w:t>项目生产工序均置于密闭生产车间，</w:t>
                  </w:r>
                  <w:r>
                    <w:rPr>
                      <w:sz w:val="21"/>
                      <w:szCs w:val="21"/>
                    </w:rPr>
                    <w:t>印</w:t>
                  </w:r>
                  <w:r>
                    <w:rPr>
                      <w:rFonts w:hint="eastAsia"/>
                      <w:sz w:val="21"/>
                      <w:szCs w:val="21"/>
                    </w:rPr>
                    <w:t>花</w:t>
                  </w:r>
                  <w:r>
                    <w:rPr>
                      <w:sz w:val="21"/>
                      <w:szCs w:val="21"/>
                    </w:rPr>
                    <w:t>、复合</w:t>
                  </w:r>
                  <w:r>
                    <w:rPr>
                      <w:rFonts w:hint="eastAsia"/>
                      <w:sz w:val="21"/>
                      <w:szCs w:val="21"/>
                    </w:rPr>
                    <w:t>、雕花、压花、清理、开口工序进行二次密闭，产生</w:t>
                  </w:r>
                  <w:r>
                    <w:rPr>
                      <w:rFonts w:hint="eastAsia"/>
                      <w:sz w:val="21"/>
                      <w:szCs w:val="21"/>
                      <w:lang w:eastAsia="zh-CN"/>
                    </w:rPr>
                    <w:t>有机</w:t>
                  </w:r>
                  <w:r>
                    <w:rPr>
                      <w:rFonts w:hint="eastAsia"/>
                      <w:sz w:val="21"/>
                      <w:szCs w:val="21"/>
                    </w:rPr>
                    <w:t>废气生产设备上方设置集气罩，收集效率为9</w:t>
                  </w:r>
                  <w:r>
                    <w:rPr>
                      <w:sz w:val="21"/>
                      <w:szCs w:val="21"/>
                    </w:rPr>
                    <w:t>5</w:t>
                  </w:r>
                  <w:r>
                    <w:rPr>
                      <w:rFonts w:hint="eastAsia"/>
                      <w:sz w:val="21"/>
                      <w:szCs w:val="21"/>
                    </w:rPr>
                    <w:t>%，负压引至</w:t>
                  </w:r>
                  <w:r>
                    <w:rPr>
                      <w:bCs/>
                      <w:sz w:val="21"/>
                      <w:szCs w:val="21"/>
                    </w:rPr>
                    <w:t>活性炭吸附/脱附-催化燃烧装置处理，</w:t>
                  </w:r>
                  <w:r>
                    <w:rPr>
                      <w:sz w:val="21"/>
                      <w:szCs w:val="21"/>
                    </w:rPr>
                    <w:t>尾气经15m高排气筒排放。</w:t>
                  </w:r>
                </w:p>
                <w:p w14:paraId="484575C3">
                  <w:pPr>
                    <w:adjustRightInd w:val="0"/>
                    <w:snapToGrid w:val="0"/>
                    <w:spacing w:line="240" w:lineRule="auto"/>
                    <w:ind w:firstLine="0" w:firstLineChars="0"/>
                    <w:rPr>
                      <w:rFonts w:hint="eastAsia"/>
                      <w:sz w:val="21"/>
                      <w:szCs w:val="21"/>
                    </w:rPr>
                  </w:pPr>
                  <w:r>
                    <w:rPr>
                      <w:rFonts w:hint="eastAsia"/>
                      <w:sz w:val="21"/>
                      <w:szCs w:val="21"/>
                    </w:rPr>
                    <w:t>3</w:t>
                  </w:r>
                  <w:r>
                    <w:rPr>
                      <w:sz w:val="21"/>
                      <w:szCs w:val="21"/>
                    </w:rPr>
                    <w:t>.</w:t>
                  </w:r>
                  <w:r>
                    <w:rPr>
                      <w:rFonts w:hint="eastAsia"/>
                      <w:sz w:val="21"/>
                      <w:szCs w:val="21"/>
                    </w:rPr>
                    <w:t>项目不涉及生产废水的产生。</w:t>
                  </w:r>
                </w:p>
                <w:p w14:paraId="63E96017">
                  <w:pPr>
                    <w:adjustRightInd w:val="0"/>
                    <w:snapToGrid w:val="0"/>
                    <w:spacing w:line="240" w:lineRule="auto"/>
                    <w:ind w:firstLine="0" w:firstLineChars="0"/>
                    <w:rPr>
                      <w:color w:val="000000" w:themeColor="text1"/>
                      <w:sz w:val="21"/>
                      <w:szCs w:val="21"/>
                      <w14:textFill>
                        <w14:solidFill>
                          <w14:schemeClr w14:val="tx1"/>
                        </w14:solidFill>
                      </w14:textFill>
                    </w:rPr>
                  </w:pPr>
                </w:p>
              </w:tc>
              <w:tc>
                <w:tcPr>
                  <w:tcW w:w="402" w:type="pct"/>
                  <w:noWrap/>
                  <w:vAlign w:val="center"/>
                </w:tcPr>
                <w:p w14:paraId="693408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B8E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54197823">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无组织排放</w:t>
                  </w:r>
                </w:p>
              </w:tc>
              <w:tc>
                <w:tcPr>
                  <w:tcW w:w="2352" w:type="pct"/>
                  <w:noWrap/>
                  <w:vAlign w:val="center"/>
                </w:tcPr>
                <w:p w14:paraId="319A187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1.粉状物料存于封闭的储存设施，车辆进出口安装封闭性良好的硬质门或自动门；</w:t>
                  </w:r>
                </w:p>
                <w:p w14:paraId="10F17BAF">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2.VOCs 物料储于密闭的容器、包装袋、储罐、储库、料仓中；盛装VOCs物料的容器或包装袋在非取用状态时应加盖、封口，保持密闭，废气排至VOCs废气收集处理系统；</w:t>
                  </w:r>
                </w:p>
                <w:p w14:paraId="2C187595">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3.配料、混料等产尘工序在封闭厂房内进行，并采取局部收尘/抑尘措施，设置集气和除尘设施；</w:t>
                  </w:r>
                </w:p>
                <w:p w14:paraId="1EBF7DF4">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4.废水收集与处理环节：废水储存、处理设施产生的恶臭气体，在曝气池之前以及污泥浓缩池加盖密闭或采取其他密闭措施，并排气至废气治理设施；</w:t>
                  </w:r>
                </w:p>
                <w:p w14:paraId="5E4F8796">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5.厂内地面全部硬化或绿化，车间内干净整洁，无散落物料；</w:t>
                  </w:r>
                </w:p>
                <w:p w14:paraId="6CCA795D">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6.贮存易产生粉尘、VOCs、酸雾、有毒有害大气污染物和异味的危险废物贮存库，设有废气收集装置和处理设施，废气处理设施的排气筒高度不低于15m。</w:t>
                  </w:r>
                </w:p>
              </w:tc>
              <w:tc>
                <w:tcPr>
                  <w:tcW w:w="1520" w:type="pct"/>
                  <w:noWrap/>
                  <w:vAlign w:val="center"/>
                </w:tcPr>
                <w:p w14:paraId="2CD352A3">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项目原辅材料不涉及粉状物料；</w:t>
                  </w:r>
                </w:p>
                <w:p w14:paraId="3348E0A7">
                  <w:pPr>
                    <w:adjustRightInd w:val="0"/>
                    <w:snapToGrid w:val="0"/>
                    <w:spacing w:line="240" w:lineRule="auto"/>
                    <w:ind w:firstLine="0" w:firstLineChars="0"/>
                    <w:rPr>
                      <w:rFonts w:hint="eastAsia" w:eastAsia="宋体"/>
                      <w:sz w:val="21"/>
                      <w:szCs w:val="21"/>
                      <w:lang w:eastAsia="zh-CN"/>
                    </w:rPr>
                  </w:pPr>
                  <w:r>
                    <w:rPr>
                      <w:rFonts w:hint="eastAsia"/>
                      <w:color w:val="000000" w:themeColor="text1"/>
                      <w:sz w:val="21"/>
                      <w:szCs w:val="21"/>
                      <w14:textFill>
                        <w14:solidFill>
                          <w14:schemeClr w14:val="tx1"/>
                        </w14:solidFill>
                      </w14:textFill>
                    </w:rPr>
                    <w:t>2</w:t>
                  </w:r>
                  <w:r>
                    <w:rPr>
                      <w:color w:val="000000" w:themeColor="text1"/>
                      <w:sz w:val="21"/>
                      <w:szCs w:val="21"/>
                      <w14:textFill>
                        <w14:solidFill>
                          <w14:schemeClr w14:val="tx1"/>
                        </w14:solidFill>
                      </w14:textFill>
                    </w:rPr>
                    <w:t>.</w:t>
                  </w:r>
                  <w:r>
                    <w:rPr>
                      <w:sz w:val="21"/>
                      <w:szCs w:val="21"/>
                    </w:rPr>
                    <w:t xml:space="preserve"> 项目VOCs物料为水性丙烯酸胶浆、水性丙烯酸油墨，均为密闭桶装，存储于无阳光直射的密闭原料库</w:t>
                  </w:r>
                  <w:r>
                    <w:rPr>
                      <w:rFonts w:hint="eastAsia"/>
                      <w:sz w:val="21"/>
                      <w:szCs w:val="21"/>
                    </w:rPr>
                    <w:t>。项目生产工序均置于密闭生产车间，印花、复合、雕花、压花、清理、开口工序进行二次密闭，产生废气生产设备上方设置集气罩，收集效率为95%，负压引至活性炭吸附/脱附-催化燃烧装置处理，尾气经15m高排气筒排放</w:t>
                  </w:r>
                  <w:r>
                    <w:rPr>
                      <w:rFonts w:hint="eastAsia"/>
                      <w:sz w:val="21"/>
                      <w:szCs w:val="21"/>
                      <w:lang w:eastAsia="zh-CN"/>
                    </w:rPr>
                    <w:t>；</w:t>
                  </w:r>
                </w:p>
                <w:p w14:paraId="5A2FAA3C">
                  <w:pPr>
                    <w:adjustRightInd w:val="0"/>
                    <w:snapToGrid w:val="0"/>
                    <w:spacing w:line="240" w:lineRule="auto"/>
                    <w:ind w:firstLine="0" w:firstLineChars="0"/>
                    <w:rPr>
                      <w:sz w:val="21"/>
                      <w:szCs w:val="21"/>
                    </w:rPr>
                  </w:pPr>
                  <w:r>
                    <w:rPr>
                      <w:rFonts w:hint="eastAsia"/>
                      <w:sz w:val="21"/>
                      <w:szCs w:val="21"/>
                    </w:rPr>
                    <w:t>3</w:t>
                  </w:r>
                  <w:r>
                    <w:rPr>
                      <w:sz w:val="21"/>
                      <w:szCs w:val="21"/>
                    </w:rPr>
                    <w:t>.</w:t>
                  </w:r>
                  <w:r>
                    <w:rPr>
                      <w:rFonts w:hint="eastAsia"/>
                      <w:sz w:val="21"/>
                      <w:szCs w:val="21"/>
                    </w:rPr>
                    <w:t>项目不涉及粉状物料；</w:t>
                  </w:r>
                </w:p>
                <w:p w14:paraId="0390CE99">
                  <w:pPr>
                    <w:adjustRightInd w:val="0"/>
                    <w:snapToGrid w:val="0"/>
                    <w:spacing w:line="240" w:lineRule="auto"/>
                    <w:ind w:firstLine="0" w:firstLineChars="0"/>
                    <w:rPr>
                      <w:sz w:val="21"/>
                      <w:szCs w:val="21"/>
                    </w:rPr>
                  </w:pPr>
                  <w:r>
                    <w:rPr>
                      <w:sz w:val="21"/>
                      <w:szCs w:val="21"/>
                    </w:rPr>
                    <w:t>4.</w:t>
                  </w:r>
                  <w:r>
                    <w:rPr>
                      <w:rFonts w:hint="eastAsia"/>
                      <w:sz w:val="21"/>
                      <w:szCs w:val="21"/>
                    </w:rPr>
                    <w:t>项目不涉及生产废水；</w:t>
                  </w:r>
                </w:p>
                <w:p w14:paraId="23AE0216">
                  <w:pPr>
                    <w:adjustRightInd w:val="0"/>
                    <w:snapToGrid w:val="0"/>
                    <w:spacing w:line="240" w:lineRule="auto"/>
                    <w:ind w:firstLine="0" w:firstLineChars="0"/>
                    <w:rPr>
                      <w:sz w:val="21"/>
                      <w:szCs w:val="21"/>
                    </w:rPr>
                  </w:pPr>
                  <w:r>
                    <w:rPr>
                      <w:rFonts w:hint="eastAsia"/>
                      <w:sz w:val="21"/>
                      <w:szCs w:val="21"/>
                    </w:rPr>
                    <w:t>5</w:t>
                  </w:r>
                  <w:r>
                    <w:rPr>
                      <w:sz w:val="21"/>
                      <w:szCs w:val="21"/>
                    </w:rPr>
                    <w:t>.</w:t>
                  </w:r>
                  <w:r>
                    <w:rPr>
                      <w:rFonts w:hint="eastAsia"/>
                      <w:sz w:val="21"/>
                      <w:szCs w:val="21"/>
                    </w:rPr>
                    <w:t>项目</w:t>
                  </w:r>
                  <w:r>
                    <w:rPr>
                      <w:sz w:val="21"/>
                      <w:szCs w:val="21"/>
                    </w:rPr>
                    <w:t>厂区所有地面完成硬化，</w:t>
                  </w:r>
                  <w:r>
                    <w:rPr>
                      <w:rFonts w:hint="eastAsia"/>
                      <w:sz w:val="21"/>
                      <w:szCs w:val="21"/>
                    </w:rPr>
                    <w:t>及时清扫降落到地面的灰尘；</w:t>
                  </w:r>
                </w:p>
                <w:p w14:paraId="3B3B7FC2">
                  <w:pPr>
                    <w:adjustRightInd w:val="0"/>
                    <w:snapToGrid w:val="0"/>
                    <w:spacing w:line="240" w:lineRule="auto"/>
                    <w:ind w:firstLine="0" w:firstLineChars="0"/>
                    <w:rPr>
                      <w:rFonts w:hint="eastAsia"/>
                      <w:color w:val="000000" w:themeColor="text1"/>
                      <w:sz w:val="21"/>
                      <w:szCs w:val="21"/>
                      <w14:textFill>
                        <w14:solidFill>
                          <w14:schemeClr w14:val="tx1"/>
                        </w14:solidFill>
                      </w14:textFill>
                    </w:rPr>
                  </w:pPr>
                  <w:r>
                    <w:rPr>
                      <w:rFonts w:hint="eastAsia"/>
                      <w:sz w:val="21"/>
                      <w:szCs w:val="21"/>
                    </w:rPr>
                    <w:t>6</w:t>
                  </w:r>
                  <w:r>
                    <w:rPr>
                      <w:rFonts w:hint="eastAsia"/>
                      <w:sz w:val="21"/>
                      <w:szCs w:val="21"/>
                      <w:lang w:val="en-US" w:eastAsia="zh-CN"/>
                    </w:rPr>
                    <w:t>.</w:t>
                  </w:r>
                  <w:r>
                    <w:rPr>
                      <w:sz w:val="21"/>
                      <w:szCs w:val="21"/>
                    </w:rPr>
                    <w:t>废包装桶、废抹布、废活性炭等</w:t>
                  </w:r>
                  <w:r>
                    <w:rPr>
                      <w:rFonts w:hint="eastAsia"/>
                      <w:sz w:val="21"/>
                      <w:szCs w:val="21"/>
                    </w:rPr>
                    <w:t>危险</w:t>
                  </w:r>
                  <w:r>
                    <w:rPr>
                      <w:sz w:val="21"/>
                      <w:szCs w:val="21"/>
                    </w:rPr>
                    <w:t>废物分类放置于贴有标识的容器内，加盖密封，存放于</w:t>
                  </w:r>
                  <w:r>
                    <w:rPr>
                      <w:rFonts w:hint="eastAsia"/>
                      <w:sz w:val="21"/>
                      <w:szCs w:val="21"/>
                    </w:rPr>
                    <w:t>危险废物暂存间</w:t>
                  </w:r>
                  <w:r>
                    <w:rPr>
                      <w:sz w:val="21"/>
                      <w:szCs w:val="21"/>
                    </w:rPr>
                    <w:t>，</w:t>
                  </w:r>
                  <w:r>
                    <w:rPr>
                      <w:rFonts w:hint="eastAsia"/>
                      <w:sz w:val="21"/>
                      <w:szCs w:val="21"/>
                    </w:rPr>
                    <w:t>危险废物暂存间</w:t>
                  </w:r>
                  <w:r>
                    <w:rPr>
                      <w:sz w:val="21"/>
                      <w:szCs w:val="21"/>
                    </w:rPr>
                    <w:t>废气负压收集引至有机废气处理装置进行处理。</w:t>
                  </w:r>
                </w:p>
              </w:tc>
              <w:tc>
                <w:tcPr>
                  <w:tcW w:w="402" w:type="pct"/>
                  <w:noWrap/>
                  <w:vAlign w:val="center"/>
                </w:tcPr>
                <w:p w14:paraId="71D35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82B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2" w:type="pct"/>
                  <w:vMerge w:val="restart"/>
                  <w:noWrap/>
                  <w:vAlign w:val="center"/>
                </w:tcPr>
                <w:p w14:paraId="7CECF588">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排放限值</w:t>
                  </w:r>
                </w:p>
              </w:tc>
              <w:tc>
                <w:tcPr>
                  <w:tcW w:w="362" w:type="pct"/>
                  <w:noWrap/>
                  <w:vAlign w:val="center"/>
                </w:tcPr>
                <w:p w14:paraId="58EDD8B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锅炉</w:t>
                  </w:r>
                </w:p>
              </w:tc>
              <w:tc>
                <w:tcPr>
                  <w:tcW w:w="2352" w:type="pct"/>
                  <w:noWrap/>
                  <w:vAlign w:val="center"/>
                </w:tcPr>
                <w:p w14:paraId="3E949D7A">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1.锅炉烟气 PM、SO</w:t>
                  </w:r>
                  <w:r>
                    <w:rPr>
                      <w:color w:val="000000" w:themeColor="text1"/>
                      <w:sz w:val="21"/>
                      <w:szCs w:val="21"/>
                      <w:vertAlign w:val="subscript"/>
                      <w14:textFill>
                        <w14:solidFill>
                          <w14:schemeClr w14:val="tx1"/>
                        </w14:solidFill>
                      </w14:textFill>
                    </w:rPr>
                    <w:t>2</w:t>
                  </w:r>
                  <w:r>
                    <w:rPr>
                      <w:color w:val="000000" w:themeColor="text1"/>
                      <w:sz w:val="21"/>
                      <w:szCs w:val="21"/>
                      <w14:textFill>
                        <w14:solidFill>
                          <w14:schemeClr w14:val="tx1"/>
                        </w14:solidFill>
                      </w14:textFill>
                    </w:rPr>
                    <w:t>、NOx 排放限值要求：</w:t>
                  </w:r>
                </w:p>
                <w:p w14:paraId="1B53E8B9">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燃气：5、10、50/30【4】mg/m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；燃油：10、20、80mg/m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；燃煤/生物质：10、35、50mg/m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。（基准氧含量：燃气/燃油 3.5%，燃煤/生物质 9%）；</w:t>
                  </w:r>
                </w:p>
                <w:p w14:paraId="3430EE1D">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2.氨逃逸排放浓度不高于 8mg/m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（使用氨水、尿素作还原剂）。</w:t>
                  </w:r>
                </w:p>
              </w:tc>
              <w:tc>
                <w:tcPr>
                  <w:tcW w:w="2662" w:type="dxa"/>
                  <w:noWrap/>
                  <w:vAlign w:val="center"/>
                </w:tcPr>
                <w:p w14:paraId="2A320B29">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w:t>
                  </w:r>
                  <w:r>
                    <w:rPr>
                      <w:rFonts w:hint="eastAsia"/>
                      <w:color w:val="000000" w:themeColor="text1"/>
                      <w:sz w:val="21"/>
                      <w:szCs w:val="21"/>
                      <w:lang w:eastAsia="zh-CN"/>
                      <w14:textFill>
                        <w14:solidFill>
                          <w14:schemeClr w14:val="tx1"/>
                        </w14:solidFill>
                      </w14:textFill>
                    </w:rPr>
                    <w:t>不涉及锅炉建设</w:t>
                  </w:r>
                  <w:r>
                    <w:rPr>
                      <w:rFonts w:hint="eastAsia"/>
                      <w:color w:val="000000" w:themeColor="text1"/>
                      <w:sz w:val="21"/>
                      <w:szCs w:val="21"/>
                      <w14:textFill>
                        <w14:solidFill>
                          <w14:schemeClr w14:val="tx1"/>
                        </w14:solidFill>
                      </w14:textFill>
                    </w:rPr>
                    <w:t>。</w:t>
                  </w:r>
                </w:p>
              </w:tc>
              <w:tc>
                <w:tcPr>
                  <w:tcW w:w="402" w:type="pct"/>
                  <w:noWrap/>
                  <w:vAlign w:val="center"/>
                </w:tcPr>
                <w:p w14:paraId="7269D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3D74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2" w:type="pct"/>
                  <w:vMerge w:val="continue"/>
                  <w:noWrap/>
                  <w:vAlign w:val="center"/>
                </w:tcPr>
                <w:p w14:paraId="0F347CF6">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62" w:type="pct"/>
                  <w:noWrap/>
                  <w:vAlign w:val="center"/>
                </w:tcPr>
                <w:p w14:paraId="723DB525">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热 处 理</w:t>
                  </w:r>
                </w:p>
                <w:p w14:paraId="0A83A3EC">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炉 、 干</w:t>
                  </w:r>
                </w:p>
                <w:p w14:paraId="7C066D0B">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燥炉窑</w:t>
                  </w:r>
                </w:p>
              </w:tc>
              <w:tc>
                <w:tcPr>
                  <w:tcW w:w="2352" w:type="pct"/>
                  <w:noWrap/>
                  <w:vAlign w:val="center"/>
                </w:tcPr>
                <w:p w14:paraId="3F39D4FA">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电窑：</w:t>
                  </w:r>
                </w:p>
                <w:p w14:paraId="4B329CB2">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 排放浓度不高于 10mg/m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（按实测</w:t>
                  </w:r>
                </w:p>
                <w:p w14:paraId="4C0B626C">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浓度计）；</w:t>
                  </w:r>
                </w:p>
                <w:p w14:paraId="20B1AE0B">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燃气炉窑：</w:t>
                  </w:r>
                </w:p>
                <w:p w14:paraId="3FC1BB06">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PM、SO2、NOx 排放浓度分别不高于 10、</w:t>
                  </w:r>
                </w:p>
                <w:p w14:paraId="487FD4D7">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35、50mg/m</w:t>
                  </w:r>
                  <w:r>
                    <w:rPr>
                      <w:color w:val="000000" w:themeColor="text1"/>
                      <w:sz w:val="21"/>
                      <w:szCs w:val="21"/>
                      <w:vertAlign w:val="superscript"/>
                      <w14:textFill>
                        <w14:solidFill>
                          <w14:schemeClr w14:val="tx1"/>
                        </w14:solidFill>
                      </w14:textFill>
                    </w:rPr>
                    <w:t>3</w:t>
                  </w:r>
                </w:p>
                <w:p w14:paraId="1014C228">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（基准氧含量：燃气 3.5%，因工艺需要</w:t>
                  </w:r>
                </w:p>
                <w:p w14:paraId="0EE801E2">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掺入空气/非密闭式生产的按实测浓度</w:t>
                  </w:r>
                </w:p>
                <w:p w14:paraId="535DBE4D">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计）。</w:t>
                  </w:r>
                </w:p>
              </w:tc>
              <w:tc>
                <w:tcPr>
                  <w:tcW w:w="2662" w:type="dxa"/>
                  <w:noWrap/>
                  <w:vAlign w:val="center"/>
                </w:tcPr>
                <w:p w14:paraId="233FA1A0">
                  <w:pPr>
                    <w:adjustRightInd w:val="0"/>
                    <w:snapToGrid w:val="0"/>
                    <w:spacing w:line="240" w:lineRule="auto"/>
                    <w:ind w:firstLine="0" w:firstLineChars="0"/>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项目不涉及炉窑建设。</w:t>
                  </w:r>
                </w:p>
              </w:tc>
              <w:tc>
                <w:tcPr>
                  <w:tcW w:w="402" w:type="pct"/>
                  <w:noWrap/>
                  <w:vAlign w:val="center"/>
                </w:tcPr>
                <w:p w14:paraId="6B5ABB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不涉及</w:t>
                  </w:r>
                </w:p>
              </w:tc>
            </w:tr>
            <w:tr w14:paraId="60EE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2" w:type="pct"/>
                  <w:vMerge w:val="continue"/>
                  <w:noWrap/>
                  <w:vAlign w:val="center"/>
                </w:tcPr>
                <w:p w14:paraId="2AF47549">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62" w:type="pct"/>
                  <w:shd w:val="clear" w:color="auto" w:fill="auto"/>
                  <w:noWrap/>
                  <w:vAlign w:val="center"/>
                </w:tcPr>
                <w:p w14:paraId="22799F3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印 花 、</w:t>
                  </w:r>
                </w:p>
                <w:p w14:paraId="78A0CDFF">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定 型 、</w:t>
                  </w:r>
                </w:p>
                <w:p w14:paraId="25E13A60">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涂层</w:t>
                  </w:r>
                </w:p>
              </w:tc>
              <w:tc>
                <w:tcPr>
                  <w:tcW w:w="2352" w:type="pct"/>
                  <w:shd w:val="clear" w:color="auto" w:fill="auto"/>
                  <w:noWrap/>
                  <w:vAlign w:val="center"/>
                </w:tcPr>
                <w:p w14:paraId="1A551106">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NMHC排放浓度不高于 40mg/m</w:t>
                  </w:r>
                  <w:r>
                    <w:rPr>
                      <w:color w:val="000000" w:themeColor="text1"/>
                      <w:sz w:val="21"/>
                      <w:szCs w:val="21"/>
                      <w:vertAlign w:val="superscript"/>
                      <w14:textFill>
                        <w14:solidFill>
                          <w14:schemeClr w14:val="tx1"/>
                        </w14:solidFill>
                      </w14:textFill>
                    </w:rPr>
                    <w:t>3</w:t>
                  </w:r>
                </w:p>
              </w:tc>
              <w:tc>
                <w:tcPr>
                  <w:tcW w:w="2662" w:type="dxa"/>
                  <w:noWrap/>
                  <w:vAlign w:val="center"/>
                </w:tcPr>
                <w:p w14:paraId="3703467D">
                  <w:pPr>
                    <w:adjustRightInd w:val="0"/>
                    <w:snapToGrid w:val="0"/>
                    <w:spacing w:line="240" w:lineRule="auto"/>
                    <w:ind w:firstLine="0"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w:t>
                  </w:r>
                  <w:r>
                    <w:rPr>
                      <w:color w:val="000000" w:themeColor="text1"/>
                      <w:sz w:val="21"/>
                      <w:szCs w:val="21"/>
                      <w14:textFill>
                        <w14:solidFill>
                          <w14:schemeClr w14:val="tx1"/>
                        </w14:solidFill>
                      </w14:textFill>
                    </w:rPr>
                    <w:t>NMHC排放浓度</w:t>
                  </w:r>
                  <w:r>
                    <w:rPr>
                      <w:rFonts w:hint="eastAsia"/>
                      <w:color w:val="000000" w:themeColor="text1"/>
                      <w:sz w:val="21"/>
                      <w:szCs w:val="21"/>
                      <w:lang w:eastAsia="zh-CN"/>
                      <w14:textFill>
                        <w14:solidFill>
                          <w14:schemeClr w14:val="tx1"/>
                        </w14:solidFill>
                      </w14:textFill>
                    </w:rPr>
                    <w:t>为</w:t>
                  </w:r>
                  <w:r>
                    <w:rPr>
                      <w:rFonts w:hint="eastAsia"/>
                      <w:color w:val="000000" w:themeColor="text1"/>
                      <w:sz w:val="21"/>
                      <w:szCs w:val="21"/>
                      <w:highlight w:val="none"/>
                      <w:lang w:val="en-US" w:eastAsia="zh-CN"/>
                      <w14:textFill>
                        <w14:solidFill>
                          <w14:schemeClr w14:val="tx1"/>
                        </w14:solidFill>
                      </w14:textFill>
                    </w:rPr>
                    <w:t>0.39</w:t>
                  </w:r>
                  <w:r>
                    <w:rPr>
                      <w:color w:val="000000" w:themeColor="text1"/>
                      <w:sz w:val="21"/>
                      <w:szCs w:val="21"/>
                      <w:highlight w:val="none"/>
                      <w14:textFill>
                        <w14:solidFill>
                          <w14:schemeClr w14:val="tx1"/>
                        </w14:solidFill>
                      </w14:textFill>
                    </w:rPr>
                    <w:t>mg/m</w:t>
                  </w:r>
                  <w:r>
                    <w:rPr>
                      <w:color w:val="000000" w:themeColor="text1"/>
                      <w:sz w:val="21"/>
                      <w:szCs w:val="21"/>
                      <w:highlight w:val="none"/>
                      <w:vertAlign w:val="superscript"/>
                      <w14:textFill>
                        <w14:solidFill>
                          <w14:schemeClr w14:val="tx1"/>
                        </w14:solidFill>
                      </w14:textFill>
                    </w:rPr>
                    <w:t>3</w:t>
                  </w:r>
                  <w:r>
                    <w:rPr>
                      <w:rFonts w:hint="eastAsia"/>
                      <w:color w:val="000000" w:themeColor="text1"/>
                      <w:sz w:val="21"/>
                      <w:szCs w:val="21"/>
                      <w:vertAlign w:val="baseline"/>
                      <w:lang w:eastAsia="zh-CN"/>
                      <w14:textFill>
                        <w14:solidFill>
                          <w14:schemeClr w14:val="tx1"/>
                        </w14:solidFill>
                      </w14:textFill>
                    </w:rPr>
                    <w:t>，</w:t>
                  </w:r>
                  <w:r>
                    <w:rPr>
                      <w:rFonts w:hint="eastAsia"/>
                      <w:color w:val="000000" w:themeColor="text1"/>
                      <w:sz w:val="21"/>
                      <w:szCs w:val="21"/>
                      <w14:textFill>
                        <w14:solidFill>
                          <w14:schemeClr w14:val="tx1"/>
                        </w14:solidFill>
                      </w14:textFill>
                    </w:rPr>
                    <w:t>满足</w:t>
                  </w:r>
                  <w:r>
                    <w:rPr>
                      <w:color w:val="000000" w:themeColor="text1"/>
                      <w:sz w:val="21"/>
                      <w:szCs w:val="21"/>
                      <w14:textFill>
                        <w14:solidFill>
                          <w14:schemeClr w14:val="tx1"/>
                        </w14:solidFill>
                      </w14:textFill>
                    </w:rPr>
                    <w:t>排放限值要求</w:t>
                  </w:r>
                  <w:r>
                    <w:rPr>
                      <w:rFonts w:hint="eastAsia"/>
                      <w:color w:val="000000" w:themeColor="text1"/>
                      <w:sz w:val="21"/>
                      <w:szCs w:val="21"/>
                      <w14:textFill>
                        <w14:solidFill>
                          <w14:schemeClr w14:val="tx1"/>
                        </w14:solidFill>
                      </w14:textFill>
                    </w:rPr>
                    <w:t>。</w:t>
                  </w:r>
                </w:p>
              </w:tc>
              <w:tc>
                <w:tcPr>
                  <w:tcW w:w="402" w:type="pct"/>
                  <w:noWrap/>
                  <w:vAlign w:val="center"/>
                </w:tcPr>
                <w:p w14:paraId="6AFB77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相符</w:t>
                  </w:r>
                </w:p>
              </w:tc>
            </w:tr>
            <w:tr w14:paraId="3467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2" w:type="pct"/>
                  <w:vMerge w:val="continue"/>
                  <w:noWrap/>
                  <w:vAlign w:val="center"/>
                </w:tcPr>
                <w:p w14:paraId="2D896BD5">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362" w:type="pct"/>
                  <w:noWrap/>
                  <w:vAlign w:val="center"/>
                </w:tcPr>
                <w:p w14:paraId="2690FD12">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其他</w:t>
                  </w:r>
                </w:p>
              </w:tc>
              <w:tc>
                <w:tcPr>
                  <w:tcW w:w="2352" w:type="pct"/>
                  <w:noWrap/>
                  <w:vAlign w:val="center"/>
                </w:tcPr>
                <w:p w14:paraId="183E460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1.满足《挥发性有机物无组织排放控制标准》（GB 37822-2019）特别控制要求；</w:t>
                  </w:r>
                </w:p>
                <w:p w14:paraId="06B8CECF">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2.各生产工序 PM 有组织排放限值要求：10mg/m3；</w:t>
                  </w:r>
                </w:p>
                <w:p w14:paraId="7A7CA17F">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3.厂界1h NMHC 排放限值要求：2mg/m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w:t>
                  </w:r>
                </w:p>
              </w:tc>
              <w:tc>
                <w:tcPr>
                  <w:tcW w:w="1520" w:type="pct"/>
                  <w:noWrap/>
                  <w:vAlign w:val="center"/>
                </w:tcPr>
                <w:p w14:paraId="3FE48D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项目满足</w:t>
                  </w:r>
                  <w:r>
                    <w:rPr>
                      <w:color w:val="000000" w:themeColor="text1"/>
                      <w:sz w:val="21"/>
                      <w:szCs w:val="21"/>
                      <w14:textFill>
                        <w14:solidFill>
                          <w14:schemeClr w14:val="tx1"/>
                        </w14:solidFill>
                      </w14:textFill>
                    </w:rPr>
                    <w:t>《挥发性有机物无组织排放控制标准》（GB 37822-2019）特别控制要求</w:t>
                  </w:r>
                  <w:r>
                    <w:rPr>
                      <w:rFonts w:hint="eastAsia"/>
                      <w:color w:val="000000" w:themeColor="text1"/>
                      <w:sz w:val="21"/>
                      <w:szCs w:val="21"/>
                      <w14:textFill>
                        <w14:solidFill>
                          <w14:schemeClr w14:val="tx1"/>
                        </w14:solidFill>
                      </w14:textFill>
                    </w:rPr>
                    <w:t>。</w:t>
                  </w:r>
                </w:p>
                <w:p w14:paraId="50D6AB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厂界</w:t>
                  </w:r>
                  <w:r>
                    <w:rPr>
                      <w:color w:val="000000" w:themeColor="text1"/>
                      <w:sz w:val="21"/>
                      <w:szCs w:val="21"/>
                      <w14:textFill>
                        <w14:solidFill>
                          <w14:schemeClr w14:val="tx1"/>
                        </w14:solidFill>
                      </w14:textFill>
                    </w:rPr>
                    <w:t>1h NMHC 排放限值</w:t>
                  </w:r>
                  <w:r>
                    <w:rPr>
                      <w:rFonts w:hint="eastAsia"/>
                      <w:color w:val="000000" w:themeColor="text1"/>
                      <w:sz w:val="21"/>
                      <w:szCs w:val="21"/>
                      <w14:textFill>
                        <w14:solidFill>
                          <w14:schemeClr w14:val="tx1"/>
                        </w14:solidFill>
                      </w14:textFill>
                    </w:rPr>
                    <w:t>小于</w:t>
                  </w:r>
                  <w:r>
                    <w:rPr>
                      <w:color w:val="000000" w:themeColor="text1"/>
                      <w:sz w:val="21"/>
                      <w:szCs w:val="21"/>
                      <w14:textFill>
                        <w14:solidFill>
                          <w14:schemeClr w14:val="tx1"/>
                        </w14:solidFill>
                      </w14:textFill>
                    </w:rPr>
                    <w:t>2mg/m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要求</w:t>
                  </w:r>
                  <w:r>
                    <w:rPr>
                      <w:rFonts w:hint="eastAsia"/>
                      <w:color w:val="000000" w:themeColor="text1"/>
                      <w:sz w:val="21"/>
                      <w:szCs w:val="21"/>
                      <w14:textFill>
                        <w14:solidFill>
                          <w14:schemeClr w14:val="tx1"/>
                        </w14:solidFill>
                      </w14:textFill>
                    </w:rPr>
                    <w:t>。</w:t>
                  </w:r>
                </w:p>
              </w:tc>
              <w:tc>
                <w:tcPr>
                  <w:tcW w:w="402" w:type="pct"/>
                  <w:noWrap/>
                  <w:vAlign w:val="center"/>
                </w:tcPr>
                <w:p w14:paraId="0F0C2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相符</w:t>
                  </w:r>
                </w:p>
              </w:tc>
            </w:tr>
            <w:tr w14:paraId="6989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37E5DCD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监测监控水平</w:t>
                  </w:r>
                </w:p>
              </w:tc>
              <w:tc>
                <w:tcPr>
                  <w:tcW w:w="2352" w:type="pct"/>
                  <w:noWrap/>
                  <w:vAlign w:val="center"/>
                </w:tcPr>
                <w:p w14:paraId="44690C1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1.有组织排放口按排污许可、环境影响评价或环境现状评估等要求安装烟气排放自动监控设施（CEMS），并按要求与省厅联网；重点排污单位风量大于 10000m3/h 的主要排放口安装 NMHC 在线监测设施（FID 检测器）并按要求与省厅联网；其他企业 NMHC初始排放速率大于2kg/h 且排放</w:t>
                  </w:r>
                </w:p>
                <w:p w14:paraId="1525782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口风量大于20000m</w:t>
                  </w:r>
                  <w:r>
                    <w:rPr>
                      <w:color w:val="000000" w:themeColor="text1"/>
                      <w:sz w:val="21"/>
                      <w:szCs w:val="21"/>
                      <w:vertAlign w:val="superscript"/>
                      <w14:textFill>
                        <w14:solidFill>
                          <w14:schemeClr w14:val="tx1"/>
                        </w14:solidFill>
                      </w14:textFill>
                    </w:rPr>
                    <w:t>3</w:t>
                  </w:r>
                  <w:r>
                    <w:rPr>
                      <w:color w:val="000000" w:themeColor="text1"/>
                      <w:sz w:val="21"/>
                      <w:szCs w:val="21"/>
                      <w14:textFill>
                        <w14:solidFill>
                          <w14:schemeClr w14:val="tx1"/>
                        </w14:solidFill>
                      </w14:textFill>
                    </w:rPr>
                    <w:t>/h的废气排放口安装 NMHC在线监测设施（FID 检测器），并按要求与省厅联网；在线监测数据至少保存最近12个月的1分钟均值、36 个月的1小时均值及60个月的日均值和月均值。（投产或安装时间不满一年以上的企业，以现有数据为准）；</w:t>
                  </w:r>
                </w:p>
                <w:p w14:paraId="40D26A4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2.按生态环境部门要求规范设置废气排放口标志牌、二维码标识和采样平台、采样孔；各废气排放口按照排污许可要求开展自行监测；</w:t>
                  </w:r>
                </w:p>
                <w:p w14:paraId="0687EEB4">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3.厂内未安装在线监控的涉气生产设施主要投料口安装高清视频监控系统，视频监控数据保存6个月以上。</w:t>
                  </w:r>
                </w:p>
              </w:tc>
              <w:tc>
                <w:tcPr>
                  <w:tcW w:w="1520" w:type="pct"/>
                  <w:noWrap/>
                  <w:vAlign w:val="center"/>
                </w:tcPr>
                <w:p w14:paraId="17182E05">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1.本项目建设完成后</w:t>
                  </w:r>
                  <w:r>
                    <w:rPr>
                      <w:rFonts w:hint="eastAsia"/>
                      <w:color w:val="000000" w:themeColor="text1"/>
                      <w:sz w:val="21"/>
                      <w:szCs w:val="21"/>
                      <w14:textFill>
                        <w14:solidFill>
                          <w14:schemeClr w14:val="tx1"/>
                        </w14:solidFill>
                      </w14:textFill>
                    </w:rPr>
                    <w:t>，废气</w:t>
                  </w:r>
                  <w:r>
                    <w:rPr>
                      <w:color w:val="000000" w:themeColor="text1"/>
                      <w:sz w:val="21"/>
                      <w:szCs w:val="21"/>
                      <w14:textFill>
                        <w14:solidFill>
                          <w14:schemeClr w14:val="tx1"/>
                        </w14:solidFill>
                      </w14:textFill>
                    </w:rPr>
                    <w:t>排放口</w:t>
                  </w:r>
                  <w:r>
                    <w:rPr>
                      <w:rFonts w:hint="eastAsia"/>
                      <w:color w:val="000000" w:themeColor="text1"/>
                      <w:sz w:val="21"/>
                      <w:szCs w:val="21"/>
                      <w14:textFill>
                        <w14:solidFill>
                          <w14:schemeClr w14:val="tx1"/>
                        </w14:solidFill>
                      </w14:textFill>
                    </w:rPr>
                    <w:t xml:space="preserve">将按照《排污许可证申请与核发技术规范  </w:t>
                  </w:r>
                  <w:r>
                    <w:rPr>
                      <w:color w:val="000000" w:themeColor="text1"/>
                      <w:sz w:val="21"/>
                      <w:szCs w:val="21"/>
                      <w14:textFill>
                        <w14:solidFill>
                          <w14:schemeClr w14:val="tx1"/>
                        </w14:solidFill>
                      </w14:textFill>
                    </w:rPr>
                    <w:t>纺织印染工业</w:t>
                  </w:r>
                  <w:r>
                    <w:rPr>
                      <w:rFonts w:hint="eastAsia"/>
                      <w:color w:val="000000" w:themeColor="text1"/>
                      <w:sz w:val="21"/>
                      <w:szCs w:val="21"/>
                      <w14:textFill>
                        <w14:solidFill>
                          <w14:schemeClr w14:val="tx1"/>
                        </w14:solidFill>
                      </w14:textFill>
                    </w:rPr>
                    <w:t>》</w:t>
                  </w:r>
                  <w:r>
                    <w:rPr>
                      <w:rFonts w:hint="eastAsia"/>
                      <w:color w:val="000000" w:themeColor="text1"/>
                      <w:sz w:val="21"/>
                      <w:szCs w:val="21"/>
                      <w:lang w:eastAsia="zh-CN"/>
                      <w14:textFill>
                        <w14:solidFill>
                          <w14:schemeClr w14:val="tx1"/>
                        </w14:solidFill>
                      </w14:textFill>
                    </w:rPr>
                    <w:t>要求建设安装烟气排放自动监控设施（CEMS），并按要求与省厅联网，项目不属于重点企业，产生浓度小于</w:t>
                  </w:r>
                  <w:r>
                    <w:rPr>
                      <w:color w:val="000000" w:themeColor="text1"/>
                      <w:sz w:val="21"/>
                      <w:szCs w:val="21"/>
                      <w14:textFill>
                        <w14:solidFill>
                          <w14:schemeClr w14:val="tx1"/>
                        </w14:solidFill>
                      </w14:textFill>
                    </w:rPr>
                    <w:t>2kg/h；</w:t>
                  </w:r>
                </w:p>
                <w:p w14:paraId="4872C89B">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2.本项目建设完成后按生态环境部门要求规范设置废气排放口标志牌、二维码标识和采样平台、采样孔</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各废气排放口按照排污许可要求开展自行监测</w:t>
                  </w:r>
                  <w:r>
                    <w:rPr>
                      <w:rFonts w:hint="eastAsia"/>
                      <w:color w:val="000000" w:themeColor="text1"/>
                      <w:sz w:val="21"/>
                      <w:szCs w:val="21"/>
                      <w14:textFill>
                        <w14:solidFill>
                          <w14:schemeClr w14:val="tx1"/>
                        </w14:solidFill>
                      </w14:textFill>
                    </w:rPr>
                    <w:t>；</w:t>
                  </w:r>
                </w:p>
                <w:p w14:paraId="5A397C7A">
                  <w:pPr>
                    <w:adjustRightInd w:val="0"/>
                    <w:snapToGrid w:val="0"/>
                    <w:spacing w:line="240" w:lineRule="auto"/>
                    <w:ind w:firstLine="0"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 xml:space="preserve">. </w:t>
                  </w:r>
                  <w:r>
                    <w:rPr>
                      <w:rFonts w:hint="eastAsia"/>
                      <w:color w:val="000000" w:themeColor="text1"/>
                      <w:sz w:val="21"/>
                      <w:szCs w:val="21"/>
                      <w14:textFill>
                        <w14:solidFill>
                          <w14:schemeClr w14:val="tx1"/>
                        </w14:solidFill>
                      </w14:textFill>
                    </w:rPr>
                    <w:t>项目</w:t>
                  </w:r>
                  <w:r>
                    <w:rPr>
                      <w:color w:val="000000" w:themeColor="text1"/>
                      <w:sz w:val="21"/>
                      <w:szCs w:val="21"/>
                      <w14:textFill>
                        <w14:solidFill>
                          <w14:schemeClr w14:val="tx1"/>
                        </w14:solidFill>
                      </w14:textFill>
                    </w:rPr>
                    <w:t>厂内未安装在线监控的涉气生产设施主要投料口安装高清视频监控系统，视频监控数据保存6个月以上。</w:t>
                  </w:r>
                </w:p>
              </w:tc>
              <w:tc>
                <w:tcPr>
                  <w:tcW w:w="402" w:type="pct"/>
                  <w:noWrap/>
                  <w:vAlign w:val="center"/>
                </w:tcPr>
                <w:p w14:paraId="72E169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3C4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4" w:type="pct"/>
                  <w:vMerge w:val="restart"/>
                  <w:noWrap/>
                  <w:vAlign w:val="center"/>
                </w:tcPr>
                <w:p w14:paraId="0F2ACFB4">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环境管理</w:t>
                  </w:r>
                </w:p>
                <w:p w14:paraId="5086EE79">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水平</w:t>
                  </w:r>
                </w:p>
                <w:p w14:paraId="340559F5">
                  <w:pPr>
                    <w:adjustRightInd w:val="0"/>
                    <w:snapToGrid w:val="0"/>
                    <w:spacing w:line="240" w:lineRule="auto"/>
                    <w:ind w:firstLine="0" w:firstLineChars="0"/>
                    <w:jc w:val="left"/>
                    <w:rPr>
                      <w:color w:val="000000" w:themeColor="text1"/>
                      <w:sz w:val="21"/>
                      <w:szCs w:val="21"/>
                      <w14:textFill>
                        <w14:solidFill>
                          <w14:schemeClr w14:val="tx1"/>
                        </w14:solidFill>
                      </w14:textFill>
                    </w:rPr>
                  </w:pPr>
                </w:p>
              </w:tc>
              <w:tc>
                <w:tcPr>
                  <w:tcW w:w="360" w:type="pct"/>
                  <w:noWrap/>
                  <w:vAlign w:val="center"/>
                </w:tcPr>
                <w:p w14:paraId="42166AB1">
                  <w:pPr>
                    <w:spacing w:line="240" w:lineRule="auto"/>
                    <w:ind w:firstLine="0" w:firstLineChars="0"/>
                    <w:jc w:val="center"/>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环保档案</w:t>
                  </w:r>
                </w:p>
              </w:tc>
              <w:tc>
                <w:tcPr>
                  <w:tcW w:w="2352" w:type="pct"/>
                  <w:noWrap/>
                  <w:vAlign w:val="center"/>
                </w:tcPr>
                <w:p w14:paraId="288ED7E3">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环评批复文件和竣工环保验收文件或环境现状评估备案证明；</w:t>
                  </w:r>
                </w:p>
                <w:p w14:paraId="035E7314">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国家版排污许可证；</w:t>
                  </w:r>
                </w:p>
                <w:p w14:paraId="7B6F9DC2">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 xml:space="preserve">环境管理制度（有组织、无组织排放长效管理机制，主要包括日常操作规程、岗位责任制度、污染物排放公示制度和定期巡查维护制度等）； </w:t>
                  </w:r>
                </w:p>
                <w:p w14:paraId="3588827C">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废气污染治理设施稳定运行管理规程；</w:t>
                  </w:r>
                </w:p>
                <w:p w14:paraId="1A0BB97A">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一年内废气监测报告（符合排污许可证监测项目及频次要求）。</w:t>
                  </w:r>
                </w:p>
              </w:tc>
              <w:tc>
                <w:tcPr>
                  <w:tcW w:w="2662" w:type="dxa"/>
                  <w:noWrap/>
                  <w:vAlign w:val="center"/>
                </w:tcPr>
                <w:p w14:paraId="6C1C6A38">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1.项目环评批复文件</w:t>
                  </w:r>
                  <w:r>
                    <w:rPr>
                      <w:rFonts w:hint="eastAsia"/>
                      <w:color w:val="000000" w:themeColor="text1"/>
                      <w:sz w:val="21"/>
                      <w:szCs w:val="21"/>
                      <w14:textFill>
                        <w14:solidFill>
                          <w14:schemeClr w14:val="tx1"/>
                        </w14:solidFill>
                      </w14:textFill>
                    </w:rPr>
                    <w:t>按</w:t>
                  </w:r>
                  <w:r>
                    <w:rPr>
                      <w:color w:val="000000" w:themeColor="text1"/>
                      <w:sz w:val="21"/>
                      <w:szCs w:val="21"/>
                      <w14:textFill>
                        <w14:solidFill>
                          <w14:schemeClr w14:val="tx1"/>
                        </w14:solidFill>
                      </w14:textFill>
                    </w:rPr>
                    <w:t>要求存档备查；</w:t>
                  </w:r>
                </w:p>
                <w:p w14:paraId="2470CD6B">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建成后</w:t>
                  </w:r>
                  <w:r>
                    <w:rPr>
                      <w:color w:val="000000" w:themeColor="text1"/>
                      <w:sz w:val="21"/>
                      <w:szCs w:val="21"/>
                      <w14:textFill>
                        <w14:solidFill>
                          <w14:schemeClr w14:val="tx1"/>
                        </w14:solidFill>
                      </w14:textFill>
                    </w:rPr>
                    <w:t>将按照要求完成排污许可证</w:t>
                  </w:r>
                  <w:r>
                    <w:rPr>
                      <w:rFonts w:hint="eastAsia"/>
                      <w:color w:val="000000" w:themeColor="text1"/>
                      <w:sz w:val="21"/>
                      <w:szCs w:val="21"/>
                      <w:lang w:eastAsia="zh-CN"/>
                      <w14:textFill>
                        <w14:solidFill>
                          <w14:schemeClr w14:val="tx1"/>
                        </w14:solidFill>
                      </w14:textFill>
                    </w:rPr>
                    <w:t>填报</w:t>
                  </w:r>
                  <w:r>
                    <w:rPr>
                      <w:color w:val="000000" w:themeColor="text1"/>
                      <w:sz w:val="21"/>
                      <w:szCs w:val="21"/>
                      <w14:textFill>
                        <w14:solidFill>
                          <w14:schemeClr w14:val="tx1"/>
                        </w14:solidFill>
                      </w14:textFill>
                    </w:rPr>
                    <w:t>；</w:t>
                  </w:r>
                </w:p>
                <w:p w14:paraId="4F15BAE8">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3.建立环境管理制度；</w:t>
                  </w:r>
                </w:p>
                <w:p w14:paraId="5596ABAF">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4.制定废气治理设施运行管理规程；</w:t>
                  </w:r>
                </w:p>
                <w:p w14:paraId="29545718">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5.对一年内废气监测报告存档备查。</w:t>
                  </w:r>
                </w:p>
              </w:tc>
              <w:tc>
                <w:tcPr>
                  <w:tcW w:w="402" w:type="pct"/>
                  <w:noWrap/>
                  <w:vAlign w:val="center"/>
                </w:tcPr>
                <w:p w14:paraId="23D911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相符</w:t>
                  </w:r>
                </w:p>
              </w:tc>
            </w:tr>
            <w:tr w14:paraId="1751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4" w:type="pct"/>
                  <w:vMerge w:val="continue"/>
                  <w:noWrap/>
                  <w:vAlign w:val="center"/>
                </w:tcPr>
                <w:p w14:paraId="06884A7B">
                  <w:pPr>
                    <w:adjustRightInd w:val="0"/>
                    <w:snapToGrid w:val="0"/>
                    <w:spacing w:line="240" w:lineRule="auto"/>
                    <w:ind w:firstLine="0" w:firstLineChars="0"/>
                    <w:jc w:val="left"/>
                    <w:rPr>
                      <w:color w:val="000000" w:themeColor="text1"/>
                      <w:sz w:val="21"/>
                      <w:szCs w:val="21"/>
                      <w14:textFill>
                        <w14:solidFill>
                          <w14:schemeClr w14:val="tx1"/>
                        </w14:solidFill>
                      </w14:textFill>
                    </w:rPr>
                  </w:pPr>
                </w:p>
              </w:tc>
              <w:tc>
                <w:tcPr>
                  <w:tcW w:w="360" w:type="pct"/>
                  <w:noWrap/>
                  <w:vAlign w:val="center"/>
                </w:tcPr>
                <w:p w14:paraId="25C9DB87">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台账记录</w:t>
                  </w:r>
                </w:p>
              </w:tc>
              <w:tc>
                <w:tcPr>
                  <w:tcW w:w="2352" w:type="pct"/>
                  <w:noWrap/>
                  <w:vAlign w:val="center"/>
                </w:tcPr>
                <w:p w14:paraId="052356BB">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 xml:space="preserve">生产设施运行管理信息（生产时间、运行负荷、产品产量等）； </w:t>
                  </w:r>
                </w:p>
                <w:p w14:paraId="45195FAA">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 xml:space="preserve">废气污染治理设施运行、维护、管理信息（包括但不限于废气收集系统和污染治理设施的名称规格、设计参数、运行参数、巡检记录、污染治理易耗品与药剂用量（吸附剂、催化剂、脱硫剂、脱硝剂、过滤耗材等）、操作记录以及维护记录、运行要求等）； </w:t>
                  </w:r>
                </w:p>
                <w:p w14:paraId="2A8D052E">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 xml:space="preserve">监测记录信息（主要污染排放口废气排放记录等）； </w:t>
                  </w:r>
                </w:p>
                <w:p w14:paraId="2A6CF99C">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 xml:space="preserve">主要原辅材料消耗记录； </w:t>
                  </w:r>
                </w:p>
                <w:p w14:paraId="7F1D3274">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 xml:space="preserve">燃料消耗记录； </w:t>
                  </w:r>
                </w:p>
                <w:p w14:paraId="4E2C34BF">
                  <w:pPr>
                    <w:adjustRightInd w:val="0"/>
                    <w:snapToGrid w:val="0"/>
                    <w:spacing w:line="240" w:lineRule="auto"/>
                    <w:ind w:firstLine="0" w:firstLineChars="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r>
                    <w:rPr>
                      <w:rFonts w:hint="eastAsia"/>
                      <w:color w:val="000000" w:themeColor="text1"/>
                      <w:sz w:val="21"/>
                      <w:szCs w:val="21"/>
                      <w14:textFill>
                        <w14:solidFill>
                          <w14:schemeClr w14:val="tx1"/>
                        </w14:solidFill>
                      </w14:textFill>
                    </w:rPr>
                    <w:t>固废、危废暂存、处理记录；</w:t>
                  </w:r>
                </w:p>
                <w:p w14:paraId="320D2630">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7.运输车辆、厂内车辆、非道路移动机械电子台账（进出场时间、车辆或机械信息、运送货物名称及运量等）</w:t>
                  </w:r>
                </w:p>
              </w:tc>
              <w:tc>
                <w:tcPr>
                  <w:tcW w:w="2662" w:type="dxa"/>
                  <w:noWrap/>
                  <w:vAlign w:val="top"/>
                </w:tcPr>
                <w:p w14:paraId="6E03D7C4">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1.要求项目对生产设施运行管理信息（生产时间、运行负荷、产品产量等）进行记录存档，备查；</w:t>
                  </w:r>
                </w:p>
                <w:p w14:paraId="58AC6921">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2.要求项目对废气污染治理设施运行管理信息进行记录存档，备查；</w:t>
                  </w:r>
                </w:p>
                <w:p w14:paraId="52269E39">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3.要求项目对监测记录信息（主要污染排放口废气排放记录等）进行记录存档，备查；</w:t>
                  </w:r>
                </w:p>
                <w:p w14:paraId="7D894421">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4.要求项目对主要原辅材料消耗记录存档，备查；</w:t>
                  </w:r>
                </w:p>
                <w:p w14:paraId="0AFAE8FF">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5.项目不使用燃料；</w:t>
                  </w:r>
                </w:p>
                <w:p w14:paraId="4325E45B">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6.本项目</w:t>
                  </w:r>
                  <w:r>
                    <w:rPr>
                      <w:rFonts w:hint="eastAsia"/>
                      <w:color w:val="000000" w:themeColor="text1"/>
                      <w:sz w:val="21"/>
                      <w:szCs w:val="21"/>
                      <w14:textFill>
                        <w14:solidFill>
                          <w14:schemeClr w14:val="tx1"/>
                        </w14:solidFill>
                      </w14:textFill>
                    </w:rPr>
                    <w:t>按</w:t>
                  </w:r>
                  <w:r>
                    <w:rPr>
                      <w:color w:val="000000" w:themeColor="text1"/>
                      <w:sz w:val="21"/>
                      <w:szCs w:val="21"/>
                      <w14:textFill>
                        <w14:solidFill>
                          <w14:schemeClr w14:val="tx1"/>
                        </w14:solidFill>
                      </w14:textFill>
                    </w:rPr>
                    <w:t>要求对固废、危废处理记录存档，备查。</w:t>
                  </w:r>
                </w:p>
                <w:p w14:paraId="05C65F40">
                  <w:pPr>
                    <w:adjustRightInd w:val="0"/>
                    <w:snapToGrid w:val="0"/>
                    <w:spacing w:line="240" w:lineRule="auto"/>
                    <w:ind w:firstLine="0" w:firstLineChars="0"/>
                    <w:textAlignment w:val="baseline"/>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7.项目按</w:t>
                  </w:r>
                  <w:r>
                    <w:rPr>
                      <w:color w:val="000000" w:themeColor="text1"/>
                      <w:sz w:val="21"/>
                      <w:szCs w:val="21"/>
                      <w14:textFill>
                        <w14:solidFill>
                          <w14:schemeClr w14:val="tx1"/>
                        </w14:solidFill>
                      </w14:textFill>
                    </w:rPr>
                    <w:t>要求</w:t>
                  </w:r>
                  <w:r>
                    <w:rPr>
                      <w:rFonts w:hint="eastAsia"/>
                      <w:color w:val="000000" w:themeColor="text1"/>
                      <w:sz w:val="21"/>
                      <w:szCs w:val="21"/>
                      <w14:textFill>
                        <w14:solidFill>
                          <w14:schemeClr w14:val="tx1"/>
                        </w14:solidFill>
                      </w14:textFill>
                    </w:rPr>
                    <w:t>建立运输车辆、厂内车辆、非道路移动机械电子台账（进出场时间、车辆或机械信息、运送货物名称及运量等）。</w:t>
                  </w:r>
                </w:p>
              </w:tc>
              <w:tc>
                <w:tcPr>
                  <w:tcW w:w="402" w:type="pct"/>
                  <w:noWrap/>
                  <w:vAlign w:val="center"/>
                </w:tcPr>
                <w:p w14:paraId="0C6447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相符</w:t>
                  </w:r>
                </w:p>
              </w:tc>
            </w:tr>
            <w:tr w14:paraId="74BE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64" w:type="pct"/>
                  <w:vMerge w:val="continue"/>
                  <w:noWrap/>
                  <w:vAlign w:val="center"/>
                </w:tcPr>
                <w:p w14:paraId="3E9E83E9">
                  <w:pPr>
                    <w:adjustRightInd w:val="0"/>
                    <w:snapToGrid w:val="0"/>
                    <w:spacing w:line="240" w:lineRule="auto"/>
                    <w:ind w:firstLine="0" w:firstLineChars="0"/>
                    <w:jc w:val="left"/>
                    <w:rPr>
                      <w:color w:val="000000" w:themeColor="text1"/>
                      <w:sz w:val="21"/>
                      <w:szCs w:val="21"/>
                      <w14:textFill>
                        <w14:solidFill>
                          <w14:schemeClr w14:val="tx1"/>
                        </w14:solidFill>
                      </w14:textFill>
                    </w:rPr>
                  </w:pPr>
                </w:p>
              </w:tc>
              <w:tc>
                <w:tcPr>
                  <w:tcW w:w="360" w:type="pct"/>
                  <w:noWrap/>
                  <w:vAlign w:val="center"/>
                </w:tcPr>
                <w:p w14:paraId="3627C18A">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人员配置</w:t>
                  </w:r>
                </w:p>
              </w:tc>
              <w:tc>
                <w:tcPr>
                  <w:tcW w:w="2352" w:type="pct"/>
                  <w:noWrap/>
                  <w:vAlign w:val="center"/>
                </w:tcPr>
                <w:p w14:paraId="533A0075">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配备专职环保人员，并具备相应的环境管理能力（包括但不限于学历、培训、从业经验等）。 </w:t>
                  </w:r>
                </w:p>
              </w:tc>
              <w:tc>
                <w:tcPr>
                  <w:tcW w:w="2662" w:type="dxa"/>
                  <w:noWrap/>
                  <w:vAlign w:val="top"/>
                </w:tcPr>
                <w:p w14:paraId="006B14CD">
                  <w:pPr>
                    <w:adjustRightInd w:val="0"/>
                    <w:snapToGrid w:val="0"/>
                    <w:spacing w:line="240" w:lineRule="auto"/>
                    <w:ind w:firstLine="0" w:firstLineChars="0"/>
                    <w:textAlignment w:val="baseline"/>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项目按</w:t>
                  </w:r>
                  <w:r>
                    <w:rPr>
                      <w:color w:val="000000" w:themeColor="text1"/>
                      <w:sz w:val="21"/>
                      <w:szCs w:val="21"/>
                      <w14:textFill>
                        <w14:solidFill>
                          <w14:schemeClr w14:val="tx1"/>
                        </w14:solidFill>
                      </w14:textFill>
                    </w:rPr>
                    <w:t>要求配备专职环保人员，并具备相应的环境管理能力（学历、培训、从业经验等）</w:t>
                  </w:r>
                  <w:r>
                    <w:rPr>
                      <w:rFonts w:hint="eastAsia"/>
                      <w:color w:val="000000" w:themeColor="text1"/>
                      <w:sz w:val="21"/>
                      <w:szCs w:val="21"/>
                      <w14:textFill>
                        <w14:solidFill>
                          <w14:schemeClr w14:val="tx1"/>
                        </w14:solidFill>
                      </w14:textFill>
                    </w:rPr>
                    <w:t>。</w:t>
                  </w:r>
                </w:p>
              </w:tc>
              <w:tc>
                <w:tcPr>
                  <w:tcW w:w="402" w:type="pct"/>
                  <w:noWrap/>
                  <w:vAlign w:val="center"/>
                </w:tcPr>
                <w:p w14:paraId="27E209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相符</w:t>
                  </w:r>
                </w:p>
              </w:tc>
            </w:tr>
            <w:tr w14:paraId="1495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4BF711ED">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运输方式</w:t>
                  </w:r>
                </w:p>
              </w:tc>
              <w:tc>
                <w:tcPr>
                  <w:tcW w:w="2352" w:type="pct"/>
                  <w:noWrap/>
                  <w:vAlign w:val="center"/>
                </w:tcPr>
                <w:p w14:paraId="14A569B0">
                  <w:pPr>
                    <w:widowControl/>
                    <w:spacing w:line="240" w:lineRule="auto"/>
                    <w:ind w:firstLine="0" w:firstLineChars="0"/>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w:t>
                  </w:r>
                  <w:r>
                    <w:rPr>
                      <w:rFonts w:hint="eastAsia" w:ascii="宋体" w:hAnsi="宋体" w:cs="宋体"/>
                      <w:color w:val="000000" w:themeColor="text1"/>
                      <w:kern w:val="0"/>
                      <w:sz w:val="21"/>
                      <w:szCs w:val="21"/>
                      <w:lang w:bidi="ar"/>
                      <w14:textFill>
                        <w14:solidFill>
                          <w14:schemeClr w14:val="tx1"/>
                        </w14:solidFill>
                      </w14:textFill>
                    </w:rPr>
                    <w:t xml:space="preserve">物料、产品运输全部使用国五及以上排放标准的重型载货车辆（重型燃气车辆达到国六排放标准）或新能源车辆； </w:t>
                  </w:r>
                </w:p>
                <w:p w14:paraId="4CA22CCF">
                  <w:pPr>
                    <w:widowControl/>
                    <w:spacing w:line="240" w:lineRule="auto"/>
                    <w:ind w:firstLine="0" w:firstLineChars="0"/>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2.</w:t>
                  </w:r>
                  <w:r>
                    <w:rPr>
                      <w:rFonts w:hint="eastAsia" w:ascii="宋体" w:hAnsi="宋体" w:cs="宋体"/>
                      <w:color w:val="000000" w:themeColor="text1"/>
                      <w:kern w:val="0"/>
                      <w:sz w:val="21"/>
                      <w:szCs w:val="21"/>
                      <w:lang w:bidi="ar"/>
                      <w14:textFill>
                        <w14:solidFill>
                          <w14:schemeClr w14:val="tx1"/>
                        </w14:solidFill>
                      </w14:textFill>
                    </w:rPr>
                    <w:t xml:space="preserve">厂区车辆全部达国五及以上排放标准（重型燃气车辆达到国六排放标准）或使用新能源车辆； </w:t>
                  </w:r>
                </w:p>
                <w:p w14:paraId="1CAB5ECC">
                  <w:pPr>
                    <w:widowControl/>
                    <w:spacing w:line="240" w:lineRule="auto"/>
                    <w:ind w:firstLine="0" w:firstLineChars="0"/>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w:t>
                  </w:r>
                  <w:r>
                    <w:rPr>
                      <w:rFonts w:hint="eastAsia" w:ascii="宋体" w:hAnsi="宋体" w:cs="宋体"/>
                      <w:color w:val="000000" w:themeColor="text1"/>
                      <w:kern w:val="0"/>
                      <w:sz w:val="21"/>
                      <w:szCs w:val="21"/>
                      <w:lang w:bidi="ar"/>
                      <w14:textFill>
                        <w14:solidFill>
                          <w14:schemeClr w14:val="tx1"/>
                        </w14:solidFill>
                      </w14:textFill>
                    </w:rPr>
                    <w:t>厂内非道路移动机械达到国三及以上排放标准或使用新能源机械。</w:t>
                  </w:r>
                </w:p>
              </w:tc>
              <w:tc>
                <w:tcPr>
                  <w:tcW w:w="1520" w:type="pct"/>
                  <w:noWrap/>
                  <w:vAlign w:val="center"/>
                </w:tcPr>
                <w:p w14:paraId="1654CFB5">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w:t>
                  </w:r>
                  <w:r>
                    <w:rPr>
                      <w:color w:val="000000" w:themeColor="text1"/>
                      <w:sz w:val="21"/>
                      <w:szCs w:val="21"/>
                      <w14:textFill>
                        <w14:solidFill>
                          <w14:schemeClr w14:val="tx1"/>
                        </w14:solidFill>
                      </w14:textFill>
                    </w:rPr>
                    <w:t>不采用国五以下的车辆进行物料运输、场内运输，厂内非道路移动机械均采用国三及以上排放标准</w:t>
                  </w:r>
                  <w:r>
                    <w:rPr>
                      <w:rFonts w:hint="eastAsia"/>
                      <w:color w:val="000000" w:themeColor="text1"/>
                      <w:sz w:val="21"/>
                      <w:szCs w:val="21"/>
                      <w14:textFill>
                        <w14:solidFill>
                          <w14:schemeClr w14:val="tx1"/>
                        </w14:solidFill>
                      </w14:textFill>
                    </w:rPr>
                    <w:t>或新能源</w:t>
                  </w:r>
                  <w:r>
                    <w:rPr>
                      <w:color w:val="000000" w:themeColor="text1"/>
                      <w:sz w:val="21"/>
                      <w:szCs w:val="21"/>
                      <w14:textFill>
                        <w14:solidFill>
                          <w14:schemeClr w14:val="tx1"/>
                        </w14:solidFill>
                      </w14:textFill>
                    </w:rPr>
                    <w:t>机械</w:t>
                  </w:r>
                  <w:r>
                    <w:rPr>
                      <w:rFonts w:hint="eastAsia"/>
                      <w:color w:val="000000" w:themeColor="text1"/>
                      <w:sz w:val="21"/>
                      <w:szCs w:val="21"/>
                      <w14:textFill>
                        <w14:solidFill>
                          <w14:schemeClr w14:val="tx1"/>
                        </w14:solidFill>
                      </w14:textFill>
                    </w:rPr>
                    <w:t>。</w:t>
                  </w:r>
                </w:p>
              </w:tc>
              <w:tc>
                <w:tcPr>
                  <w:tcW w:w="402" w:type="pct"/>
                  <w:noWrap/>
                  <w:vAlign w:val="center"/>
                </w:tcPr>
                <w:p w14:paraId="5FB93C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FB1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5" w:type="pct"/>
                  <w:gridSpan w:val="2"/>
                  <w:noWrap/>
                  <w:vAlign w:val="center"/>
                </w:tcPr>
                <w:p w14:paraId="611B02BE">
                  <w:pPr>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运输监管</w:t>
                  </w:r>
                </w:p>
                <w:p w14:paraId="68579CC3">
                  <w:pPr>
                    <w:adjustRightInd w:val="0"/>
                    <w:snapToGrid w:val="0"/>
                    <w:spacing w:line="240" w:lineRule="auto"/>
                    <w:ind w:firstLine="0" w:firstLineChars="0"/>
                    <w:jc w:val="center"/>
                    <w:rPr>
                      <w:color w:val="000000" w:themeColor="text1"/>
                      <w:sz w:val="21"/>
                      <w:szCs w:val="21"/>
                      <w14:textFill>
                        <w14:solidFill>
                          <w14:schemeClr w14:val="tx1"/>
                        </w14:solidFill>
                      </w14:textFill>
                    </w:rPr>
                  </w:pPr>
                </w:p>
              </w:tc>
              <w:tc>
                <w:tcPr>
                  <w:tcW w:w="2352" w:type="pct"/>
                  <w:noWrap/>
                  <w:vAlign w:val="center"/>
                </w:tcPr>
                <w:p w14:paraId="3AF3CD96">
                  <w:pPr>
                    <w:adjustRightInd w:val="0"/>
                    <w:snapToGrid w:val="0"/>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日均进出货物</w:t>
                  </w:r>
                  <w:r>
                    <w:rPr>
                      <w:color w:val="000000" w:themeColor="text1"/>
                      <w:sz w:val="21"/>
                      <w:szCs w:val="21"/>
                      <w14:textFill>
                        <w14:solidFill>
                          <w14:schemeClr w14:val="tx1"/>
                        </w14:solidFill>
                      </w14:textFill>
                    </w:rPr>
                    <w:t>150</w:t>
                  </w:r>
                  <w:r>
                    <w:rPr>
                      <w:rFonts w:hint="eastAsia"/>
                      <w:color w:val="000000" w:themeColor="text1"/>
                      <w:sz w:val="21"/>
                      <w:szCs w:val="21"/>
                      <w14:textFill>
                        <w14:solidFill>
                          <w14:schemeClr w14:val="tx1"/>
                        </w14:solidFill>
                      </w14:textFill>
                    </w:rPr>
                    <w:t>吨（或载货车辆日进出</w:t>
                  </w: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辆次）及以上（货物包括原料、辅料、燃料、产品和其他与生产相关物料）的企业，参照《重污染天气重点行业移动源应急管理技术指南》建立门禁视频监控系统和电子台账；其他企业安装车辆运输视频监控（数据能保存6个月）并建立车辆运输手工台账。</w:t>
                  </w:r>
                </w:p>
              </w:tc>
              <w:tc>
                <w:tcPr>
                  <w:tcW w:w="1520" w:type="pct"/>
                  <w:noWrap/>
                  <w:vAlign w:val="center"/>
                </w:tcPr>
                <w:p w14:paraId="70EEA073">
                  <w:pPr>
                    <w:spacing w:line="240" w:lineRule="auto"/>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项目不属于日均进出货物150吨（或载货车辆日进出</w:t>
                  </w: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辆次）及以上企业。按要求安装车辆运输视频监控（数据能保存6个月）并建立车辆运输手工台账。</w:t>
                  </w:r>
                </w:p>
              </w:tc>
              <w:tc>
                <w:tcPr>
                  <w:tcW w:w="402" w:type="pct"/>
                  <w:noWrap/>
                  <w:vAlign w:val="center"/>
                </w:tcPr>
                <w:p w14:paraId="06D579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1B5EA605">
            <w:pPr>
              <w:pStyle w:val="5"/>
              <w:tabs>
                <w:tab w:val="left" w:pos="851"/>
              </w:tabs>
              <w:spacing w:before="0" w:after="0" w:line="520" w:lineRule="exact"/>
              <w:ind w:firstLine="480"/>
              <w:rPr>
                <w:rFonts w:ascii="Times New Roman" w:hAnsi="Times New Roman" w:eastAsia="黑体"/>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lang w:val="en-US" w:eastAsia="zh-CN"/>
                <w14:textFill>
                  <w14:solidFill>
                    <w14:schemeClr w14:val="tx1"/>
                  </w14:solidFill>
                </w14:textFill>
              </w:rPr>
              <w:t>7</w:t>
            </w:r>
            <w:r>
              <w:rPr>
                <w:rFonts w:hint="eastAsia" w:ascii="Times New Roman" w:hAnsi="Times New Roman"/>
                <w:b/>
                <w:bCs/>
                <w:color w:val="000000" w:themeColor="text1"/>
                <w:sz w:val="24"/>
                <w:szCs w:val="24"/>
                <w14:textFill>
                  <w14:solidFill>
                    <w14:schemeClr w14:val="tx1"/>
                  </w14:solidFill>
                </w14:textFill>
              </w:rPr>
              <w:t>、</w:t>
            </w:r>
            <w:r>
              <w:rPr>
                <w:rFonts w:ascii="Times New Roman" w:hAnsi="Times New Roman"/>
                <w:b/>
                <w:bCs/>
                <w:color w:val="000000" w:themeColor="text1"/>
                <w:sz w:val="24"/>
                <w:szCs w:val="24"/>
                <w14:textFill>
                  <w14:solidFill>
                    <w14:schemeClr w14:val="tx1"/>
                  </w14:solidFill>
                </w14:textFill>
              </w:rPr>
              <w:t>与《挥发性有机物无组织排放控制标准》（GB37822-2019）相符性分析</w:t>
            </w:r>
          </w:p>
          <w:p w14:paraId="4F261C30">
            <w:pPr>
              <w:spacing w:line="520" w:lineRule="exact"/>
              <w:ind w:firstLine="1200" w:firstLineChars="500"/>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表1-</w:t>
            </w:r>
            <w:r>
              <w:rPr>
                <w:rFonts w:hint="eastAsia" w:eastAsia="黑体"/>
                <w:color w:val="000000" w:themeColor="text1"/>
                <w14:textFill>
                  <w14:solidFill>
                    <w14:schemeClr w14:val="tx1"/>
                  </w14:solidFill>
                </w14:textFill>
              </w:rPr>
              <w:t>8</w:t>
            </w:r>
            <w:r>
              <w:rPr>
                <w:rFonts w:eastAsia="黑体"/>
                <w:color w:val="000000" w:themeColor="text1"/>
                <w14:textFill>
                  <w14:solidFill>
                    <w14:schemeClr w14:val="tx1"/>
                  </w14:solidFill>
                </w14:textFill>
              </w:rPr>
              <w:t xml:space="preserve">      与（GB37822-2019）符合性分析一览表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3738"/>
              <w:gridCol w:w="3284"/>
              <w:gridCol w:w="854"/>
            </w:tblGrid>
            <w:tr w14:paraId="491A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25" w:type="dxa"/>
                  <w:gridSpan w:val="2"/>
                  <w:tcBorders>
                    <w:tl2br w:val="nil"/>
                    <w:tr2bl w:val="nil"/>
                  </w:tcBorders>
                  <w:vAlign w:val="center"/>
                </w:tcPr>
                <w:p w14:paraId="4EAE8CCE">
                  <w:pPr>
                    <w:adjustRightInd w:val="0"/>
                    <w:snapToGrid w:val="0"/>
                    <w:spacing w:line="240" w:lineRule="auto"/>
                    <w:ind w:firstLine="0" w:firstLineChars="0"/>
                    <w:jc w:val="center"/>
                    <w:textAlignment w:val="baseline"/>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标准要求</w:t>
                  </w:r>
                </w:p>
              </w:tc>
              <w:tc>
                <w:tcPr>
                  <w:tcW w:w="3284" w:type="dxa"/>
                  <w:tcBorders>
                    <w:tl2br w:val="nil"/>
                    <w:tr2bl w:val="nil"/>
                  </w:tcBorders>
                  <w:vAlign w:val="center"/>
                </w:tcPr>
                <w:p w14:paraId="39057AE3">
                  <w:pPr>
                    <w:adjustRightInd w:val="0"/>
                    <w:snapToGrid w:val="0"/>
                    <w:spacing w:line="240" w:lineRule="auto"/>
                    <w:ind w:firstLine="0" w:firstLineChars="0"/>
                    <w:jc w:val="center"/>
                    <w:textAlignment w:val="baseline"/>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本项目情况</w:t>
                  </w:r>
                </w:p>
              </w:tc>
              <w:tc>
                <w:tcPr>
                  <w:tcW w:w="854" w:type="dxa"/>
                  <w:tcBorders>
                    <w:tl2br w:val="nil"/>
                    <w:tr2bl w:val="nil"/>
                  </w:tcBorders>
                  <w:vAlign w:val="center"/>
                </w:tcPr>
                <w:p w14:paraId="19E0293F">
                  <w:pPr>
                    <w:adjustRightInd w:val="0"/>
                    <w:snapToGrid w:val="0"/>
                    <w:spacing w:line="240" w:lineRule="auto"/>
                    <w:ind w:firstLine="0" w:firstLineChars="0"/>
                    <w:jc w:val="center"/>
                    <w:textAlignment w:val="baseline"/>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相符性</w:t>
                  </w:r>
                </w:p>
              </w:tc>
            </w:tr>
            <w:tr w14:paraId="6543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0EBF4694">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VOCs物料储存无组织排放控制要求</w:t>
                  </w:r>
                </w:p>
              </w:tc>
              <w:tc>
                <w:tcPr>
                  <w:tcW w:w="3738" w:type="dxa"/>
                  <w:tcBorders>
                    <w:tl2br w:val="nil"/>
                    <w:tr2bl w:val="nil"/>
                  </w:tcBorders>
                  <w:vAlign w:val="center"/>
                </w:tcPr>
                <w:p w14:paraId="2E345BD1">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（1）VOCs物料应储存于密闭的容器、包装袋、储罐、储库、料仓中。</w:t>
                  </w:r>
                </w:p>
                <w:p w14:paraId="59FE18D9">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（2）盛装VOCs物料的容器或包装袋应存放于室内，或存放于设置有雨棚、遮阳和防渗设施的专用场地。盛装VOCs物料的容器或包装袋在非取用状态时应加盖、封口，保持密闭。</w:t>
                  </w:r>
                </w:p>
                <w:p w14:paraId="7AA7825D">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（3）VOCs物料储罐应密封良好，其中挥发性有机液体储罐应符合5.2条规定。</w:t>
                  </w:r>
                </w:p>
                <w:p w14:paraId="27EE713C">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（4）VOCs物料储库、料仓应满足3.6条对密闭空间的要求</w:t>
                  </w:r>
                </w:p>
              </w:tc>
              <w:tc>
                <w:tcPr>
                  <w:tcW w:w="3284" w:type="dxa"/>
                  <w:tcBorders>
                    <w:tl2br w:val="nil"/>
                    <w:tr2bl w:val="nil"/>
                  </w:tcBorders>
                  <w:vAlign w:val="center"/>
                </w:tcPr>
                <w:p w14:paraId="6FE70DD0">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sz w:val="21"/>
                      <w:szCs w:val="21"/>
                    </w:rPr>
                    <w:t>项目VOCs物料为水性丙烯酸胶浆、</w:t>
                  </w:r>
                  <w:r>
                    <w:rPr>
                      <w:rFonts w:hint="eastAsia"/>
                      <w:sz w:val="21"/>
                      <w:szCs w:val="21"/>
                      <w:lang w:eastAsia="zh-CN"/>
                    </w:rPr>
                    <w:t>水性丙烯酸油墨</w:t>
                  </w:r>
                  <w:r>
                    <w:rPr>
                      <w:sz w:val="21"/>
                      <w:szCs w:val="21"/>
                    </w:rPr>
                    <w:t>，均为密闭桶装，存储于无阳光直射的密闭原料库</w:t>
                  </w:r>
                  <w:r>
                    <w:rPr>
                      <w:rFonts w:hint="eastAsia"/>
                      <w:color w:val="000000" w:themeColor="text1"/>
                      <w:sz w:val="21"/>
                      <w:szCs w:val="21"/>
                      <w14:textFill>
                        <w14:solidFill>
                          <w14:schemeClr w14:val="tx1"/>
                        </w14:solidFill>
                      </w14:textFill>
                    </w:rPr>
                    <w:t>。</w:t>
                  </w:r>
                </w:p>
              </w:tc>
              <w:tc>
                <w:tcPr>
                  <w:tcW w:w="854" w:type="dxa"/>
                  <w:tcBorders>
                    <w:tl2br w:val="nil"/>
                    <w:tr2bl w:val="nil"/>
                  </w:tcBorders>
                  <w:vAlign w:val="center"/>
                </w:tcPr>
                <w:p w14:paraId="437F1F55">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544A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0DA5DD8E">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VOCs无组织排放废气收集处理系统要求</w:t>
                  </w:r>
                </w:p>
              </w:tc>
              <w:tc>
                <w:tcPr>
                  <w:tcW w:w="3738" w:type="dxa"/>
                  <w:tcBorders>
                    <w:tl2br w:val="nil"/>
                    <w:tr2bl w:val="nil"/>
                  </w:tcBorders>
                  <w:vAlign w:val="center"/>
                </w:tcPr>
                <w:p w14:paraId="431D11EC">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（1）VOCs废气收集处理系统应与生产工艺设备同步运行。</w:t>
                  </w:r>
                </w:p>
                <w:p w14:paraId="46DA0675">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（2）VOCs废气收集处理系统发生故障或检修时，对应的生产工艺设备应停止运行，待检修完毕后同步投入使用；生产工艺设备不能停止运行或不能及时停止运行的，应设置废气应急处理设施或采取其他替代措施。</w:t>
                  </w:r>
                </w:p>
                <w:p w14:paraId="38B90C90">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（3）企业应考虑生产工艺、操作方式、废气性质、处理方法等因素，对VOCs废气进行分类收集。</w:t>
                  </w:r>
                </w:p>
                <w:p w14:paraId="63E7D3E1">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（4）废气收集系统的输送管道应密闭。废气收集系统应在负压下运行。</w:t>
                  </w:r>
                </w:p>
                <w:p w14:paraId="1665158D">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（5）VOCs废气收集处理系统污染物排放应符合GB 16297或相关行业排放标准的规定。</w:t>
                  </w:r>
                </w:p>
                <w:p w14:paraId="61F247E8">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企业应建立台账，记录废气收集系统、VOCs处理设施的主要运行和维护信息，如运行时间、废气处理量、操作温度、停留时间、吸附剂再生/更换周期和更换量、催化剂更换周期和更换量、吸收液pH值等关键运行参数。台账保存期限不少于3年。</w:t>
                  </w:r>
                </w:p>
              </w:tc>
              <w:tc>
                <w:tcPr>
                  <w:tcW w:w="3284" w:type="dxa"/>
                  <w:tcBorders>
                    <w:tl2br w:val="nil"/>
                    <w:tr2bl w:val="nil"/>
                  </w:tcBorders>
                  <w:vAlign w:val="center"/>
                </w:tcPr>
                <w:p w14:paraId="3787DEEF">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（1）本项目VOCs废气收集处理系统与生产工艺设备同步运行。</w:t>
                  </w:r>
                </w:p>
                <w:p w14:paraId="01C45D8F">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（2）VOCs废气收集处理系统发生故障或检修时，对应生产工艺设备停止运行，待检修完毕后同步投入使用。</w:t>
                  </w:r>
                </w:p>
                <w:p w14:paraId="19518C52">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（3）印花</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压花、冷却、复合、雕花、开口工序产生的VOCs废气收集后引入活性炭吸附/脱附-催化燃烧装置治理。</w:t>
                  </w:r>
                </w:p>
                <w:p w14:paraId="353A6E0D">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4</w:t>
                  </w:r>
                  <w:r>
                    <w:rPr>
                      <w:color w:val="000000" w:themeColor="text1"/>
                      <w:sz w:val="21"/>
                      <w:szCs w:val="21"/>
                      <w14:textFill>
                        <w14:solidFill>
                          <w14:schemeClr w14:val="tx1"/>
                        </w14:solidFill>
                      </w14:textFill>
                    </w:rPr>
                    <w:t>）废气收集系统输送管道密闭，且在负压条件下运行。</w:t>
                  </w:r>
                </w:p>
                <w:p w14:paraId="356F53DB">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5</w:t>
                  </w:r>
                  <w:r>
                    <w:rPr>
                      <w:color w:val="000000" w:themeColor="text1"/>
                      <w:sz w:val="21"/>
                      <w:szCs w:val="21"/>
                      <w14:textFill>
                        <w14:solidFill>
                          <w14:schemeClr w14:val="tx1"/>
                        </w14:solidFill>
                      </w14:textFill>
                    </w:rPr>
                    <w:t>）本项目VOCs废气收集处理系统污染物排放应执行</w:t>
                  </w:r>
                  <w:r>
                    <w:rPr>
                      <w:rFonts w:hint="eastAsia"/>
                      <w:color w:val="000000" w:themeColor="text1"/>
                      <w:sz w:val="21"/>
                      <w:szCs w:val="21"/>
                      <w14:textFill>
                        <w14:solidFill>
                          <w14:schemeClr w14:val="tx1"/>
                        </w14:solidFill>
                      </w14:textFill>
                    </w:rPr>
                    <w:t>《大气污染物综合排放标准》（GB16297-1996）</w:t>
                  </w:r>
                  <w:r>
                    <w:rPr>
                      <w:color w:val="000000" w:themeColor="text1"/>
                      <w:kern w:val="0"/>
                      <w:sz w:val="21"/>
                      <w:szCs w:val="21"/>
                      <w14:textFill>
                        <w14:solidFill>
                          <w14:schemeClr w14:val="tx1"/>
                        </w14:solidFill>
                      </w14:textFill>
                    </w:rPr>
                    <w:t>《</w:t>
                  </w:r>
                  <w:r>
                    <w:rPr>
                      <w:rFonts w:hint="eastAsia"/>
                      <w:color w:val="000000" w:themeColor="text1"/>
                      <w:kern w:val="0"/>
                      <w:sz w:val="21"/>
                      <w:szCs w:val="21"/>
                      <w14:textFill>
                        <w14:solidFill>
                          <w14:schemeClr w14:val="tx1"/>
                        </w14:solidFill>
                      </w14:textFill>
                    </w:rPr>
                    <w:t>河南省</w:t>
                  </w:r>
                  <w:r>
                    <w:rPr>
                      <w:color w:val="000000" w:themeColor="text1"/>
                      <w:kern w:val="0"/>
                      <w:sz w:val="21"/>
                      <w:szCs w:val="21"/>
                      <w14:textFill>
                        <w14:solidFill>
                          <w14:schemeClr w14:val="tx1"/>
                        </w14:solidFill>
                      </w14:textFill>
                    </w:rPr>
                    <w:t>重污染天气重点行业应急减排措施制定技术指南（202</w:t>
                  </w:r>
                  <w:r>
                    <w:rPr>
                      <w:rFonts w:hint="eastAsia"/>
                      <w:color w:val="000000" w:themeColor="text1"/>
                      <w:kern w:val="0"/>
                      <w:sz w:val="21"/>
                      <w:szCs w:val="21"/>
                      <w14:textFill>
                        <w14:solidFill>
                          <w14:schemeClr w14:val="tx1"/>
                        </w14:solidFill>
                      </w14:textFill>
                    </w:rPr>
                    <w:t>4</w:t>
                  </w:r>
                  <w:r>
                    <w:rPr>
                      <w:color w:val="000000" w:themeColor="text1"/>
                      <w:kern w:val="0"/>
                      <w:sz w:val="21"/>
                      <w:szCs w:val="21"/>
                      <w14:textFill>
                        <w14:solidFill>
                          <w14:schemeClr w14:val="tx1"/>
                        </w14:solidFill>
                      </w14:textFill>
                    </w:rPr>
                    <w:t>年修订版）》中纺织印染与服饰制造绩效分级指标A级企业</w:t>
                  </w:r>
                  <w:r>
                    <w:rPr>
                      <w:rFonts w:hint="eastAsia"/>
                      <w:color w:val="000000" w:themeColor="text1"/>
                      <w:sz w:val="21"/>
                      <w:szCs w:val="21"/>
                      <w14:textFill>
                        <w14:solidFill>
                          <w14:schemeClr w14:val="tx1"/>
                        </w14:solidFill>
                      </w14:textFill>
                    </w:rPr>
                    <w:t>相关标准要求</w:t>
                  </w:r>
                  <w:r>
                    <w:rPr>
                      <w:color w:val="000000" w:themeColor="text1"/>
                      <w:sz w:val="21"/>
                      <w:szCs w:val="21"/>
                      <w14:textFill>
                        <w14:solidFill>
                          <w14:schemeClr w14:val="tx1"/>
                        </w14:solidFill>
                      </w14:textFill>
                    </w:rPr>
                    <w:t>。</w:t>
                  </w:r>
                </w:p>
                <w:p w14:paraId="56AA14D9">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6</w:t>
                  </w:r>
                  <w:r>
                    <w:rPr>
                      <w:color w:val="000000" w:themeColor="text1"/>
                      <w:sz w:val="21"/>
                      <w:szCs w:val="21"/>
                      <w14:textFill>
                        <w14:solidFill>
                          <w14:schemeClr w14:val="tx1"/>
                        </w14:solidFill>
                      </w14:textFill>
                    </w:rPr>
                    <w:t>）企业建立台账，记录废气收集系统、VOCs处理设施的主要运行和维护信息，如运行时间、废气处理量、操作温度、停留时间、吸附剂再生/更换周期和更换量、催化剂更换周期和更换量等关键运行参数。台账保存期限不少于</w:t>
                  </w:r>
                  <w:r>
                    <w:rPr>
                      <w:rFonts w:hint="eastAsia"/>
                      <w:color w:val="000000" w:themeColor="text1"/>
                      <w:sz w:val="21"/>
                      <w:szCs w:val="21"/>
                      <w14:textFill>
                        <w14:solidFill>
                          <w14:schemeClr w14:val="tx1"/>
                        </w14:solidFill>
                      </w14:textFill>
                    </w:rPr>
                    <w:t>5</w:t>
                  </w:r>
                  <w:r>
                    <w:rPr>
                      <w:color w:val="000000" w:themeColor="text1"/>
                      <w:sz w:val="21"/>
                      <w:szCs w:val="21"/>
                      <w14:textFill>
                        <w14:solidFill>
                          <w14:schemeClr w14:val="tx1"/>
                        </w14:solidFill>
                      </w14:textFill>
                    </w:rPr>
                    <w:t>年。</w:t>
                  </w:r>
                </w:p>
              </w:tc>
              <w:tc>
                <w:tcPr>
                  <w:tcW w:w="854" w:type="dxa"/>
                  <w:tcBorders>
                    <w:tl2br w:val="nil"/>
                    <w:tr2bl w:val="nil"/>
                  </w:tcBorders>
                  <w:vAlign w:val="center"/>
                </w:tcPr>
                <w:p w14:paraId="5D7707BD">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825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55669036">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企业厂区内及周边污染监控</w:t>
                  </w:r>
                </w:p>
              </w:tc>
              <w:tc>
                <w:tcPr>
                  <w:tcW w:w="3738" w:type="dxa"/>
                  <w:tcBorders>
                    <w:tl2br w:val="nil"/>
                    <w:tr2bl w:val="nil"/>
                  </w:tcBorders>
                  <w:vAlign w:val="center"/>
                </w:tcPr>
                <w:p w14:paraId="3A7FE677">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企业边界及周边VOCs监控要求执行GB16297或相关行业排放标准的规定。</w:t>
                  </w:r>
                </w:p>
              </w:tc>
              <w:tc>
                <w:tcPr>
                  <w:tcW w:w="3284" w:type="dxa"/>
                  <w:tcBorders>
                    <w:tl2br w:val="nil"/>
                    <w:tr2bl w:val="nil"/>
                  </w:tcBorders>
                  <w:vAlign w:val="center"/>
                </w:tcPr>
                <w:p w14:paraId="4967DD95">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企业厂区内及周边污染监控满足</w:t>
                  </w:r>
                  <w:r>
                    <w:rPr>
                      <w:rFonts w:hint="eastAsia"/>
                      <w:color w:val="000000" w:themeColor="text1"/>
                      <w:sz w:val="21"/>
                      <w:szCs w:val="21"/>
                      <w14:textFill>
                        <w14:solidFill>
                          <w14:schemeClr w14:val="tx1"/>
                        </w14:solidFill>
                      </w14:textFill>
                    </w:rPr>
                    <w:t>《大气污染物综合排放标准》（GB16297-1996）、《河南省重污染天气重点行业应急减排措施制定技术指南</w:t>
                  </w:r>
                  <w:r>
                    <w:rPr>
                      <w:rFonts w:hint="eastAsia"/>
                      <w:color w:val="000000" w:themeColor="text1"/>
                      <w:sz w:val="21"/>
                      <w:szCs w:val="21"/>
                      <w:lang w:eastAsia="zh-CN"/>
                      <w14:textFill>
                        <w14:solidFill>
                          <w14:schemeClr w14:val="tx1"/>
                        </w14:solidFill>
                      </w14:textFill>
                    </w:rPr>
                    <w:t xml:space="preserve">（2024年修订版）》 </w:t>
                  </w:r>
                  <w:r>
                    <w:rPr>
                      <w:rFonts w:hint="eastAsia"/>
                      <w:color w:val="000000" w:themeColor="text1"/>
                      <w:sz w:val="21"/>
                      <w:szCs w:val="21"/>
                      <w14:textFill>
                        <w14:solidFill>
                          <w14:schemeClr w14:val="tx1"/>
                        </w14:solidFill>
                      </w14:textFill>
                    </w:rPr>
                    <w:t>“纺织印染与服饰制造”绩效分级A级</w:t>
                  </w:r>
                  <w:r>
                    <w:rPr>
                      <w:color w:val="000000" w:themeColor="text1"/>
                      <w:sz w:val="21"/>
                      <w:szCs w:val="21"/>
                      <w14:textFill>
                        <w14:solidFill>
                          <w14:schemeClr w14:val="tx1"/>
                        </w14:solidFill>
                      </w14:textFill>
                    </w:rPr>
                    <w:t>。</w:t>
                  </w:r>
                </w:p>
              </w:tc>
              <w:tc>
                <w:tcPr>
                  <w:tcW w:w="854" w:type="dxa"/>
                  <w:tcBorders>
                    <w:tl2br w:val="nil"/>
                    <w:tr2bl w:val="nil"/>
                  </w:tcBorders>
                  <w:vAlign w:val="center"/>
                </w:tcPr>
                <w:p w14:paraId="455C5FB9">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437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7" w:type="dxa"/>
                  <w:tcBorders>
                    <w:tl2br w:val="nil"/>
                    <w:tr2bl w:val="nil"/>
                  </w:tcBorders>
                  <w:vAlign w:val="center"/>
                </w:tcPr>
                <w:p w14:paraId="775BD4BC">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污染物监测要求</w:t>
                  </w:r>
                </w:p>
              </w:tc>
              <w:tc>
                <w:tcPr>
                  <w:tcW w:w="3738" w:type="dxa"/>
                  <w:tcBorders>
                    <w:tl2br w:val="nil"/>
                    <w:tr2bl w:val="nil"/>
                  </w:tcBorders>
                  <w:vAlign w:val="center"/>
                </w:tcPr>
                <w:p w14:paraId="1BB0F66D">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企业应按照有关法律、《环境监测管理办法》和HJ 819等规定，建立企业监测制度，</w:t>
                  </w:r>
                  <w:r>
                    <w:rPr>
                      <w:rFonts w:hint="eastAsia"/>
                      <w:color w:val="000000" w:themeColor="text1"/>
                      <w:sz w:val="21"/>
                      <w:szCs w:val="21"/>
                      <w:lang w:eastAsia="zh-CN"/>
                      <w14:textFill>
                        <w14:solidFill>
                          <w14:schemeClr w14:val="tx1"/>
                        </w14:solidFill>
                      </w14:textFill>
                    </w:rPr>
                    <w:t>制定</w:t>
                  </w:r>
                  <w:r>
                    <w:rPr>
                      <w:color w:val="000000" w:themeColor="text1"/>
                      <w:sz w:val="21"/>
                      <w:szCs w:val="21"/>
                      <w14:textFill>
                        <w14:solidFill>
                          <w14:schemeClr w14:val="tx1"/>
                        </w14:solidFill>
                      </w14:textFill>
                    </w:rPr>
                    <w:t>监测方案，对污染物排放状况及其对周边环境质量的影响开展自行监测，保存原始监测记录，并公布监测结果。</w:t>
                  </w:r>
                </w:p>
              </w:tc>
              <w:tc>
                <w:tcPr>
                  <w:tcW w:w="3284" w:type="dxa"/>
                  <w:tcBorders>
                    <w:tl2br w:val="nil"/>
                    <w:tr2bl w:val="nil"/>
                  </w:tcBorders>
                  <w:vAlign w:val="center"/>
                </w:tcPr>
                <w:p w14:paraId="50BDEB08">
                  <w:pPr>
                    <w:adjustRightInd w:val="0"/>
                    <w:snapToGrid w:val="0"/>
                    <w:spacing w:line="240" w:lineRule="auto"/>
                    <w:ind w:firstLine="0" w:firstLineChars="0"/>
                    <w:jc w:val="left"/>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企业按照有关法律、《环境监测管理办法》和HJ 819等规定，建立企业监测制度，</w:t>
                  </w:r>
                  <w:r>
                    <w:rPr>
                      <w:rFonts w:hint="eastAsia"/>
                      <w:color w:val="000000" w:themeColor="text1"/>
                      <w:sz w:val="21"/>
                      <w:szCs w:val="21"/>
                      <w:lang w:eastAsia="zh-CN"/>
                      <w14:textFill>
                        <w14:solidFill>
                          <w14:schemeClr w14:val="tx1"/>
                        </w14:solidFill>
                      </w14:textFill>
                    </w:rPr>
                    <w:t>制定</w:t>
                  </w:r>
                  <w:r>
                    <w:rPr>
                      <w:color w:val="000000" w:themeColor="text1"/>
                      <w:sz w:val="21"/>
                      <w:szCs w:val="21"/>
                      <w14:textFill>
                        <w14:solidFill>
                          <w14:schemeClr w14:val="tx1"/>
                        </w14:solidFill>
                      </w14:textFill>
                    </w:rPr>
                    <w:t>监测方案，对污染物排放状况开展自行监测，保存原始监测记录，并公布监测结果。</w:t>
                  </w:r>
                </w:p>
              </w:tc>
              <w:tc>
                <w:tcPr>
                  <w:tcW w:w="854" w:type="dxa"/>
                  <w:tcBorders>
                    <w:tl2br w:val="nil"/>
                    <w:tr2bl w:val="nil"/>
                  </w:tcBorders>
                  <w:vAlign w:val="center"/>
                </w:tcPr>
                <w:p w14:paraId="77900A9B">
                  <w:pPr>
                    <w:adjustRightInd w:val="0"/>
                    <w:snapToGrid w:val="0"/>
                    <w:spacing w:line="240" w:lineRule="auto"/>
                    <w:ind w:firstLine="0" w:firstLineChars="0"/>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1E003E51">
            <w:pPr>
              <w:pStyle w:val="5"/>
              <w:tabs>
                <w:tab w:val="left" w:pos="851"/>
              </w:tabs>
              <w:spacing w:before="0" w:after="0" w:line="520" w:lineRule="exact"/>
              <w:ind w:firstLine="480"/>
              <w:rPr>
                <w:rFonts w:ascii="Times New Roman" w:hAnsi="Times New Roman"/>
                <w:b w:val="0"/>
                <w:bCs w:val="0"/>
                <w:color w:val="000000" w:themeColor="text1"/>
                <w:sz w:val="24"/>
                <w:szCs w:val="24"/>
                <w14:textFill>
                  <w14:solidFill>
                    <w14:schemeClr w14:val="tx1"/>
                  </w14:solidFill>
                </w14:textFill>
              </w:rPr>
            </w:pPr>
            <w:r>
              <w:rPr>
                <w:rFonts w:ascii="Times New Roman" w:hAnsi="Times New Roman"/>
                <w:b w:val="0"/>
                <w:bCs w:val="0"/>
                <w:color w:val="000000" w:themeColor="text1"/>
                <w:sz w:val="24"/>
                <w:szCs w:val="24"/>
                <w14:textFill>
                  <w14:solidFill>
                    <w14:schemeClr w14:val="tx1"/>
                  </w14:solidFill>
                </w14:textFill>
              </w:rPr>
              <w:t>综上所述，本项目采取的措施满足</w:t>
            </w:r>
            <w:r>
              <w:rPr>
                <w:rFonts w:hint="eastAsia"/>
                <w:b w:val="0"/>
                <w:bCs w:val="0"/>
                <w:lang w:eastAsia="zh-CN"/>
              </w:rPr>
              <w:t>《</w:t>
            </w:r>
            <w:r>
              <w:rPr>
                <w:rFonts w:ascii="Times New Roman" w:hAnsi="Times New Roman"/>
                <w:b w:val="0"/>
                <w:bCs w:val="0"/>
                <w:color w:val="000000" w:themeColor="text1"/>
                <w:sz w:val="24"/>
                <w:szCs w:val="24"/>
                <w14:textFill>
                  <w14:solidFill>
                    <w14:schemeClr w14:val="tx1"/>
                  </w14:solidFill>
                </w14:textFill>
              </w:rPr>
              <w:t>挥发性有机物无组织排放控制标准》（GB 37822-2019）</w:t>
            </w:r>
            <w:r>
              <w:rPr>
                <w:rFonts w:hint="eastAsia"/>
                <w:b w:val="0"/>
                <w:bCs w:val="0"/>
                <w:lang w:eastAsia="zh-CN"/>
              </w:rPr>
              <w:t>》</w:t>
            </w:r>
            <w:r>
              <w:rPr>
                <w:rFonts w:ascii="Times New Roman" w:hAnsi="Times New Roman"/>
                <w:b w:val="0"/>
                <w:bCs w:val="0"/>
                <w:color w:val="000000" w:themeColor="text1"/>
                <w:sz w:val="24"/>
                <w:szCs w:val="24"/>
                <w14:textFill>
                  <w14:solidFill>
                    <w14:schemeClr w14:val="tx1"/>
                  </w14:solidFill>
                </w14:textFill>
              </w:rPr>
              <w:t>相关要求。</w:t>
            </w:r>
          </w:p>
          <w:p w14:paraId="0FFDFA7C">
            <w:pPr>
              <w:adjustRightInd w:val="0"/>
              <w:snapToGrid w:val="0"/>
              <w:spacing w:line="520" w:lineRule="exact"/>
              <w:ind w:firstLine="480"/>
              <w:rPr>
                <w:rFonts w:eastAsia="黑体"/>
                <w:color w:val="000000" w:themeColor="text1"/>
                <w:kern w:val="0"/>
                <w14:textFill>
                  <w14:solidFill>
                    <w14:schemeClr w14:val="tx1"/>
                  </w14:solidFill>
                </w14:textFill>
              </w:rPr>
            </w:pPr>
            <w:r>
              <w:rPr>
                <w:rFonts w:hint="eastAsia"/>
                <w:b/>
                <w:bCs/>
                <w:color w:val="000000" w:themeColor="text1"/>
                <w:szCs w:val="32"/>
                <w:lang w:val="en-US" w:eastAsia="zh-CN"/>
                <w14:textFill>
                  <w14:solidFill>
                    <w14:schemeClr w14:val="tx1"/>
                  </w14:solidFill>
                </w14:textFill>
              </w:rPr>
              <w:t>8</w:t>
            </w:r>
            <w:r>
              <w:rPr>
                <w:rFonts w:hint="eastAsia"/>
                <w:b/>
                <w:bCs/>
                <w:color w:val="000000" w:themeColor="text1"/>
                <w:szCs w:val="32"/>
                <w14:textFill>
                  <w14:solidFill>
                    <w14:schemeClr w14:val="tx1"/>
                  </w14:solidFill>
                </w14:textFill>
              </w:rPr>
              <w:t>、</w:t>
            </w:r>
            <w:r>
              <w:rPr>
                <w:b/>
                <w:bCs/>
                <w:color w:val="000000" w:themeColor="text1"/>
                <w:kern w:val="0"/>
                <w:szCs w:val="32"/>
                <w14:textFill>
                  <w14:solidFill>
                    <w14:schemeClr w14:val="tx1"/>
                  </w14:solidFill>
                </w14:textFill>
              </w:rPr>
              <w:t>本项目与新乡市生态环境保护委员会办公室关于印发《新乡市202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年碧水保卫战实施方案》（新环委办[202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w:t>
            </w:r>
            <w:r>
              <w:rPr>
                <w:rFonts w:hint="eastAsia"/>
                <w:b/>
                <w:bCs/>
                <w:color w:val="000000" w:themeColor="text1"/>
                <w:kern w:val="0"/>
                <w:szCs w:val="32"/>
                <w:lang w:val="en-US" w:eastAsia="zh-CN"/>
                <w14:textFill>
                  <w14:solidFill>
                    <w14:schemeClr w14:val="tx1"/>
                  </w14:solidFill>
                </w14:textFill>
              </w:rPr>
              <w:t>17</w:t>
            </w:r>
            <w:r>
              <w:rPr>
                <w:b/>
                <w:bCs/>
                <w:color w:val="000000" w:themeColor="text1"/>
                <w:kern w:val="0"/>
                <w:szCs w:val="32"/>
                <w14:textFill>
                  <w14:solidFill>
                    <w14:schemeClr w14:val="tx1"/>
                  </w14:solidFill>
                </w14:textFill>
              </w:rPr>
              <w:t>号）</w:t>
            </w:r>
            <w:r>
              <w:rPr>
                <w:rFonts w:hint="eastAsia"/>
                <w:b/>
                <w:bCs/>
                <w:color w:val="000000" w:themeColor="text1"/>
                <w:kern w:val="0"/>
                <w:szCs w:val="32"/>
                <w:lang w:eastAsia="zh-CN"/>
                <w14:textFill>
                  <w14:solidFill>
                    <w14:schemeClr w14:val="tx1"/>
                  </w14:solidFill>
                </w14:textFill>
              </w:rPr>
              <w:t>、</w:t>
            </w:r>
            <w:r>
              <w:rPr>
                <w:b/>
                <w:bCs/>
                <w:color w:val="000000" w:themeColor="text1"/>
                <w:kern w:val="0"/>
                <w:szCs w:val="32"/>
                <w14:textFill>
                  <w14:solidFill>
                    <w14:schemeClr w14:val="tx1"/>
                  </w14:solidFill>
                </w14:textFill>
              </w:rPr>
              <w:t>《新乡市202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年蓝天保卫战实施方案》（新环委办[202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w:t>
            </w:r>
            <w:r>
              <w:rPr>
                <w:rFonts w:hint="eastAsia"/>
                <w:b/>
                <w:bCs/>
                <w:color w:val="000000" w:themeColor="text1"/>
                <w:kern w:val="0"/>
                <w:szCs w:val="32"/>
                <w:lang w:val="en-US" w:eastAsia="zh-CN"/>
                <w14:textFill>
                  <w14:solidFill>
                    <w14:schemeClr w14:val="tx1"/>
                  </w14:solidFill>
                </w14:textFill>
              </w:rPr>
              <w:t>18</w:t>
            </w:r>
            <w:r>
              <w:rPr>
                <w:b/>
                <w:bCs/>
                <w:color w:val="000000" w:themeColor="text1"/>
                <w:kern w:val="0"/>
                <w:szCs w:val="32"/>
                <w14:textFill>
                  <w14:solidFill>
                    <w14:schemeClr w14:val="tx1"/>
                  </w14:solidFill>
                </w14:textFill>
              </w:rPr>
              <w:t>号）</w:t>
            </w:r>
            <w:r>
              <w:rPr>
                <w:rFonts w:hint="eastAsia"/>
                <w:b/>
                <w:bCs/>
                <w:color w:val="000000" w:themeColor="text1"/>
                <w:kern w:val="0"/>
                <w:szCs w:val="32"/>
                <w:lang w:eastAsia="zh-CN"/>
                <w14:textFill>
                  <w14:solidFill>
                    <w14:schemeClr w14:val="tx1"/>
                  </w14:solidFill>
                </w14:textFill>
              </w:rPr>
              <w:t>、</w:t>
            </w:r>
            <w:r>
              <w:rPr>
                <w:b/>
                <w:bCs/>
                <w:color w:val="000000" w:themeColor="text1"/>
                <w:kern w:val="0"/>
                <w:szCs w:val="32"/>
                <w14:textFill>
                  <w14:solidFill>
                    <w14:schemeClr w14:val="tx1"/>
                  </w14:solidFill>
                </w14:textFill>
              </w:rPr>
              <w:t>《新乡市202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年净土保卫战实施方案》（新环委办[202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w:t>
            </w:r>
            <w:r>
              <w:rPr>
                <w:rFonts w:hint="eastAsia"/>
                <w:b/>
                <w:bCs/>
                <w:color w:val="000000" w:themeColor="text1"/>
                <w:kern w:val="0"/>
                <w:szCs w:val="32"/>
                <w:lang w:val="en-US" w:eastAsia="zh-CN"/>
                <w14:textFill>
                  <w14:solidFill>
                    <w14:schemeClr w14:val="tx1"/>
                  </w14:solidFill>
                </w14:textFill>
              </w:rPr>
              <w:t>20</w:t>
            </w:r>
            <w:r>
              <w:rPr>
                <w:b/>
                <w:bCs/>
                <w:color w:val="000000" w:themeColor="text1"/>
                <w:kern w:val="0"/>
                <w:szCs w:val="32"/>
                <w14:textFill>
                  <w14:solidFill>
                    <w14:schemeClr w14:val="tx1"/>
                  </w14:solidFill>
                </w14:textFill>
              </w:rPr>
              <w:t>号）</w:t>
            </w:r>
            <w:r>
              <w:rPr>
                <w:rFonts w:hint="eastAsia"/>
                <w:b/>
                <w:bCs/>
                <w:color w:val="000000" w:themeColor="text1"/>
                <w:kern w:val="0"/>
                <w:szCs w:val="32"/>
                <w:lang w:eastAsia="zh-CN"/>
                <w14:textFill>
                  <w14:solidFill>
                    <w14:schemeClr w14:val="tx1"/>
                  </w14:solidFill>
                </w14:textFill>
              </w:rPr>
              <w:t>、</w:t>
            </w:r>
            <w:r>
              <w:rPr>
                <w:b/>
                <w:bCs/>
                <w:color w:val="000000" w:themeColor="text1"/>
                <w:kern w:val="0"/>
                <w:szCs w:val="32"/>
                <w14:textFill>
                  <w14:solidFill>
                    <w14:schemeClr w14:val="tx1"/>
                  </w14:solidFill>
                </w14:textFill>
              </w:rPr>
              <w:t>《新乡市202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年</w:t>
            </w:r>
            <w:r>
              <w:rPr>
                <w:rFonts w:hint="eastAsia"/>
                <w:b/>
                <w:bCs/>
                <w:color w:val="000000" w:themeColor="text1"/>
                <w:kern w:val="0"/>
                <w:szCs w:val="32"/>
                <w:lang w:eastAsia="zh-CN"/>
                <w14:textFill>
                  <w14:solidFill>
                    <w14:schemeClr w14:val="tx1"/>
                  </w14:solidFill>
                </w14:textFill>
              </w:rPr>
              <w:t>柴油货车污染治理攻坚战</w:t>
            </w:r>
            <w:r>
              <w:rPr>
                <w:b/>
                <w:bCs/>
                <w:color w:val="000000" w:themeColor="text1"/>
                <w:kern w:val="0"/>
                <w:szCs w:val="32"/>
                <w14:textFill>
                  <w14:solidFill>
                    <w14:schemeClr w14:val="tx1"/>
                  </w14:solidFill>
                </w14:textFill>
              </w:rPr>
              <w:t>实施方案》（新环委办[202</w:t>
            </w:r>
            <w:r>
              <w:rPr>
                <w:rFonts w:hint="eastAsia"/>
                <w:b/>
                <w:bCs/>
                <w:color w:val="000000" w:themeColor="text1"/>
                <w:kern w:val="0"/>
                <w:szCs w:val="32"/>
                <w:lang w:val="en-US" w:eastAsia="zh-CN"/>
                <w14:textFill>
                  <w14:solidFill>
                    <w14:schemeClr w14:val="tx1"/>
                  </w14:solidFill>
                </w14:textFill>
              </w:rPr>
              <w:t>6</w:t>
            </w:r>
            <w:r>
              <w:rPr>
                <w:b/>
                <w:bCs/>
                <w:color w:val="000000" w:themeColor="text1"/>
                <w:kern w:val="0"/>
                <w:szCs w:val="32"/>
                <w14:textFill>
                  <w14:solidFill>
                    <w14:schemeClr w14:val="tx1"/>
                  </w14:solidFill>
                </w14:textFill>
              </w:rPr>
              <w:t>]</w:t>
            </w:r>
            <w:r>
              <w:rPr>
                <w:rFonts w:hint="eastAsia"/>
                <w:b/>
                <w:bCs/>
                <w:color w:val="000000" w:themeColor="text1"/>
                <w:kern w:val="0"/>
                <w:szCs w:val="32"/>
                <w:lang w:val="en-US" w:eastAsia="zh-CN"/>
                <w14:textFill>
                  <w14:solidFill>
                    <w14:schemeClr w14:val="tx1"/>
                  </w14:solidFill>
                </w14:textFill>
              </w:rPr>
              <w:t>21</w:t>
            </w:r>
            <w:r>
              <w:rPr>
                <w:b/>
                <w:bCs/>
                <w:color w:val="000000" w:themeColor="text1"/>
                <w:kern w:val="0"/>
                <w:szCs w:val="32"/>
                <w14:textFill>
                  <w14:solidFill>
                    <w14:schemeClr w14:val="tx1"/>
                  </w14:solidFill>
                </w14:textFill>
              </w:rPr>
              <w:t>号）的通知</w:t>
            </w:r>
            <w:r>
              <w:rPr>
                <w:rFonts w:hint="eastAsia"/>
                <w:b/>
                <w:bCs/>
                <w:color w:val="000000" w:themeColor="text1"/>
                <w:kern w:val="0"/>
                <w:szCs w:val="32"/>
                <w:lang w:eastAsia="zh-CN"/>
                <w14:textFill>
                  <w14:solidFill>
                    <w14:schemeClr w14:val="tx1"/>
                  </w14:solidFill>
                </w14:textFill>
              </w:rPr>
              <w:t>、</w:t>
            </w:r>
            <w:r>
              <w:rPr>
                <w:b/>
                <w:bCs/>
                <w:color w:val="000000" w:themeColor="text1"/>
                <w:kern w:val="0"/>
                <w:szCs w:val="32"/>
                <w14:textFill>
                  <w14:solidFill>
                    <w14:schemeClr w14:val="tx1"/>
                  </w14:solidFill>
                </w14:textFill>
              </w:rPr>
              <w:t>相符性分析</w:t>
            </w:r>
          </w:p>
          <w:p w14:paraId="64E1CB31">
            <w:pPr>
              <w:spacing w:line="460" w:lineRule="exact"/>
              <w:ind w:firstLine="1200" w:firstLineChars="500"/>
              <w:rPr>
                <w:rFonts w:eastAsia="黑体"/>
                <w:color w:val="000000"/>
                <w:kern w:val="0"/>
              </w:rPr>
            </w:pPr>
            <w:r>
              <w:rPr>
                <w:rFonts w:eastAsia="黑体"/>
                <w:color w:val="000000"/>
                <w:kern w:val="0"/>
              </w:rPr>
              <w:t>表1-</w:t>
            </w:r>
            <w:r>
              <w:rPr>
                <w:rFonts w:hint="eastAsia" w:eastAsia="黑体"/>
                <w:color w:val="000000"/>
                <w:kern w:val="0"/>
                <w:lang w:val="en-US" w:eastAsia="zh-CN"/>
              </w:rPr>
              <w:t>9</w:t>
            </w:r>
            <w:r>
              <w:rPr>
                <w:rFonts w:eastAsia="黑体"/>
                <w:color w:val="000000"/>
                <w:kern w:val="0"/>
              </w:rPr>
              <w:t xml:space="preserve">      与</w:t>
            </w:r>
            <w:r>
              <w:rPr>
                <w:rFonts w:hint="eastAsia" w:eastAsia="黑体"/>
                <w:color w:val="000000"/>
                <w:kern w:val="0"/>
                <w:lang w:val="en-US" w:eastAsia="zh-CN"/>
              </w:rPr>
              <w:t>2026保卫战实施方案</w:t>
            </w:r>
            <w:r>
              <w:rPr>
                <w:rFonts w:eastAsia="黑体"/>
                <w:color w:val="000000"/>
                <w:kern w:val="0"/>
              </w:rPr>
              <w:t>对比分析一览表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0"/>
              <w:gridCol w:w="2652"/>
              <w:gridCol w:w="861"/>
            </w:tblGrid>
            <w:tr w14:paraId="026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35CD2EA7">
                  <w:pPr>
                    <w:pStyle w:val="92"/>
                    <w:spacing w:line="240" w:lineRule="auto"/>
                    <w:ind w:firstLine="0" w:firstLineChars="0"/>
                    <w:rPr>
                      <w:b/>
                      <w:bCs w:val="0"/>
                      <w:kern w:val="0"/>
                      <w:sz w:val="21"/>
                    </w:rPr>
                  </w:pPr>
                  <w:r>
                    <w:rPr>
                      <w:b/>
                      <w:bCs w:val="0"/>
                      <w:kern w:val="0"/>
                      <w:sz w:val="21"/>
                    </w:rPr>
                    <w:t>与本项目相关条文</w:t>
                  </w:r>
                </w:p>
              </w:tc>
              <w:tc>
                <w:tcPr>
                  <w:tcW w:w="2652" w:type="dxa"/>
                  <w:vAlign w:val="center"/>
                </w:tcPr>
                <w:p w14:paraId="57D187C5">
                  <w:pPr>
                    <w:pStyle w:val="92"/>
                    <w:spacing w:line="240" w:lineRule="auto"/>
                    <w:ind w:firstLine="0" w:firstLineChars="0"/>
                    <w:rPr>
                      <w:b/>
                      <w:bCs w:val="0"/>
                      <w:kern w:val="0"/>
                      <w:sz w:val="21"/>
                    </w:rPr>
                  </w:pPr>
                  <w:r>
                    <w:rPr>
                      <w:b/>
                      <w:bCs w:val="0"/>
                      <w:kern w:val="0"/>
                      <w:sz w:val="21"/>
                    </w:rPr>
                    <w:t>本项目情况</w:t>
                  </w:r>
                </w:p>
              </w:tc>
              <w:tc>
                <w:tcPr>
                  <w:tcW w:w="861" w:type="dxa"/>
                  <w:vAlign w:val="center"/>
                </w:tcPr>
                <w:p w14:paraId="6F5C71AD">
                  <w:pPr>
                    <w:pStyle w:val="92"/>
                    <w:spacing w:line="240" w:lineRule="auto"/>
                    <w:ind w:firstLine="0" w:firstLineChars="0"/>
                    <w:rPr>
                      <w:b/>
                      <w:bCs w:val="0"/>
                      <w:kern w:val="0"/>
                      <w:sz w:val="21"/>
                    </w:rPr>
                  </w:pPr>
                  <w:r>
                    <w:rPr>
                      <w:b/>
                      <w:bCs w:val="0"/>
                      <w:kern w:val="0"/>
                      <w:sz w:val="21"/>
                    </w:rPr>
                    <w:t>对比结果</w:t>
                  </w:r>
                </w:p>
              </w:tc>
            </w:tr>
            <w:tr w14:paraId="146E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63" w:type="dxa"/>
                  <w:gridSpan w:val="3"/>
                  <w:vAlign w:val="center"/>
                </w:tcPr>
                <w:p w14:paraId="71349680">
                  <w:pPr>
                    <w:pStyle w:val="92"/>
                    <w:spacing w:line="240" w:lineRule="auto"/>
                    <w:ind w:firstLine="0" w:firstLineChars="0"/>
                    <w:rPr>
                      <w:b/>
                      <w:kern w:val="0"/>
                      <w:sz w:val="21"/>
                    </w:rPr>
                  </w:pPr>
                  <w:r>
                    <w:rPr>
                      <w:b/>
                      <w:bCs/>
                      <w:color w:val="auto"/>
                      <w:kern w:val="0"/>
                      <w:sz w:val="21"/>
                      <w:highlight w:val="none"/>
                    </w:rPr>
                    <w:t>新乡市202</w:t>
                  </w:r>
                  <w:r>
                    <w:rPr>
                      <w:rFonts w:hint="eastAsia"/>
                      <w:b/>
                      <w:bCs/>
                      <w:color w:val="auto"/>
                      <w:kern w:val="0"/>
                      <w:sz w:val="21"/>
                      <w:highlight w:val="none"/>
                      <w:lang w:val="en-US" w:eastAsia="zh-CN"/>
                    </w:rPr>
                    <w:t>6</w:t>
                  </w:r>
                  <w:r>
                    <w:rPr>
                      <w:b/>
                      <w:bCs/>
                      <w:color w:val="auto"/>
                      <w:kern w:val="0"/>
                      <w:sz w:val="21"/>
                      <w:highlight w:val="none"/>
                    </w:rPr>
                    <w:t>年蓝天保卫战实施方案</w:t>
                  </w:r>
                </w:p>
              </w:tc>
            </w:tr>
            <w:tr w14:paraId="424A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4D06A306">
                  <w:pPr>
                    <w:pStyle w:val="92"/>
                    <w:spacing w:line="240" w:lineRule="auto"/>
                    <w:ind w:firstLine="0" w:firstLineChars="0"/>
                    <w:jc w:val="both"/>
                    <w:rPr>
                      <w:bCs w:val="0"/>
                      <w:kern w:val="0"/>
                      <w:sz w:val="21"/>
                    </w:rPr>
                  </w:pPr>
                  <w:r>
                    <w:rPr>
                      <w:rFonts w:hint="eastAsia"/>
                      <w:bCs w:val="0"/>
                      <w:kern w:val="0"/>
                      <w:sz w:val="21"/>
                    </w:rPr>
                    <w:t>1.推进重污染企业退城入园搬迁。除部分必须依托城市或直接服务于城市的工业企业外，对城区内环境影响较大的涉气企业实施“一企一策”退城入园搬迁改造。</w:t>
                  </w:r>
                </w:p>
              </w:tc>
              <w:tc>
                <w:tcPr>
                  <w:tcW w:w="2652" w:type="dxa"/>
                  <w:vAlign w:val="center"/>
                </w:tcPr>
                <w:p w14:paraId="11F25BBA">
                  <w:pPr>
                    <w:pStyle w:val="92"/>
                    <w:spacing w:line="240" w:lineRule="auto"/>
                    <w:ind w:firstLine="0" w:firstLineChars="0"/>
                    <w:jc w:val="both"/>
                    <w:rPr>
                      <w:rFonts w:hint="eastAsia" w:eastAsia="宋体"/>
                      <w:kern w:val="0"/>
                      <w:sz w:val="21"/>
                      <w:lang w:eastAsia="zh-CN"/>
                    </w:rPr>
                  </w:pPr>
                  <w:r>
                    <w:rPr>
                      <w:rFonts w:hint="eastAsia"/>
                      <w:kern w:val="0"/>
                      <w:sz w:val="21"/>
                      <w:lang w:eastAsia="zh-CN"/>
                    </w:rPr>
                    <w:t>项目选址位于新乡市新能源电池专业园区，不属于退城入园项目。</w:t>
                  </w:r>
                </w:p>
              </w:tc>
              <w:tc>
                <w:tcPr>
                  <w:tcW w:w="861" w:type="dxa"/>
                  <w:vAlign w:val="center"/>
                </w:tcPr>
                <w:p w14:paraId="66696883">
                  <w:pPr>
                    <w:pStyle w:val="92"/>
                    <w:spacing w:line="240" w:lineRule="auto"/>
                    <w:ind w:firstLine="0" w:firstLineChars="0"/>
                    <w:rPr>
                      <w:rFonts w:hint="eastAsia" w:eastAsia="宋体"/>
                      <w:bCs w:val="0"/>
                      <w:kern w:val="0"/>
                      <w:sz w:val="21"/>
                      <w:lang w:eastAsia="zh-CN"/>
                    </w:rPr>
                  </w:pPr>
                  <w:r>
                    <w:rPr>
                      <w:rFonts w:hint="eastAsia"/>
                      <w:bCs w:val="0"/>
                      <w:kern w:val="0"/>
                      <w:sz w:val="21"/>
                      <w:lang w:eastAsia="zh-CN"/>
                    </w:rPr>
                    <w:t>不属于</w:t>
                  </w:r>
                </w:p>
              </w:tc>
            </w:tr>
            <w:tr w14:paraId="1081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6EBEBD7B">
                  <w:pPr>
                    <w:pStyle w:val="92"/>
                    <w:spacing w:line="240" w:lineRule="auto"/>
                    <w:ind w:firstLine="0" w:firstLineChars="0"/>
                    <w:jc w:val="both"/>
                    <w:rPr>
                      <w:rFonts w:hint="eastAsia"/>
                      <w:bCs w:val="0"/>
                      <w:kern w:val="0"/>
                      <w:sz w:val="21"/>
                    </w:rPr>
                  </w:pPr>
                  <w:r>
                    <w:rPr>
                      <w:rFonts w:hint="eastAsia"/>
                      <w:bCs w:val="0"/>
                      <w:kern w:val="0"/>
                      <w:sz w:val="21"/>
                    </w:rPr>
                    <w:t>15.推动重点行业企业环境绩效等级提升。聚焦火电、垃圾发电、水泥熟料、煤制氮肥、耐火材料、日用玻璃、烧结砖瓦、砂石骨料、炭素、铸造、石灰窑及商砼(沥青)搅拌站等重点行业，按照“轻重缓急”原则，建立梯度化培育提升清单。对照绩效分级技术指南，编制“一企一策”提标改造方案，强化全过程监督帮扶指导。2026年底，全市创建A、B级及绩效引领性企业50家，其中A级企业不少于8家。严格按照国家和省级相关政策规定，在项目审批、环保税减免、资金奖补、差别化电价等方面给予支持，充分发挥标杆企业示范引领作用。</w:t>
                  </w:r>
                </w:p>
              </w:tc>
              <w:tc>
                <w:tcPr>
                  <w:tcW w:w="2652" w:type="dxa"/>
                  <w:vAlign w:val="center"/>
                </w:tcPr>
                <w:p w14:paraId="4B590CAF">
                  <w:pPr>
                    <w:pStyle w:val="92"/>
                    <w:spacing w:line="240" w:lineRule="auto"/>
                    <w:ind w:firstLine="0" w:firstLineChars="0"/>
                    <w:jc w:val="both"/>
                    <w:rPr>
                      <w:rFonts w:hint="eastAsia"/>
                      <w:kern w:val="0"/>
                      <w:sz w:val="21"/>
                      <w:lang w:eastAsia="zh-CN"/>
                    </w:rPr>
                  </w:pPr>
                  <w:r>
                    <w:rPr>
                      <w:rFonts w:hint="eastAsia"/>
                      <w:kern w:val="0"/>
                      <w:sz w:val="21"/>
                      <w:lang w:eastAsia="zh-CN"/>
                    </w:rPr>
                    <w:t>项目属于棉纺织及印染精加工业，严格按照《河南省重污染天气重点行业应急减排措施制定技术指南（2024年修订版）》 “纺织印染与服饰制造”绩效分级A级要求进行建设。</w:t>
                  </w:r>
                </w:p>
              </w:tc>
              <w:tc>
                <w:tcPr>
                  <w:tcW w:w="861" w:type="dxa"/>
                  <w:vAlign w:val="center"/>
                </w:tcPr>
                <w:p w14:paraId="422219EE">
                  <w:pPr>
                    <w:pStyle w:val="92"/>
                    <w:spacing w:line="240" w:lineRule="auto"/>
                    <w:ind w:firstLine="0" w:firstLineChars="0"/>
                    <w:rPr>
                      <w:rFonts w:hint="eastAsia"/>
                      <w:bCs w:val="0"/>
                      <w:kern w:val="0"/>
                      <w:sz w:val="21"/>
                      <w:lang w:eastAsia="zh-CN"/>
                    </w:rPr>
                  </w:pPr>
                  <w:r>
                    <w:rPr>
                      <w:rFonts w:hint="eastAsia"/>
                      <w:bCs w:val="0"/>
                      <w:kern w:val="0"/>
                      <w:sz w:val="21"/>
                      <w:lang w:eastAsia="zh-CN"/>
                    </w:rPr>
                    <w:t>符合</w:t>
                  </w:r>
                </w:p>
              </w:tc>
            </w:tr>
            <w:tr w14:paraId="56A4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693535CF">
                  <w:pPr>
                    <w:pStyle w:val="92"/>
                    <w:spacing w:line="240" w:lineRule="auto"/>
                    <w:ind w:firstLine="0" w:firstLineChars="0"/>
                    <w:jc w:val="both"/>
                    <w:rPr>
                      <w:bCs w:val="0"/>
                      <w:kern w:val="0"/>
                      <w:sz w:val="21"/>
                    </w:rPr>
                  </w:pPr>
                  <w:r>
                    <w:rPr>
                      <w:rFonts w:hint="eastAsia"/>
                      <w:bCs w:val="0"/>
                      <w:kern w:val="0"/>
                      <w:sz w:val="21"/>
                    </w:rPr>
                    <w:t>18.实施挥发性有机物(VOCs)综合治理。严格遵循“可替尽替、应代尽代”原则，进一步加大工业涂装、包装印刷、家具制造、电子制造等重点行业低VOCs含量原辅材料替代力度，全面采用符合相关VOCs含量限值标准的涂料、油墨、胶粘剂及清洗剂。全面推行活性炭更新更换“码上换”管理模式，2026年4月底前，所有采用活性炭吸附治理工艺的企业完成二维码登记、活性炭更换相关信息录入及一轮次活性炭更换工作，实现活性炭更换动态管控。持续推进VOCs治理突出问题排查整治工作，加强污染治理设施日常运行维护，强化无组织及非正常工况废气排放管控，提升废气收集效率，规范开展泄漏检测与修复(LDAR)工作。2026年9月底前，实现废水逸散高浓度VOCs废气单独收集治理，挥发性有机液体储罐基本采用低泄漏储罐呼吸阀、紧急泄压阀，汽车罐车基本配备自封式快速接头。</w:t>
                  </w:r>
                </w:p>
              </w:tc>
              <w:tc>
                <w:tcPr>
                  <w:tcW w:w="2652" w:type="dxa"/>
                  <w:vAlign w:val="center"/>
                </w:tcPr>
                <w:p w14:paraId="39952E3A">
                  <w:pPr>
                    <w:pStyle w:val="6"/>
                    <w:adjustRightInd w:val="0"/>
                    <w:snapToGrid w:val="0"/>
                    <w:spacing w:line="240" w:lineRule="auto"/>
                    <w:ind w:firstLine="0" w:firstLineChars="0"/>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本项目使用</w:t>
                  </w:r>
                  <w:r>
                    <w:rPr>
                      <w:rFonts w:hint="eastAsia"/>
                      <w:color w:val="000000" w:themeColor="text1"/>
                      <w:sz w:val="21"/>
                      <w:szCs w:val="21"/>
                      <w:lang w:eastAsia="zh-CN"/>
                      <w14:textFill>
                        <w14:solidFill>
                          <w14:schemeClr w14:val="tx1"/>
                        </w14:solidFill>
                      </w14:textFill>
                    </w:rPr>
                    <w:t>水性丙烯酸油墨</w:t>
                  </w:r>
                  <w:r>
                    <w:rPr>
                      <w:rFonts w:hint="eastAsia"/>
                      <w:color w:val="000000" w:themeColor="text1"/>
                      <w:sz w:val="21"/>
                      <w:szCs w:val="21"/>
                      <w14:textFill>
                        <w14:solidFill>
                          <w14:schemeClr w14:val="tx1"/>
                        </w14:solidFill>
                      </w14:textFill>
                    </w:rPr>
                    <w:t>符合</w:t>
                  </w:r>
                  <w:r>
                    <w:rPr>
                      <w:rFonts w:hint="eastAsia"/>
                      <w:color w:val="000000" w:themeColor="text1"/>
                      <w:sz w:val="21"/>
                      <w:szCs w:val="21"/>
                      <w:lang w:eastAsia="zh-CN"/>
                      <w14:textFill>
                        <w14:solidFill>
                          <w14:schemeClr w14:val="tx1"/>
                        </w14:solidFill>
                      </w14:textFill>
                    </w:rPr>
                    <w:t>《油墨中可挥发性有机化合物（VOCs）含量限值》（GB38507-2020）、水性丙烯酸胶浆</w:t>
                  </w:r>
                  <w:r>
                    <w:rPr>
                      <w:rFonts w:hint="eastAsia"/>
                      <w:color w:val="000000" w:themeColor="text1"/>
                      <w:sz w:val="21"/>
                      <w:szCs w:val="21"/>
                      <w14:textFill>
                        <w14:solidFill>
                          <w14:schemeClr w14:val="tx1"/>
                        </w14:solidFill>
                      </w14:textFill>
                    </w:rPr>
                    <w:t>符合《胶粘剂挥发性有机化合物限值》（GB 33372-2020）限值要求，从源头采取低VOCs物料进行生产；</w:t>
                  </w:r>
                </w:p>
                <w:p w14:paraId="2081FFBF">
                  <w:pPr>
                    <w:pStyle w:val="6"/>
                    <w:adjustRightInd w:val="0"/>
                    <w:snapToGrid w:val="0"/>
                    <w:spacing w:line="240" w:lineRule="auto"/>
                    <w:ind w:firstLine="0" w:firstLineChars="0"/>
                    <w:rPr>
                      <w:rFonts w:hint="eastAsia" w:eastAsia="宋体"/>
                      <w:sz w:val="21"/>
                      <w:szCs w:val="21"/>
                      <w:lang w:eastAsia="zh-CN"/>
                    </w:rPr>
                  </w:pPr>
                  <w:r>
                    <w:rPr>
                      <w:rFonts w:hint="eastAsia"/>
                      <w:color w:val="000000" w:themeColor="text1"/>
                      <w:sz w:val="21"/>
                      <w:szCs w:val="21"/>
                      <w:lang w:val="en-US" w:eastAsia="zh-CN"/>
                      <w14:textFill>
                        <w14:solidFill>
                          <w14:schemeClr w14:val="tx1"/>
                        </w14:solidFill>
                      </w14:textFill>
                    </w:rPr>
                    <w:t>2、</w:t>
                  </w:r>
                  <w:r>
                    <w:rPr>
                      <w:rFonts w:hint="eastAsia"/>
                      <w:sz w:val="21"/>
                      <w:szCs w:val="21"/>
                    </w:rPr>
                    <w:t>项目生产工序均置于密闭生产车间，</w:t>
                  </w:r>
                  <w:r>
                    <w:rPr>
                      <w:sz w:val="21"/>
                      <w:szCs w:val="21"/>
                    </w:rPr>
                    <w:t>印</w:t>
                  </w:r>
                  <w:r>
                    <w:rPr>
                      <w:rFonts w:hint="eastAsia"/>
                      <w:sz w:val="21"/>
                      <w:szCs w:val="21"/>
                    </w:rPr>
                    <w:t>花</w:t>
                  </w:r>
                  <w:r>
                    <w:rPr>
                      <w:sz w:val="21"/>
                      <w:szCs w:val="21"/>
                    </w:rPr>
                    <w:t>、复合</w:t>
                  </w:r>
                  <w:r>
                    <w:rPr>
                      <w:rFonts w:hint="eastAsia"/>
                      <w:sz w:val="21"/>
                      <w:szCs w:val="21"/>
                    </w:rPr>
                    <w:t>、雕花、压花、清理、开口工序进行二次密闭，产生废气生产设备上方设置集气罩，收集效率为9</w:t>
                  </w:r>
                  <w:r>
                    <w:rPr>
                      <w:sz w:val="21"/>
                      <w:szCs w:val="21"/>
                    </w:rPr>
                    <w:t>5</w:t>
                  </w:r>
                  <w:r>
                    <w:rPr>
                      <w:rFonts w:hint="eastAsia"/>
                      <w:sz w:val="21"/>
                      <w:szCs w:val="21"/>
                    </w:rPr>
                    <w:t>%，负压引至</w:t>
                  </w:r>
                  <w:r>
                    <w:rPr>
                      <w:bCs/>
                      <w:sz w:val="21"/>
                      <w:szCs w:val="21"/>
                    </w:rPr>
                    <w:t>活性炭吸附/脱附-催化燃烧装置</w:t>
                  </w:r>
                  <w:r>
                    <w:rPr>
                      <w:rFonts w:hint="eastAsia"/>
                      <w:sz w:val="21"/>
                      <w:szCs w:val="21"/>
                    </w:rPr>
                    <w:t>（TA001）</w:t>
                  </w:r>
                  <w:r>
                    <w:rPr>
                      <w:bCs/>
                      <w:sz w:val="21"/>
                      <w:szCs w:val="21"/>
                    </w:rPr>
                    <w:t>处理，</w:t>
                  </w:r>
                  <w:r>
                    <w:rPr>
                      <w:sz w:val="21"/>
                      <w:szCs w:val="21"/>
                    </w:rPr>
                    <w:t>尾气经15m高排气筒</w:t>
                  </w:r>
                  <w:r>
                    <w:rPr>
                      <w:rFonts w:hint="eastAsia"/>
                      <w:sz w:val="21"/>
                      <w:szCs w:val="21"/>
                    </w:rPr>
                    <w:t>（DA001）</w:t>
                  </w:r>
                  <w:r>
                    <w:rPr>
                      <w:sz w:val="21"/>
                      <w:szCs w:val="21"/>
                    </w:rPr>
                    <w:t>排放</w:t>
                  </w:r>
                  <w:r>
                    <w:rPr>
                      <w:rFonts w:hint="eastAsia"/>
                      <w:sz w:val="21"/>
                      <w:szCs w:val="21"/>
                      <w:lang w:eastAsia="zh-CN"/>
                    </w:rPr>
                    <w:t>；</w:t>
                  </w:r>
                </w:p>
                <w:p w14:paraId="019F9089">
                  <w:pPr>
                    <w:pStyle w:val="6"/>
                    <w:adjustRightInd w:val="0"/>
                    <w:snapToGrid w:val="0"/>
                    <w:spacing w:line="240" w:lineRule="auto"/>
                    <w:ind w:firstLine="0" w:firstLineChars="0"/>
                    <w:rPr>
                      <w:kern w:val="0"/>
                      <w:sz w:val="21"/>
                    </w:rPr>
                  </w:pPr>
                  <w:r>
                    <w:rPr>
                      <w:rFonts w:hint="eastAsia"/>
                      <w:sz w:val="21"/>
                      <w:szCs w:val="21"/>
                      <w:lang w:val="en-US" w:eastAsia="zh-CN"/>
                    </w:rPr>
                    <w:t>3</w:t>
                  </w:r>
                  <w:r>
                    <w:rPr>
                      <w:rFonts w:hint="eastAsia"/>
                      <w:sz w:val="21"/>
                      <w:szCs w:val="21"/>
                      <w:lang w:eastAsia="zh-CN"/>
                    </w:rPr>
                    <w:t>项目建成后严格按照环保技术要求，填报环保管理系统，并建立台账。</w:t>
                  </w:r>
                </w:p>
              </w:tc>
              <w:tc>
                <w:tcPr>
                  <w:tcW w:w="861" w:type="dxa"/>
                  <w:vAlign w:val="center"/>
                </w:tcPr>
                <w:p w14:paraId="2E377A7B">
                  <w:pPr>
                    <w:pStyle w:val="92"/>
                    <w:spacing w:line="240" w:lineRule="auto"/>
                    <w:ind w:firstLine="0" w:firstLineChars="0"/>
                    <w:rPr>
                      <w:rFonts w:hint="eastAsia" w:eastAsia="宋体"/>
                      <w:bCs w:val="0"/>
                      <w:kern w:val="0"/>
                      <w:sz w:val="21"/>
                      <w:lang w:eastAsia="zh-CN"/>
                    </w:rPr>
                  </w:pPr>
                  <w:r>
                    <w:rPr>
                      <w:rFonts w:hint="eastAsia"/>
                      <w:bCs w:val="0"/>
                      <w:kern w:val="0"/>
                      <w:sz w:val="21"/>
                      <w:lang w:eastAsia="zh-CN"/>
                    </w:rPr>
                    <w:t>符合</w:t>
                  </w:r>
                </w:p>
              </w:tc>
            </w:tr>
            <w:tr w14:paraId="6B6E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63" w:type="dxa"/>
                  <w:gridSpan w:val="3"/>
                  <w:vAlign w:val="center"/>
                </w:tcPr>
                <w:p w14:paraId="0C0465E3">
                  <w:pPr>
                    <w:pStyle w:val="9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年碧水保卫战实施方案</w:t>
                  </w:r>
                </w:p>
              </w:tc>
            </w:tr>
            <w:tr w14:paraId="0F74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3E288F4C">
                  <w:pPr>
                    <w:pStyle w:val="105"/>
                    <w:ind w:firstLine="0" w:firstLineChars="0"/>
                    <w:rPr>
                      <w:color w:val="000000"/>
                      <w:szCs w:val="21"/>
                    </w:rPr>
                  </w:pPr>
                  <w:r>
                    <w:rPr>
                      <w:rFonts w:hint="eastAsia"/>
                      <w:color w:val="000000"/>
                      <w:szCs w:val="21"/>
                      <w:lang w:val="en-US" w:eastAsia="zh-CN"/>
                    </w:rPr>
                    <w:t>7</w:t>
                  </w:r>
                  <w:r>
                    <w:rPr>
                      <w:color w:val="000000"/>
                      <w:szCs w:val="21"/>
                    </w:rPr>
                    <w:t>.</w:t>
                  </w:r>
                  <w:r>
                    <w:rPr>
                      <w:rFonts w:hint="eastAsia"/>
                      <w:color w:val="000000"/>
                      <w:szCs w:val="21"/>
                    </w:rPr>
                    <w:t>7.持续完善工业园区水环境基础设施。深入开展工业园区水污染问题排查整治，推动化工园区专业化工生产废水集中处理设施建设(独立建设或依托骨干企业)及“一企一管或多厂专管、明管输送”配套管网建设。2026年底前，卫辉市铁西化工园区污水处理厂、获嘉县香山家园污水处理厂提标改造建成投运，延津县先进制造业开发区化工园区完成配套管网建设</w:t>
                  </w:r>
                  <w:r>
                    <w:rPr>
                      <w:rFonts w:hint="eastAsia"/>
                      <w:color w:val="000000"/>
                      <w:szCs w:val="21"/>
                      <w:lang w:eastAsia="zh-CN"/>
                    </w:rPr>
                    <w:t>；</w:t>
                  </w:r>
                  <w:r>
                    <w:rPr>
                      <w:rFonts w:hint="eastAsia"/>
                      <w:color w:val="000000"/>
                      <w:szCs w:val="21"/>
                    </w:rPr>
                    <w:t>新乡县化工园区污水处理厂改造项目工程开工建设。</w:t>
                  </w:r>
                </w:p>
              </w:tc>
              <w:tc>
                <w:tcPr>
                  <w:tcW w:w="2652" w:type="dxa"/>
                  <w:vAlign w:val="center"/>
                </w:tcPr>
                <w:p w14:paraId="7E272DB3">
                  <w:pPr>
                    <w:pStyle w:val="105"/>
                    <w:ind w:firstLine="0" w:firstLineChars="0"/>
                    <w:rPr>
                      <w:color w:val="000000"/>
                      <w:szCs w:val="21"/>
                    </w:rPr>
                  </w:pPr>
                  <w:r>
                    <w:rPr>
                      <w:color w:val="000000" w:themeColor="text1"/>
                      <w:szCs w:val="21"/>
                      <w14:textFill>
                        <w14:solidFill>
                          <w14:schemeClr w14:val="tx1"/>
                        </w14:solidFill>
                      </w14:textFill>
                    </w:rPr>
                    <w:t>项目</w:t>
                  </w:r>
                  <w:r>
                    <w:rPr>
                      <w:rFonts w:hint="eastAsia"/>
                      <w:color w:val="000000" w:themeColor="text1"/>
                      <w:szCs w:val="21"/>
                      <w:lang w:eastAsia="zh-CN"/>
                      <w14:textFill>
                        <w14:solidFill>
                          <w14:schemeClr w14:val="tx1"/>
                        </w14:solidFill>
                      </w14:textFill>
                    </w:rPr>
                    <w:t>无生产废水产生，</w:t>
                  </w:r>
                  <w:r>
                    <w:rPr>
                      <w:color w:val="000000" w:themeColor="text1"/>
                      <w:szCs w:val="21"/>
                      <w14:textFill>
                        <w14:solidFill>
                          <w14:schemeClr w14:val="tx1"/>
                        </w14:solidFill>
                      </w14:textFill>
                    </w:rPr>
                    <w:t>生活污水</w:t>
                  </w:r>
                  <w:r>
                    <w:rPr>
                      <w:rFonts w:hint="eastAsia"/>
                      <w:color w:val="000000" w:themeColor="text1"/>
                      <w:szCs w:val="21"/>
                      <w:lang w:eastAsia="zh-CN"/>
                      <w14:textFill>
                        <w14:solidFill>
                          <w14:schemeClr w14:val="tx1"/>
                        </w14:solidFill>
                      </w14:textFill>
                    </w:rPr>
                    <w:t>经化粪池处理后排入河南新投水务有限公司</w:t>
                  </w:r>
                  <w:r>
                    <w:rPr>
                      <w:rFonts w:hint="eastAsia"/>
                      <w:color w:val="000000" w:themeColor="text1"/>
                      <w:szCs w:val="21"/>
                      <w14:textFill>
                        <w14:solidFill>
                          <w14:schemeClr w14:val="tx1"/>
                        </w14:solidFill>
                      </w14:textFill>
                    </w:rPr>
                    <w:t>（小尚庄污水处理厂）</w:t>
                  </w:r>
                  <w:r>
                    <w:rPr>
                      <w:color w:val="000000" w:themeColor="text1"/>
                      <w:szCs w:val="21"/>
                      <w14:textFill>
                        <w14:solidFill>
                          <w14:schemeClr w14:val="tx1"/>
                        </w14:solidFill>
                      </w14:textFill>
                    </w:rPr>
                    <w:t>进一步处理</w:t>
                  </w:r>
                  <w:r>
                    <w:rPr>
                      <w:rFonts w:hint="eastAsia"/>
                      <w:color w:val="000000" w:themeColor="text1"/>
                      <w:szCs w:val="21"/>
                      <w:lang w:eastAsia="zh-CN"/>
                      <w14:textFill>
                        <w14:solidFill>
                          <w14:schemeClr w14:val="tx1"/>
                        </w14:solidFill>
                      </w14:textFill>
                    </w:rPr>
                    <w:t>，</w:t>
                  </w:r>
                  <w:r>
                    <w:rPr>
                      <w:color w:val="000000"/>
                      <w:szCs w:val="21"/>
                    </w:rPr>
                    <w:t>不涉及入河排污口。</w:t>
                  </w:r>
                </w:p>
              </w:tc>
              <w:tc>
                <w:tcPr>
                  <w:tcW w:w="861" w:type="dxa"/>
                  <w:vAlign w:val="center"/>
                </w:tcPr>
                <w:p w14:paraId="5EAB2CF6">
                  <w:pPr>
                    <w:pStyle w:val="104"/>
                    <w:rPr>
                      <w:rFonts w:hint="eastAsia" w:eastAsia="宋体"/>
                      <w:lang w:eastAsia="zh-CN"/>
                    </w:rPr>
                  </w:pPr>
                  <w:r>
                    <w:rPr>
                      <w:rFonts w:hint="eastAsia"/>
                      <w:lang w:eastAsia="zh-CN"/>
                    </w:rPr>
                    <w:t>不涉及</w:t>
                  </w:r>
                </w:p>
              </w:tc>
            </w:tr>
            <w:tr w14:paraId="3C84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63" w:type="dxa"/>
                  <w:gridSpan w:val="3"/>
                  <w:vAlign w:val="center"/>
                </w:tcPr>
                <w:p w14:paraId="17911A6F">
                  <w:pPr>
                    <w:pStyle w:val="9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w:t>
                  </w:r>
                  <w:r>
                    <w:rPr>
                      <w:rFonts w:hint="eastAsia"/>
                      <w:b/>
                      <w:bCs/>
                      <w:kern w:val="0"/>
                      <w:sz w:val="21"/>
                      <w:lang w:eastAsia="zh-CN"/>
                    </w:rPr>
                    <w:t>净土</w:t>
                  </w:r>
                  <w:r>
                    <w:rPr>
                      <w:b/>
                      <w:bCs/>
                      <w:kern w:val="0"/>
                      <w:sz w:val="21"/>
                    </w:rPr>
                    <w:t>保卫战实施方案</w:t>
                  </w:r>
                </w:p>
              </w:tc>
            </w:tr>
            <w:tr w14:paraId="21D6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vAlign w:val="center"/>
                </w:tcPr>
                <w:p w14:paraId="3C46576C">
                  <w:pPr>
                    <w:pStyle w:val="92"/>
                    <w:spacing w:line="240" w:lineRule="auto"/>
                    <w:ind w:firstLine="0" w:firstLineChars="0"/>
                    <w:jc w:val="both"/>
                    <w:rPr>
                      <w:bCs w:val="0"/>
                      <w:kern w:val="0"/>
                      <w:sz w:val="21"/>
                    </w:rPr>
                  </w:pPr>
                  <w:r>
                    <w:rPr>
                      <w:rFonts w:hint="eastAsia"/>
                      <w:bCs w:val="0"/>
                      <w:kern w:val="0"/>
                      <w:sz w:val="21"/>
                    </w:rPr>
                    <w:t>2.做好优先监管地块风险管控。结合化工等行业企业排污许可证注销情况，动态更新全市优先监管地块清单，推动农药原料药制造等优先监管地块落实重点监测、制度控制、环境监测、工程控制等管控措施。因地制宜、合理处置、清理地块内残留污染物，阻断污染扩散途径，逐步消除对敏感受体的影响。2026年10月底前完成2025年前加入的优先监管地块土壤污染管控。2026年起，新加入的优先监管地块应于次年年底前完成土壤污染监测和管控。</w:t>
                  </w:r>
                </w:p>
              </w:tc>
              <w:tc>
                <w:tcPr>
                  <w:tcW w:w="2652" w:type="dxa"/>
                  <w:vAlign w:val="center"/>
                </w:tcPr>
                <w:p w14:paraId="330849E0">
                  <w:pPr>
                    <w:pStyle w:val="92"/>
                    <w:spacing w:line="240" w:lineRule="auto"/>
                    <w:ind w:firstLine="0" w:firstLineChars="0"/>
                    <w:jc w:val="both"/>
                    <w:rPr>
                      <w:rFonts w:hint="eastAsia" w:eastAsia="宋体"/>
                      <w:bCs w:val="0"/>
                      <w:kern w:val="0"/>
                      <w:sz w:val="21"/>
                      <w:lang w:eastAsia="zh-CN"/>
                    </w:rPr>
                  </w:pPr>
                  <w:r>
                    <w:rPr>
                      <w:rFonts w:hint="eastAsia"/>
                      <w:bCs w:val="0"/>
                      <w:kern w:val="0"/>
                      <w:sz w:val="21"/>
                      <w:lang w:eastAsia="zh-CN"/>
                    </w:rPr>
                    <w:t>项目选址不属于风险地块。</w:t>
                  </w:r>
                </w:p>
              </w:tc>
              <w:tc>
                <w:tcPr>
                  <w:tcW w:w="861" w:type="dxa"/>
                  <w:vAlign w:val="center"/>
                </w:tcPr>
                <w:p w14:paraId="706170D1">
                  <w:pPr>
                    <w:pStyle w:val="92"/>
                    <w:spacing w:line="240" w:lineRule="auto"/>
                    <w:ind w:firstLine="0" w:firstLineChars="0"/>
                    <w:rPr>
                      <w:rFonts w:hint="eastAsia" w:eastAsia="宋体"/>
                      <w:bCs w:val="0"/>
                      <w:kern w:val="0"/>
                      <w:sz w:val="21"/>
                      <w:lang w:eastAsia="zh-CN"/>
                    </w:rPr>
                  </w:pPr>
                  <w:r>
                    <w:rPr>
                      <w:rFonts w:hint="eastAsia"/>
                      <w:sz w:val="21"/>
                      <w:szCs w:val="21"/>
                      <w:lang w:eastAsia="zh-CN"/>
                    </w:rPr>
                    <w:t>不涉及</w:t>
                  </w:r>
                </w:p>
              </w:tc>
            </w:tr>
            <w:tr w14:paraId="1D89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63" w:type="dxa"/>
                  <w:gridSpan w:val="3"/>
                  <w:vAlign w:val="center"/>
                </w:tcPr>
                <w:p w14:paraId="6E308D2D">
                  <w:pPr>
                    <w:pStyle w:val="92"/>
                    <w:spacing w:line="240" w:lineRule="auto"/>
                    <w:ind w:firstLine="0" w:firstLineChars="0"/>
                    <w:rPr>
                      <w:bCs w:val="0"/>
                      <w:kern w:val="0"/>
                      <w:sz w:val="21"/>
                    </w:rPr>
                  </w:pPr>
                  <w:r>
                    <w:rPr>
                      <w:b/>
                      <w:bCs/>
                      <w:kern w:val="0"/>
                      <w:sz w:val="21"/>
                    </w:rPr>
                    <w:t>新乡市202</w:t>
                  </w:r>
                  <w:r>
                    <w:rPr>
                      <w:rFonts w:hint="eastAsia"/>
                      <w:b/>
                      <w:bCs/>
                      <w:kern w:val="0"/>
                      <w:sz w:val="21"/>
                      <w:lang w:val="en-US" w:eastAsia="zh-CN"/>
                    </w:rPr>
                    <w:t>6</w:t>
                  </w:r>
                  <w:r>
                    <w:rPr>
                      <w:b/>
                      <w:bCs/>
                      <w:kern w:val="0"/>
                      <w:sz w:val="21"/>
                    </w:rPr>
                    <w:t>年柴油货车污染治理攻坚战实施方案</w:t>
                  </w:r>
                </w:p>
              </w:tc>
            </w:tr>
            <w:tr w14:paraId="347A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shd w:val="clear" w:color="auto" w:fill="auto"/>
                  <w:vAlign w:val="center"/>
                </w:tcPr>
                <w:p w14:paraId="71EFFE9B">
                  <w:pPr>
                    <w:pStyle w:val="92"/>
                    <w:spacing w:line="240" w:lineRule="auto"/>
                    <w:ind w:firstLine="0" w:firstLineChars="0"/>
                    <w:jc w:val="both"/>
                    <w:rPr>
                      <w:rFonts w:ascii="Times New Roman" w:hAnsi="Times New Roman" w:eastAsia="宋体" w:cs="Times New Roman"/>
                      <w:bCs w:val="0"/>
                      <w:color w:val="000000"/>
                      <w:kern w:val="0"/>
                      <w:sz w:val="21"/>
                      <w:szCs w:val="21"/>
                      <w:lang w:val="en-US" w:eastAsia="zh-CN" w:bidi="ar-SA"/>
                    </w:rPr>
                  </w:pPr>
                  <w:r>
                    <w:rPr>
                      <w:bCs w:val="0"/>
                      <w:kern w:val="0"/>
                      <w:sz w:val="21"/>
                    </w:rPr>
                    <w:t>3.</w:t>
                  </w:r>
                  <w:r>
                    <w:rPr>
                      <w:rFonts w:hint="eastAsia"/>
                      <w:bCs w:val="0"/>
                      <w:kern w:val="0"/>
                      <w:sz w:val="21"/>
                    </w:rPr>
                    <w:t>大力推广新能源汽车。积极创建绿色物流区，扩大新能源车便利通行条件，政府类投资建设项目优先使用新能源车，加力推动重型货车和城市公共领域车辆新能源更新替代。支持有条件的县(市、区)开展运输通道、重点行业、重要领域、公共服务、指定区域等五类货运零排放试点。除特殊需求外，全市新增或更新的公交车、出租车、环卫车、渣土车、商砼车、校车、通勤车全面实现新能源化。科学划定并动态拓展市区绿色物流示范区，新增或更新物流配送车应使用新能源。城市中心城区内工业企业使用的货运车辆、内部运输车辆和非道路移动机械，在具备安全可靠使用条件的前提下，力争实现新能源化。高速公路、普通国省干线和环卫、物流等运营线路沿途建设重型货车超充或换电站。2026年，全市新增新能源重型货车900辆以上，城市环卫车、渣土车、商砼车、邮政车基本实现新能源化。</w:t>
                  </w:r>
                </w:p>
              </w:tc>
              <w:tc>
                <w:tcPr>
                  <w:tcW w:w="2652" w:type="dxa"/>
                  <w:shd w:val="clear" w:color="auto" w:fill="auto"/>
                  <w:vAlign w:val="center"/>
                </w:tcPr>
                <w:p w14:paraId="7145F458">
                  <w:pPr>
                    <w:pStyle w:val="92"/>
                    <w:spacing w:line="240" w:lineRule="auto"/>
                    <w:ind w:firstLine="0" w:firstLineChars="0"/>
                    <w:jc w:val="both"/>
                    <w:rPr>
                      <w:rFonts w:ascii="Times New Roman" w:hAnsi="Times New Roman" w:eastAsia="宋体" w:cs="Times New Roman"/>
                      <w:bCs w:val="0"/>
                      <w:color w:val="000000"/>
                      <w:kern w:val="0"/>
                      <w:sz w:val="21"/>
                      <w:szCs w:val="21"/>
                      <w:lang w:val="en-US" w:eastAsia="zh-CN" w:bidi="ar-SA"/>
                    </w:rPr>
                  </w:pPr>
                  <w:r>
                    <w:rPr>
                      <w:snapToGrid w:val="0"/>
                      <w:kern w:val="0"/>
                      <w:sz w:val="21"/>
                    </w:rPr>
                    <w:t>本项目建成后</w:t>
                  </w:r>
                  <w:r>
                    <w:rPr>
                      <w:kern w:val="0"/>
                      <w:sz w:val="21"/>
                    </w:rPr>
                    <w:t>物料公路运输全部使用达到国五及以上排放标准重型载货车辆（含燃气）或新能源车辆。</w:t>
                  </w:r>
                </w:p>
              </w:tc>
              <w:tc>
                <w:tcPr>
                  <w:tcW w:w="861" w:type="dxa"/>
                  <w:shd w:val="clear" w:color="auto" w:fill="auto"/>
                  <w:vAlign w:val="center"/>
                </w:tcPr>
                <w:p w14:paraId="71FA06A0">
                  <w:pPr>
                    <w:pStyle w:val="92"/>
                    <w:spacing w:line="240" w:lineRule="auto"/>
                    <w:ind w:firstLine="0" w:firstLineChars="0"/>
                    <w:rPr>
                      <w:rFonts w:ascii="Times New Roman" w:hAnsi="Times New Roman" w:eastAsia="宋体" w:cs="Times New Roman"/>
                      <w:bCs w:val="0"/>
                      <w:color w:val="000000"/>
                      <w:kern w:val="0"/>
                      <w:sz w:val="21"/>
                      <w:szCs w:val="21"/>
                      <w:lang w:val="en-US" w:eastAsia="zh-CN" w:bidi="ar-SA"/>
                    </w:rPr>
                  </w:pPr>
                  <w:r>
                    <w:rPr>
                      <w:sz w:val="21"/>
                      <w:szCs w:val="21"/>
                    </w:rPr>
                    <w:t>符合</w:t>
                  </w:r>
                </w:p>
              </w:tc>
            </w:tr>
            <w:tr w14:paraId="25A5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50" w:type="dxa"/>
                  <w:shd w:val="clear" w:color="auto" w:fill="auto"/>
                  <w:vAlign w:val="center"/>
                </w:tcPr>
                <w:p w14:paraId="600F5373">
                  <w:pPr>
                    <w:pStyle w:val="9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bCs w:val="0"/>
                      <w:kern w:val="0"/>
                      <w:sz w:val="21"/>
                    </w:rPr>
                    <w:t>16.强化门禁及视频监控系统管理。持续深化重点用车单位门禁监控及视频监控系统建设与应用，提升精细化监管水平。对年度日均载货车辆进出20辆次及以上、日运输量150吨以上的重点用车单位进行动态摸排，做到应装尽装、应联尽联。督促企业完善门禁系统管理制度，规范填报电子台账，如实记录进出厂时间、车型、排放阶段、燃油类型等信息，确保数据真实、完整、可追溯。加大平台巡检与现场核查力度，严查长期抬杆、违规手工抬杆、旁门豁口、异常离线等行为;对不规范使用门禁、达不到运输监管要求的绩效企业，实施动态管理。</w:t>
                  </w:r>
                </w:p>
              </w:tc>
              <w:tc>
                <w:tcPr>
                  <w:tcW w:w="2652" w:type="dxa"/>
                  <w:shd w:val="clear" w:color="auto" w:fill="auto"/>
                  <w:vAlign w:val="center"/>
                </w:tcPr>
                <w:p w14:paraId="64414C3C">
                  <w:pPr>
                    <w:pStyle w:val="92"/>
                    <w:spacing w:line="240" w:lineRule="auto"/>
                    <w:ind w:firstLine="0" w:firstLineChars="0"/>
                    <w:jc w:val="both"/>
                    <w:rPr>
                      <w:rFonts w:hint="eastAsia" w:ascii="Times New Roman" w:hAnsi="Times New Roman" w:eastAsia="宋体" w:cs="Times New Roman"/>
                      <w:bCs w:val="0"/>
                      <w:color w:val="000000"/>
                      <w:kern w:val="0"/>
                      <w:sz w:val="21"/>
                      <w:szCs w:val="21"/>
                      <w:lang w:val="en-US" w:eastAsia="zh-CN" w:bidi="ar-SA"/>
                    </w:rPr>
                  </w:pPr>
                  <w:r>
                    <w:rPr>
                      <w:rFonts w:hint="eastAsia"/>
                      <w:color w:val="000000" w:themeColor="text1"/>
                      <w:sz w:val="21"/>
                      <w:szCs w:val="21"/>
                      <w14:textFill>
                        <w14:solidFill>
                          <w14:schemeClr w14:val="tx1"/>
                        </w14:solidFill>
                      </w14:textFill>
                    </w:rPr>
                    <w:t>项目不属于日均进出货物150吨（或载货车辆日进出</w:t>
                  </w:r>
                  <w:r>
                    <w:rPr>
                      <w:rFonts w:hint="eastAsia"/>
                      <w:color w:val="000000" w:themeColor="text1"/>
                      <w:sz w:val="21"/>
                      <w:szCs w:val="21"/>
                      <w:lang w:val="en-US" w:eastAsia="zh-CN"/>
                      <w14:textFill>
                        <w14:solidFill>
                          <w14:schemeClr w14:val="tx1"/>
                        </w14:solidFill>
                      </w14:textFill>
                    </w:rPr>
                    <w:t>2</w:t>
                  </w:r>
                  <w:r>
                    <w:rPr>
                      <w:color w:val="000000" w:themeColor="text1"/>
                      <w:sz w:val="21"/>
                      <w:szCs w:val="21"/>
                      <w14:textFill>
                        <w14:solidFill>
                          <w14:schemeClr w14:val="tx1"/>
                        </w14:solidFill>
                      </w14:textFill>
                    </w:rPr>
                    <w:t>0</w:t>
                  </w:r>
                  <w:r>
                    <w:rPr>
                      <w:rFonts w:hint="eastAsia"/>
                      <w:color w:val="000000" w:themeColor="text1"/>
                      <w:sz w:val="21"/>
                      <w:szCs w:val="21"/>
                      <w14:textFill>
                        <w14:solidFill>
                          <w14:schemeClr w14:val="tx1"/>
                        </w14:solidFill>
                      </w14:textFill>
                    </w:rPr>
                    <w:t>辆次）及以上企业。按要求安装车辆运输视频监控（数据能保存6个月）并建立车辆运输手工台账。</w:t>
                  </w:r>
                </w:p>
              </w:tc>
              <w:tc>
                <w:tcPr>
                  <w:tcW w:w="861" w:type="dxa"/>
                  <w:vAlign w:val="center"/>
                </w:tcPr>
                <w:p w14:paraId="11465247">
                  <w:pPr>
                    <w:pStyle w:val="92"/>
                    <w:spacing w:line="240" w:lineRule="auto"/>
                    <w:ind w:firstLine="0" w:firstLineChars="0"/>
                    <w:rPr>
                      <w:rFonts w:hint="eastAsia" w:eastAsia="宋体"/>
                      <w:bCs w:val="0"/>
                      <w:kern w:val="0"/>
                      <w:sz w:val="21"/>
                      <w:szCs w:val="21"/>
                      <w:lang w:eastAsia="zh-CN"/>
                    </w:rPr>
                  </w:pPr>
                  <w:r>
                    <w:rPr>
                      <w:rFonts w:hint="eastAsia"/>
                      <w:sz w:val="21"/>
                      <w:szCs w:val="21"/>
                      <w:lang w:eastAsia="zh-CN"/>
                    </w:rPr>
                    <w:t>不属于</w:t>
                  </w:r>
                </w:p>
              </w:tc>
            </w:tr>
          </w:tbl>
          <w:p w14:paraId="5BE9F194">
            <w:pPr>
              <w:keepNext w:val="0"/>
              <w:keepLines w:val="0"/>
              <w:pageBreakBefore w:val="0"/>
              <w:widowControl w:val="0"/>
              <w:kinsoku/>
              <w:wordWrap/>
              <w:overflowPunct/>
              <w:topLinePunct w:val="0"/>
              <w:autoSpaceDE/>
              <w:autoSpaceDN/>
              <w:bidi w:val="0"/>
              <w:adjustRightInd w:val="0"/>
              <w:snapToGrid w:val="0"/>
              <w:spacing w:line="440" w:lineRule="exact"/>
              <w:ind w:firstLine="480"/>
              <w:textAlignment w:val="auto"/>
              <w:rPr>
                <w:color w:val="000000" w:themeColor="text1"/>
                <w:kern w:val="0"/>
                <w:szCs w:val="32"/>
                <w14:textFill>
                  <w14:solidFill>
                    <w14:schemeClr w14:val="tx1"/>
                  </w14:solidFill>
                </w14:textFill>
              </w:rPr>
            </w:pPr>
            <w:r>
              <w:rPr>
                <w:color w:val="000000"/>
                <w:kern w:val="0"/>
                <w:szCs w:val="32"/>
              </w:rPr>
              <w:t>由上表可知，本项目符合</w:t>
            </w:r>
            <w:bookmarkStart w:id="0" w:name="OLE_LINK5"/>
            <w:r>
              <w:rPr>
                <w:color w:val="000000"/>
                <w:kern w:val="0"/>
                <w:szCs w:val="32"/>
              </w:rPr>
              <w:t>新乡市生态环境保护委员会办公室关于印发《新乡市202</w:t>
            </w:r>
            <w:r>
              <w:rPr>
                <w:rFonts w:hint="eastAsia"/>
                <w:color w:val="000000"/>
                <w:kern w:val="0"/>
                <w:szCs w:val="32"/>
                <w:lang w:val="en-US" w:eastAsia="zh-CN"/>
              </w:rPr>
              <w:t>6</w:t>
            </w:r>
            <w:r>
              <w:rPr>
                <w:color w:val="000000"/>
                <w:kern w:val="0"/>
                <w:szCs w:val="32"/>
              </w:rPr>
              <w:t>年蓝天保卫战实施方案》《新乡市202</w:t>
            </w:r>
            <w:r>
              <w:rPr>
                <w:rFonts w:hint="eastAsia"/>
                <w:color w:val="000000"/>
                <w:kern w:val="0"/>
                <w:szCs w:val="32"/>
                <w:lang w:val="en-US" w:eastAsia="zh-CN"/>
              </w:rPr>
              <w:t>6</w:t>
            </w:r>
            <w:r>
              <w:rPr>
                <w:color w:val="000000"/>
                <w:kern w:val="0"/>
                <w:szCs w:val="32"/>
              </w:rPr>
              <w:t>年碧水保卫战实施方案》《新乡市202</w:t>
            </w:r>
            <w:r>
              <w:rPr>
                <w:rFonts w:hint="eastAsia"/>
                <w:color w:val="000000"/>
                <w:kern w:val="0"/>
                <w:szCs w:val="32"/>
                <w:lang w:val="en-US" w:eastAsia="zh-CN"/>
              </w:rPr>
              <w:t>6</w:t>
            </w:r>
            <w:r>
              <w:rPr>
                <w:color w:val="000000"/>
                <w:kern w:val="0"/>
                <w:szCs w:val="32"/>
              </w:rPr>
              <w:t>年净土保卫战实施方案》《新乡市202</w:t>
            </w:r>
            <w:r>
              <w:rPr>
                <w:rFonts w:hint="eastAsia"/>
                <w:color w:val="000000"/>
                <w:kern w:val="0"/>
                <w:szCs w:val="32"/>
                <w:lang w:val="en-US" w:eastAsia="zh-CN"/>
              </w:rPr>
              <w:t>6</w:t>
            </w:r>
            <w:r>
              <w:rPr>
                <w:color w:val="000000"/>
                <w:kern w:val="0"/>
                <w:szCs w:val="32"/>
              </w:rPr>
              <w:t>年柴油货车污染治</w:t>
            </w:r>
            <w:r>
              <w:rPr>
                <w:color w:val="000000" w:themeColor="text1"/>
                <w:kern w:val="0"/>
                <w:szCs w:val="32"/>
                <w14:textFill>
                  <w14:solidFill>
                    <w14:schemeClr w14:val="tx1"/>
                  </w14:solidFill>
                </w14:textFill>
              </w:rPr>
              <w:t>理攻坚战实施方案》的通知</w:t>
            </w:r>
            <w:bookmarkEnd w:id="0"/>
            <w:r>
              <w:rPr>
                <w:color w:val="000000" w:themeColor="text1"/>
                <w:kern w:val="0"/>
                <w:szCs w:val="32"/>
                <w14:textFill>
                  <w14:solidFill>
                    <w14:schemeClr w14:val="tx1"/>
                  </w14:solidFill>
                </w14:textFill>
              </w:rPr>
              <w:t>相关要求。</w:t>
            </w:r>
          </w:p>
          <w:p w14:paraId="661E0826">
            <w:pPr>
              <w:keepNext w:val="0"/>
              <w:keepLines w:val="0"/>
              <w:pageBreakBefore w:val="0"/>
              <w:widowControl w:val="0"/>
              <w:kinsoku/>
              <w:wordWrap/>
              <w:overflowPunct/>
              <w:topLinePunct w:val="0"/>
              <w:autoSpaceDE/>
              <w:autoSpaceDN/>
              <w:bidi w:val="0"/>
              <w:adjustRightInd w:val="0"/>
              <w:snapToGrid w:val="0"/>
              <w:spacing w:line="440" w:lineRule="exact"/>
              <w:ind w:firstLine="480"/>
              <w:textAlignment w:val="auto"/>
              <w:rPr>
                <w:color w:val="000000" w:themeColor="text1"/>
                <w:kern w:val="0"/>
                <w:szCs w:val="32"/>
                <w14:textFill>
                  <w14:solidFill>
                    <w14:schemeClr w14:val="tx1"/>
                  </w14:solidFill>
                </w14:textFill>
              </w:rPr>
            </w:pPr>
          </w:p>
        </w:tc>
      </w:tr>
    </w:tbl>
    <w:p w14:paraId="19A12847">
      <w:pPr>
        <w:ind w:firstLine="600"/>
        <w:outlineLvl w:val="0"/>
        <w:rPr>
          <w:rFonts w:eastAsia="黑体"/>
          <w:sz w:val="30"/>
        </w:rPr>
        <w:sectPr>
          <w:footerReference r:id="rId7" w:type="default"/>
          <w:pgSz w:w="11906" w:h="16838"/>
          <w:pgMar w:top="1440" w:right="1803" w:bottom="1440" w:left="1803" w:header="851" w:footer="1077" w:gutter="0"/>
          <w:pgNumType w:fmt="decimal" w:start="1"/>
          <w:cols w:space="720" w:num="1"/>
          <w:docGrid w:linePitch="312" w:charSpace="0"/>
        </w:sectPr>
      </w:pPr>
    </w:p>
    <w:p w14:paraId="0127A2C4">
      <w:pPr>
        <w:pStyle w:val="2"/>
      </w:pPr>
      <w:r>
        <w:t>二、建设项目工程分析</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43"/>
      </w:tblGrid>
      <w:tr w14:paraId="0396E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17" w:type="dxa"/>
            <w:vAlign w:val="center"/>
          </w:tcPr>
          <w:p w14:paraId="358D26D0">
            <w:pPr>
              <w:pStyle w:val="21"/>
              <w:adjustRightInd w:val="0"/>
              <w:snapToGrid w:val="0"/>
              <w:spacing w:before="0" w:beforeAutospacing="0" w:after="0" w:afterAutospacing="0" w:line="240" w:lineRule="auto"/>
              <w:ind w:left="-120" w:leftChars="-50" w:right="-120" w:rightChars="-50" w:firstLine="0" w:firstLineChars="0"/>
              <w:jc w:val="center"/>
              <w:rPr>
                <w:rFonts w:ascii="Times New Roman" w:hAnsi="Times New Roman"/>
                <w:b/>
                <w:bCs/>
                <w:szCs w:val="24"/>
              </w:rPr>
            </w:pPr>
            <w:r>
              <w:rPr>
                <w:rFonts w:ascii="Times New Roman" w:hAnsi="Times New Roman"/>
                <w:b/>
                <w:bCs/>
                <w:szCs w:val="24"/>
              </w:rPr>
              <w:t>建设</w:t>
            </w:r>
          </w:p>
          <w:p w14:paraId="46D2AE06">
            <w:pPr>
              <w:pStyle w:val="21"/>
              <w:adjustRightInd w:val="0"/>
              <w:snapToGrid w:val="0"/>
              <w:spacing w:before="0" w:beforeAutospacing="0" w:after="0" w:afterAutospacing="0" w:line="240" w:lineRule="auto"/>
              <w:ind w:left="-120" w:leftChars="-50" w:right="-120" w:rightChars="-50" w:firstLine="0" w:firstLineChars="0"/>
              <w:jc w:val="center"/>
              <w:rPr>
                <w:rFonts w:ascii="Times New Roman" w:hAnsi="Times New Roman"/>
                <w:szCs w:val="24"/>
              </w:rPr>
            </w:pPr>
            <w:r>
              <w:rPr>
                <w:rFonts w:ascii="Times New Roman" w:hAnsi="Times New Roman"/>
                <w:b/>
                <w:bCs/>
                <w:szCs w:val="24"/>
              </w:rPr>
              <w:t>内容</w:t>
            </w:r>
          </w:p>
        </w:tc>
        <w:tc>
          <w:tcPr>
            <w:tcW w:w="8243" w:type="dxa"/>
          </w:tcPr>
          <w:p w14:paraId="40ADE378">
            <w:pPr>
              <w:numPr>
                <w:ilvl w:val="0"/>
                <w:numId w:val="6"/>
              </w:numPr>
              <w:spacing w:line="520" w:lineRule="exact"/>
              <w:ind w:firstLine="482" w:firstLineChars="0"/>
              <w:jc w:val="left"/>
              <w:rPr>
                <w:b/>
                <w:bCs/>
              </w:rPr>
            </w:pPr>
            <w:r>
              <w:rPr>
                <w:b/>
                <w:bCs/>
              </w:rPr>
              <w:t>项目由来</w:t>
            </w:r>
          </w:p>
          <w:p w14:paraId="797C1416">
            <w:pPr>
              <w:adjustRightInd w:val="0"/>
              <w:snapToGrid w:val="0"/>
              <w:spacing w:line="520" w:lineRule="exact"/>
              <w:ind w:firstLine="480"/>
              <w:jc w:val="left"/>
              <w:rPr>
                <w:color w:val="000000"/>
              </w:rPr>
            </w:pPr>
            <w:r>
              <w:rPr>
                <w:rFonts w:hint="eastAsia"/>
              </w:rPr>
              <w:t>新乡市弘祥服装辅料有限公司位于</w:t>
            </w:r>
            <w:r>
              <w:rPr>
                <w:rFonts w:hint="eastAsia"/>
                <w:lang w:eastAsia="zh-CN"/>
              </w:rPr>
              <w:t>新乡市新能源电池专业园区标北路11号3A号厂房</w:t>
            </w:r>
            <w:r>
              <w:rPr>
                <w:rFonts w:hint="eastAsia"/>
              </w:rPr>
              <w:t>，租赁新乡市玉润科创产业发展有限公司现有闲置厂房进行建设生产（见附件3）。总投资500万元，占地面积</w:t>
            </w:r>
            <w:r>
              <w:t>2575</w:t>
            </w:r>
            <w:r>
              <w:rPr>
                <w:rFonts w:hint="eastAsia"/>
              </w:rPr>
              <w:t>平方米，建设</w:t>
            </w:r>
            <w:r>
              <w:rPr>
                <w:rFonts w:hint="eastAsia"/>
                <w:lang w:eastAsia="zh-CN"/>
              </w:rPr>
              <w:t>年生产390万件服装辅料加工项目</w:t>
            </w:r>
            <w:r>
              <w:rPr>
                <w:rFonts w:hint="eastAsia"/>
              </w:rPr>
              <w:t>。本项目印花工艺属于喷墨印花</w:t>
            </w:r>
            <w:r>
              <w:rPr>
                <w:rFonts w:hint="eastAsia"/>
                <w:lang w:eastAsia="zh-CN"/>
              </w:rPr>
              <w:t>，</w:t>
            </w:r>
            <w:r>
              <w:rPr>
                <w:rFonts w:hint="eastAsia"/>
              </w:rPr>
              <w:t>雕花、压花、绣花、开口装拉链工序属于后整理工序。根据现场勘察，企业尚未开始建设，不属于未批先建项目</w:t>
            </w:r>
            <w:r>
              <w:rPr>
                <w:color w:val="000000"/>
              </w:rPr>
              <w:t>。</w:t>
            </w:r>
          </w:p>
          <w:p w14:paraId="541CD257">
            <w:pPr>
              <w:spacing w:line="520" w:lineRule="exact"/>
              <w:ind w:left="480" w:firstLine="0" w:firstLineChars="0"/>
              <w:jc w:val="left"/>
            </w:pPr>
            <w:r>
              <w:rPr>
                <w:b/>
                <w:bCs/>
              </w:rPr>
              <w:t>2、项目基本情况</w:t>
            </w:r>
          </w:p>
          <w:p w14:paraId="36CA2B30">
            <w:pPr>
              <w:snapToGrid w:val="0"/>
              <w:spacing w:line="520" w:lineRule="exact"/>
              <w:ind w:firstLine="480"/>
              <w:jc w:val="left"/>
              <w:rPr>
                <w:rFonts w:eastAsia="黑体"/>
                <w:bCs/>
              </w:rPr>
            </w:pPr>
            <w:bookmarkStart w:id="1" w:name="_Ref307475966"/>
            <w:bookmarkStart w:id="2" w:name="_Ref307994602"/>
            <w:r>
              <w:t>本项目位于</w:t>
            </w:r>
            <w:r>
              <w:rPr>
                <w:rFonts w:hint="eastAsia"/>
                <w:lang w:eastAsia="zh-CN"/>
              </w:rPr>
              <w:t>新乡市新能源电池专业园区标北路11号3A号厂房</w:t>
            </w:r>
            <w:r>
              <w:t>，项目总占地面积</w:t>
            </w:r>
            <w:r>
              <w:rPr>
                <w:rFonts w:hint="eastAsia"/>
              </w:rPr>
              <w:t>2575</w:t>
            </w:r>
            <w:r>
              <w:t>m</w:t>
            </w:r>
            <w:r>
              <w:rPr>
                <w:vertAlign w:val="superscript"/>
              </w:rPr>
              <w:t>2</w:t>
            </w:r>
            <w:r>
              <w:t>。项目基本情况见下表。</w:t>
            </w:r>
          </w:p>
          <w:p w14:paraId="32C48C16">
            <w:pPr>
              <w:adjustRightInd w:val="0"/>
              <w:snapToGrid w:val="0"/>
              <w:spacing w:line="520" w:lineRule="exact"/>
              <w:ind w:firstLine="960" w:firstLineChars="400"/>
              <w:rPr>
                <w:rFonts w:eastAsia="黑体"/>
                <w:bCs/>
              </w:rPr>
            </w:pPr>
            <w:r>
              <w:rPr>
                <w:rFonts w:eastAsia="黑体"/>
                <w:bCs/>
              </w:rPr>
              <w:t>表</w:t>
            </w:r>
            <w:bookmarkEnd w:id="1"/>
            <w:bookmarkEnd w:id="2"/>
            <w:r>
              <w:rPr>
                <w:rFonts w:eastAsia="黑体"/>
                <w:bCs/>
              </w:rPr>
              <w:t>2-1               项目基本情况一览表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62"/>
              <w:gridCol w:w="5474"/>
            </w:tblGrid>
            <w:tr w14:paraId="6CB7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781" w:type="dxa"/>
                  <w:tcBorders>
                    <w:tl2br w:val="nil"/>
                    <w:tr2bl w:val="nil"/>
                  </w:tcBorders>
                  <w:vAlign w:val="center"/>
                </w:tcPr>
                <w:p w14:paraId="09C848A7">
                  <w:pPr>
                    <w:spacing w:line="240" w:lineRule="auto"/>
                    <w:ind w:firstLine="0" w:firstLineChars="0"/>
                    <w:jc w:val="center"/>
                    <w:rPr>
                      <w:b/>
                      <w:kern w:val="36"/>
                      <w:sz w:val="21"/>
                      <w:szCs w:val="21"/>
                    </w:rPr>
                  </w:pPr>
                  <w:r>
                    <w:rPr>
                      <w:b/>
                      <w:kern w:val="36"/>
                      <w:sz w:val="21"/>
                      <w:szCs w:val="21"/>
                    </w:rPr>
                    <w:t>序号</w:t>
                  </w:r>
                </w:p>
              </w:tc>
              <w:tc>
                <w:tcPr>
                  <w:tcW w:w="1762" w:type="dxa"/>
                  <w:tcBorders>
                    <w:tl2br w:val="nil"/>
                    <w:tr2bl w:val="nil"/>
                  </w:tcBorders>
                  <w:vAlign w:val="center"/>
                </w:tcPr>
                <w:p w14:paraId="6553DF50">
                  <w:pPr>
                    <w:spacing w:line="240" w:lineRule="auto"/>
                    <w:ind w:firstLine="0" w:firstLineChars="0"/>
                    <w:jc w:val="center"/>
                    <w:rPr>
                      <w:b/>
                      <w:kern w:val="36"/>
                      <w:sz w:val="21"/>
                      <w:szCs w:val="21"/>
                    </w:rPr>
                  </w:pPr>
                  <w:r>
                    <w:rPr>
                      <w:b/>
                      <w:kern w:val="36"/>
                      <w:sz w:val="21"/>
                      <w:szCs w:val="21"/>
                    </w:rPr>
                    <w:t>项目</w:t>
                  </w:r>
                </w:p>
              </w:tc>
              <w:tc>
                <w:tcPr>
                  <w:tcW w:w="5474" w:type="dxa"/>
                  <w:tcBorders>
                    <w:tl2br w:val="nil"/>
                    <w:tr2bl w:val="nil"/>
                  </w:tcBorders>
                  <w:vAlign w:val="center"/>
                </w:tcPr>
                <w:p w14:paraId="33CFBD85">
                  <w:pPr>
                    <w:spacing w:line="240" w:lineRule="auto"/>
                    <w:ind w:firstLine="0" w:firstLineChars="0"/>
                    <w:jc w:val="center"/>
                    <w:rPr>
                      <w:b/>
                      <w:kern w:val="36"/>
                      <w:sz w:val="21"/>
                      <w:szCs w:val="21"/>
                    </w:rPr>
                  </w:pPr>
                  <w:r>
                    <w:rPr>
                      <w:b/>
                      <w:kern w:val="36"/>
                      <w:sz w:val="21"/>
                      <w:szCs w:val="21"/>
                    </w:rPr>
                    <w:t>内容</w:t>
                  </w:r>
                </w:p>
              </w:tc>
            </w:tr>
            <w:tr w14:paraId="576C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30396E09">
                  <w:pPr>
                    <w:spacing w:line="240" w:lineRule="auto"/>
                    <w:ind w:firstLine="0" w:firstLineChars="0"/>
                    <w:jc w:val="center"/>
                    <w:rPr>
                      <w:kern w:val="36"/>
                      <w:sz w:val="21"/>
                      <w:szCs w:val="21"/>
                    </w:rPr>
                  </w:pPr>
                  <w:r>
                    <w:rPr>
                      <w:kern w:val="36"/>
                      <w:sz w:val="21"/>
                      <w:szCs w:val="21"/>
                    </w:rPr>
                    <w:t>1</w:t>
                  </w:r>
                </w:p>
              </w:tc>
              <w:tc>
                <w:tcPr>
                  <w:tcW w:w="1762" w:type="dxa"/>
                  <w:tcBorders>
                    <w:tl2br w:val="nil"/>
                    <w:tr2bl w:val="nil"/>
                  </w:tcBorders>
                  <w:vAlign w:val="center"/>
                </w:tcPr>
                <w:p w14:paraId="46CA46CC">
                  <w:pPr>
                    <w:adjustRightInd w:val="0"/>
                    <w:snapToGrid w:val="0"/>
                    <w:spacing w:line="240" w:lineRule="auto"/>
                    <w:ind w:firstLine="0" w:firstLineChars="0"/>
                    <w:jc w:val="center"/>
                    <w:rPr>
                      <w:sz w:val="21"/>
                      <w:szCs w:val="21"/>
                    </w:rPr>
                  </w:pPr>
                  <w:r>
                    <w:rPr>
                      <w:sz w:val="21"/>
                      <w:szCs w:val="21"/>
                    </w:rPr>
                    <w:t>项目名称</w:t>
                  </w:r>
                </w:p>
              </w:tc>
              <w:tc>
                <w:tcPr>
                  <w:tcW w:w="5474" w:type="dxa"/>
                  <w:tcBorders>
                    <w:tl2br w:val="nil"/>
                    <w:tr2bl w:val="nil"/>
                  </w:tcBorders>
                  <w:vAlign w:val="center"/>
                </w:tcPr>
                <w:p w14:paraId="189D7479">
                  <w:pPr>
                    <w:spacing w:line="240" w:lineRule="auto"/>
                    <w:ind w:firstLine="0" w:firstLineChars="0"/>
                    <w:jc w:val="center"/>
                    <w:rPr>
                      <w:rFonts w:hint="eastAsia" w:eastAsia="宋体"/>
                      <w:sz w:val="21"/>
                      <w:szCs w:val="21"/>
                      <w:lang w:eastAsia="zh-CN"/>
                    </w:rPr>
                  </w:pPr>
                  <w:r>
                    <w:rPr>
                      <w:rFonts w:hint="eastAsia"/>
                      <w:sz w:val="21"/>
                      <w:szCs w:val="21"/>
                      <w:lang w:eastAsia="zh-CN"/>
                    </w:rPr>
                    <w:t>年生产390万件服装辅料加工项目</w:t>
                  </w:r>
                </w:p>
              </w:tc>
            </w:tr>
            <w:tr w14:paraId="5494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333EE4F8">
                  <w:pPr>
                    <w:spacing w:line="240" w:lineRule="auto"/>
                    <w:ind w:firstLine="0" w:firstLineChars="0"/>
                    <w:jc w:val="center"/>
                    <w:rPr>
                      <w:kern w:val="36"/>
                      <w:sz w:val="21"/>
                      <w:szCs w:val="21"/>
                    </w:rPr>
                  </w:pPr>
                  <w:r>
                    <w:rPr>
                      <w:kern w:val="36"/>
                      <w:sz w:val="21"/>
                      <w:szCs w:val="21"/>
                    </w:rPr>
                    <w:t>2</w:t>
                  </w:r>
                </w:p>
              </w:tc>
              <w:tc>
                <w:tcPr>
                  <w:tcW w:w="1762" w:type="dxa"/>
                  <w:tcBorders>
                    <w:tl2br w:val="nil"/>
                    <w:tr2bl w:val="nil"/>
                  </w:tcBorders>
                  <w:vAlign w:val="center"/>
                </w:tcPr>
                <w:p w14:paraId="46B232B2">
                  <w:pPr>
                    <w:adjustRightInd w:val="0"/>
                    <w:snapToGrid w:val="0"/>
                    <w:spacing w:line="240" w:lineRule="auto"/>
                    <w:ind w:firstLine="0" w:firstLineChars="0"/>
                    <w:jc w:val="center"/>
                    <w:rPr>
                      <w:sz w:val="21"/>
                      <w:szCs w:val="21"/>
                    </w:rPr>
                  </w:pPr>
                  <w:r>
                    <w:rPr>
                      <w:sz w:val="21"/>
                      <w:szCs w:val="21"/>
                    </w:rPr>
                    <w:t>建设单位</w:t>
                  </w:r>
                </w:p>
              </w:tc>
              <w:tc>
                <w:tcPr>
                  <w:tcW w:w="5474" w:type="dxa"/>
                  <w:tcBorders>
                    <w:tl2br w:val="nil"/>
                    <w:tr2bl w:val="nil"/>
                  </w:tcBorders>
                  <w:vAlign w:val="center"/>
                </w:tcPr>
                <w:p w14:paraId="75B8BF59">
                  <w:pPr>
                    <w:spacing w:line="240" w:lineRule="auto"/>
                    <w:ind w:firstLine="0" w:firstLineChars="0"/>
                    <w:jc w:val="center"/>
                    <w:rPr>
                      <w:sz w:val="21"/>
                      <w:szCs w:val="21"/>
                    </w:rPr>
                  </w:pPr>
                  <w:r>
                    <w:rPr>
                      <w:rFonts w:hint="eastAsia"/>
                      <w:sz w:val="21"/>
                      <w:szCs w:val="21"/>
                    </w:rPr>
                    <w:t>新乡市弘祥服装辅料有限公司</w:t>
                  </w:r>
                </w:p>
              </w:tc>
            </w:tr>
            <w:tr w14:paraId="59DC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5277E1B5">
                  <w:pPr>
                    <w:spacing w:line="240" w:lineRule="auto"/>
                    <w:ind w:firstLine="0" w:firstLineChars="0"/>
                    <w:jc w:val="center"/>
                    <w:rPr>
                      <w:kern w:val="36"/>
                      <w:sz w:val="21"/>
                      <w:szCs w:val="21"/>
                    </w:rPr>
                  </w:pPr>
                  <w:r>
                    <w:rPr>
                      <w:kern w:val="36"/>
                      <w:sz w:val="21"/>
                      <w:szCs w:val="21"/>
                    </w:rPr>
                    <w:t>3</w:t>
                  </w:r>
                </w:p>
              </w:tc>
              <w:tc>
                <w:tcPr>
                  <w:tcW w:w="1762" w:type="dxa"/>
                  <w:tcBorders>
                    <w:tl2br w:val="nil"/>
                    <w:tr2bl w:val="nil"/>
                  </w:tcBorders>
                  <w:vAlign w:val="center"/>
                </w:tcPr>
                <w:p w14:paraId="3682321E">
                  <w:pPr>
                    <w:adjustRightInd w:val="0"/>
                    <w:snapToGrid w:val="0"/>
                    <w:spacing w:line="240" w:lineRule="auto"/>
                    <w:ind w:firstLine="0" w:firstLineChars="0"/>
                    <w:jc w:val="center"/>
                    <w:rPr>
                      <w:sz w:val="21"/>
                      <w:szCs w:val="21"/>
                    </w:rPr>
                  </w:pPr>
                  <w:r>
                    <w:rPr>
                      <w:sz w:val="21"/>
                      <w:szCs w:val="21"/>
                    </w:rPr>
                    <w:t>建设性质</w:t>
                  </w:r>
                </w:p>
              </w:tc>
              <w:tc>
                <w:tcPr>
                  <w:tcW w:w="5474" w:type="dxa"/>
                  <w:tcBorders>
                    <w:tl2br w:val="nil"/>
                    <w:tr2bl w:val="nil"/>
                  </w:tcBorders>
                  <w:vAlign w:val="center"/>
                </w:tcPr>
                <w:p w14:paraId="68E8672B">
                  <w:pPr>
                    <w:spacing w:line="240" w:lineRule="auto"/>
                    <w:ind w:firstLine="0" w:firstLineChars="0"/>
                    <w:jc w:val="center"/>
                    <w:rPr>
                      <w:sz w:val="21"/>
                      <w:szCs w:val="21"/>
                    </w:rPr>
                  </w:pPr>
                  <w:r>
                    <w:rPr>
                      <w:rFonts w:hint="eastAsia"/>
                      <w:sz w:val="21"/>
                      <w:szCs w:val="21"/>
                    </w:rPr>
                    <w:t>新建</w:t>
                  </w:r>
                </w:p>
              </w:tc>
            </w:tr>
            <w:tr w14:paraId="2BC4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1266EEA5">
                  <w:pPr>
                    <w:spacing w:line="240" w:lineRule="auto"/>
                    <w:ind w:firstLine="0" w:firstLineChars="0"/>
                    <w:jc w:val="center"/>
                    <w:rPr>
                      <w:kern w:val="36"/>
                      <w:sz w:val="21"/>
                      <w:szCs w:val="21"/>
                    </w:rPr>
                  </w:pPr>
                  <w:r>
                    <w:rPr>
                      <w:kern w:val="36"/>
                      <w:sz w:val="21"/>
                      <w:szCs w:val="21"/>
                    </w:rPr>
                    <w:t>4</w:t>
                  </w:r>
                </w:p>
              </w:tc>
              <w:tc>
                <w:tcPr>
                  <w:tcW w:w="1762" w:type="dxa"/>
                  <w:tcBorders>
                    <w:tl2br w:val="nil"/>
                    <w:tr2bl w:val="nil"/>
                  </w:tcBorders>
                  <w:vAlign w:val="center"/>
                </w:tcPr>
                <w:p w14:paraId="128E1C0C">
                  <w:pPr>
                    <w:adjustRightInd w:val="0"/>
                    <w:snapToGrid w:val="0"/>
                    <w:spacing w:line="240" w:lineRule="auto"/>
                    <w:ind w:firstLine="0" w:firstLineChars="0"/>
                    <w:jc w:val="center"/>
                    <w:rPr>
                      <w:sz w:val="21"/>
                      <w:szCs w:val="21"/>
                    </w:rPr>
                  </w:pPr>
                  <w:r>
                    <w:rPr>
                      <w:sz w:val="21"/>
                      <w:szCs w:val="21"/>
                    </w:rPr>
                    <w:t>建设地点</w:t>
                  </w:r>
                </w:p>
              </w:tc>
              <w:tc>
                <w:tcPr>
                  <w:tcW w:w="5474" w:type="dxa"/>
                  <w:tcBorders>
                    <w:tl2br w:val="nil"/>
                    <w:tr2bl w:val="nil"/>
                  </w:tcBorders>
                  <w:vAlign w:val="center"/>
                </w:tcPr>
                <w:p w14:paraId="576BEDBA">
                  <w:pPr>
                    <w:spacing w:line="240" w:lineRule="auto"/>
                    <w:ind w:firstLine="0" w:firstLineChars="0"/>
                    <w:jc w:val="center"/>
                    <w:rPr>
                      <w:color w:val="FF0000"/>
                      <w:sz w:val="21"/>
                      <w:szCs w:val="21"/>
                    </w:rPr>
                  </w:pPr>
                  <w:r>
                    <w:rPr>
                      <w:rFonts w:hint="eastAsia"/>
                      <w:sz w:val="21"/>
                      <w:szCs w:val="21"/>
                      <w:lang w:eastAsia="zh-CN"/>
                    </w:rPr>
                    <w:t>新乡市新能源电池专业园区标北路11号</w:t>
                  </w:r>
                  <w:r>
                    <w:rPr>
                      <w:rFonts w:hint="eastAsia"/>
                      <w:sz w:val="21"/>
                      <w:szCs w:val="21"/>
                    </w:rPr>
                    <w:t>3A号厂房</w:t>
                  </w:r>
                </w:p>
              </w:tc>
            </w:tr>
            <w:tr w14:paraId="3B38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4F43343B">
                  <w:pPr>
                    <w:spacing w:line="240" w:lineRule="auto"/>
                    <w:ind w:firstLine="0" w:firstLineChars="0"/>
                    <w:jc w:val="center"/>
                    <w:rPr>
                      <w:kern w:val="36"/>
                      <w:sz w:val="21"/>
                      <w:szCs w:val="21"/>
                    </w:rPr>
                  </w:pPr>
                  <w:r>
                    <w:rPr>
                      <w:kern w:val="36"/>
                      <w:sz w:val="21"/>
                      <w:szCs w:val="21"/>
                    </w:rPr>
                    <w:t>5</w:t>
                  </w:r>
                </w:p>
              </w:tc>
              <w:tc>
                <w:tcPr>
                  <w:tcW w:w="1762" w:type="dxa"/>
                  <w:tcBorders>
                    <w:tl2br w:val="nil"/>
                    <w:tr2bl w:val="nil"/>
                  </w:tcBorders>
                  <w:vAlign w:val="center"/>
                </w:tcPr>
                <w:p w14:paraId="596A53A7">
                  <w:pPr>
                    <w:adjustRightInd w:val="0"/>
                    <w:snapToGrid w:val="0"/>
                    <w:spacing w:line="240" w:lineRule="auto"/>
                    <w:ind w:firstLine="0" w:firstLineChars="0"/>
                    <w:jc w:val="center"/>
                    <w:rPr>
                      <w:sz w:val="21"/>
                      <w:szCs w:val="21"/>
                    </w:rPr>
                  </w:pPr>
                  <w:r>
                    <w:rPr>
                      <w:sz w:val="21"/>
                      <w:szCs w:val="21"/>
                    </w:rPr>
                    <w:t>占地面积</w:t>
                  </w:r>
                </w:p>
              </w:tc>
              <w:tc>
                <w:tcPr>
                  <w:tcW w:w="5474" w:type="dxa"/>
                  <w:tcBorders>
                    <w:tl2br w:val="nil"/>
                    <w:tr2bl w:val="nil"/>
                  </w:tcBorders>
                  <w:vAlign w:val="center"/>
                </w:tcPr>
                <w:p w14:paraId="39C6474E">
                  <w:pPr>
                    <w:spacing w:line="240" w:lineRule="auto"/>
                    <w:ind w:firstLine="0" w:firstLineChars="0"/>
                    <w:jc w:val="center"/>
                    <w:rPr>
                      <w:sz w:val="21"/>
                      <w:szCs w:val="21"/>
                    </w:rPr>
                  </w:pPr>
                  <w:r>
                    <w:rPr>
                      <w:rFonts w:hint="eastAsia"/>
                      <w:sz w:val="21"/>
                      <w:szCs w:val="21"/>
                    </w:rPr>
                    <w:t>2575</w:t>
                  </w:r>
                  <w:r>
                    <w:rPr>
                      <w:sz w:val="21"/>
                      <w:szCs w:val="21"/>
                    </w:rPr>
                    <w:t>m</w:t>
                  </w:r>
                  <w:r>
                    <w:rPr>
                      <w:sz w:val="21"/>
                      <w:szCs w:val="21"/>
                      <w:vertAlign w:val="superscript"/>
                    </w:rPr>
                    <w:t>2</w:t>
                  </w:r>
                </w:p>
              </w:tc>
            </w:tr>
            <w:tr w14:paraId="7E5C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729D0473">
                  <w:pPr>
                    <w:spacing w:line="240" w:lineRule="auto"/>
                    <w:ind w:firstLine="0" w:firstLineChars="0"/>
                    <w:jc w:val="center"/>
                    <w:rPr>
                      <w:kern w:val="36"/>
                      <w:sz w:val="21"/>
                      <w:szCs w:val="21"/>
                    </w:rPr>
                  </w:pPr>
                  <w:r>
                    <w:rPr>
                      <w:kern w:val="36"/>
                      <w:sz w:val="21"/>
                      <w:szCs w:val="21"/>
                    </w:rPr>
                    <w:t>6</w:t>
                  </w:r>
                </w:p>
              </w:tc>
              <w:tc>
                <w:tcPr>
                  <w:tcW w:w="1762" w:type="dxa"/>
                  <w:tcBorders>
                    <w:tl2br w:val="nil"/>
                    <w:tr2bl w:val="nil"/>
                  </w:tcBorders>
                  <w:vAlign w:val="center"/>
                </w:tcPr>
                <w:p w14:paraId="352DC90C">
                  <w:pPr>
                    <w:adjustRightInd w:val="0"/>
                    <w:snapToGrid w:val="0"/>
                    <w:spacing w:line="240" w:lineRule="auto"/>
                    <w:ind w:firstLine="0" w:firstLineChars="0"/>
                    <w:jc w:val="center"/>
                    <w:rPr>
                      <w:sz w:val="21"/>
                      <w:szCs w:val="21"/>
                    </w:rPr>
                  </w:pPr>
                  <w:r>
                    <w:rPr>
                      <w:sz w:val="21"/>
                      <w:szCs w:val="21"/>
                    </w:rPr>
                    <w:t>总投资</w:t>
                  </w:r>
                </w:p>
              </w:tc>
              <w:tc>
                <w:tcPr>
                  <w:tcW w:w="5474" w:type="dxa"/>
                  <w:tcBorders>
                    <w:tl2br w:val="nil"/>
                    <w:tr2bl w:val="nil"/>
                  </w:tcBorders>
                  <w:vAlign w:val="center"/>
                </w:tcPr>
                <w:p w14:paraId="03EA1A00">
                  <w:pPr>
                    <w:spacing w:line="240" w:lineRule="auto"/>
                    <w:ind w:firstLine="0" w:firstLineChars="0"/>
                    <w:jc w:val="center"/>
                    <w:rPr>
                      <w:sz w:val="21"/>
                      <w:szCs w:val="21"/>
                    </w:rPr>
                  </w:pPr>
                  <w:r>
                    <w:rPr>
                      <w:rFonts w:hint="eastAsia"/>
                      <w:sz w:val="21"/>
                      <w:szCs w:val="21"/>
                    </w:rPr>
                    <w:t>500万元</w:t>
                  </w:r>
                </w:p>
              </w:tc>
            </w:tr>
            <w:tr w14:paraId="243B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1" w:type="dxa"/>
                  <w:tcBorders>
                    <w:tl2br w:val="nil"/>
                    <w:tr2bl w:val="nil"/>
                  </w:tcBorders>
                  <w:vAlign w:val="center"/>
                </w:tcPr>
                <w:p w14:paraId="6BA853AA">
                  <w:pPr>
                    <w:spacing w:line="240" w:lineRule="auto"/>
                    <w:ind w:firstLine="0" w:firstLineChars="0"/>
                    <w:jc w:val="center"/>
                    <w:rPr>
                      <w:kern w:val="36"/>
                      <w:sz w:val="21"/>
                      <w:szCs w:val="21"/>
                    </w:rPr>
                  </w:pPr>
                  <w:r>
                    <w:rPr>
                      <w:kern w:val="36"/>
                      <w:sz w:val="21"/>
                      <w:szCs w:val="21"/>
                    </w:rPr>
                    <w:t>7</w:t>
                  </w:r>
                </w:p>
              </w:tc>
              <w:tc>
                <w:tcPr>
                  <w:tcW w:w="1762" w:type="dxa"/>
                  <w:tcBorders>
                    <w:tl2br w:val="nil"/>
                    <w:tr2bl w:val="nil"/>
                  </w:tcBorders>
                  <w:vAlign w:val="center"/>
                </w:tcPr>
                <w:p w14:paraId="7FFE37CD">
                  <w:pPr>
                    <w:adjustRightInd w:val="0"/>
                    <w:snapToGrid w:val="0"/>
                    <w:spacing w:line="240" w:lineRule="auto"/>
                    <w:ind w:firstLine="0" w:firstLineChars="0"/>
                    <w:jc w:val="center"/>
                    <w:rPr>
                      <w:sz w:val="21"/>
                      <w:szCs w:val="21"/>
                    </w:rPr>
                  </w:pPr>
                  <w:r>
                    <w:rPr>
                      <w:sz w:val="21"/>
                      <w:szCs w:val="21"/>
                    </w:rPr>
                    <w:t>劳动</w:t>
                  </w:r>
                  <w:r>
                    <w:rPr>
                      <w:rFonts w:hint="eastAsia"/>
                      <w:sz w:val="21"/>
                      <w:szCs w:val="21"/>
                    </w:rPr>
                    <w:t>制度与</w:t>
                  </w:r>
                  <w:r>
                    <w:rPr>
                      <w:sz w:val="21"/>
                      <w:szCs w:val="21"/>
                    </w:rPr>
                    <w:t>定员</w:t>
                  </w:r>
                </w:p>
              </w:tc>
              <w:tc>
                <w:tcPr>
                  <w:tcW w:w="5474" w:type="dxa"/>
                  <w:tcBorders>
                    <w:tl2br w:val="nil"/>
                    <w:tr2bl w:val="nil"/>
                  </w:tcBorders>
                  <w:vAlign w:val="center"/>
                </w:tcPr>
                <w:p w14:paraId="2BB362E2">
                  <w:pPr>
                    <w:spacing w:line="240" w:lineRule="auto"/>
                    <w:ind w:firstLine="0" w:firstLineChars="0"/>
                    <w:jc w:val="center"/>
                    <w:rPr>
                      <w:sz w:val="21"/>
                      <w:szCs w:val="21"/>
                    </w:rPr>
                  </w:pPr>
                  <w:r>
                    <w:rPr>
                      <w:rFonts w:hint="eastAsia"/>
                      <w:kern w:val="36"/>
                      <w:sz w:val="21"/>
                      <w:szCs w:val="21"/>
                    </w:rPr>
                    <w:t>职工定员50人，两班，每班8</w:t>
                  </w:r>
                  <w:r>
                    <w:rPr>
                      <w:kern w:val="36"/>
                      <w:sz w:val="21"/>
                      <w:szCs w:val="21"/>
                    </w:rPr>
                    <w:t>h，</w:t>
                  </w:r>
                  <w:r>
                    <w:rPr>
                      <w:sz w:val="21"/>
                      <w:szCs w:val="21"/>
                    </w:rPr>
                    <w:t>年工作</w:t>
                  </w:r>
                  <w:r>
                    <w:rPr>
                      <w:rFonts w:hint="eastAsia"/>
                      <w:sz w:val="21"/>
                      <w:szCs w:val="21"/>
                    </w:rPr>
                    <w:t>300</w:t>
                  </w:r>
                  <w:r>
                    <w:rPr>
                      <w:sz w:val="21"/>
                      <w:szCs w:val="21"/>
                    </w:rPr>
                    <w:t>天</w:t>
                  </w:r>
                </w:p>
              </w:tc>
            </w:tr>
          </w:tbl>
          <w:p w14:paraId="3F55A6FF">
            <w:pPr>
              <w:snapToGrid w:val="0"/>
              <w:spacing w:line="520" w:lineRule="exact"/>
              <w:ind w:firstLine="482"/>
              <w:rPr>
                <w:b/>
              </w:rPr>
            </w:pPr>
            <w:r>
              <w:rPr>
                <w:b/>
              </w:rPr>
              <w:t>3、项目组成情况</w:t>
            </w:r>
          </w:p>
          <w:p w14:paraId="3BA859BA">
            <w:pPr>
              <w:pStyle w:val="69"/>
              <w:autoSpaceDE/>
              <w:autoSpaceDN/>
              <w:snapToGrid w:val="0"/>
              <w:spacing w:line="520" w:lineRule="exact"/>
              <w:ind w:firstLine="480"/>
              <w:rPr>
                <w:rFonts w:ascii="Times New Roman" w:hAnsi="Times New Roman"/>
              </w:rPr>
            </w:pPr>
            <w:r>
              <w:rPr>
                <w:rFonts w:ascii="Times New Roman" w:hAnsi="Times New Roman"/>
                <w:bCs/>
              </w:rPr>
              <w:t>本项目总投资</w:t>
            </w:r>
            <w:r>
              <w:rPr>
                <w:rFonts w:hint="eastAsia" w:ascii="Times New Roman" w:hAnsi="Times New Roman"/>
                <w:bCs/>
              </w:rPr>
              <w:t>500</w:t>
            </w:r>
            <w:r>
              <w:rPr>
                <w:rFonts w:ascii="Times New Roman" w:hAnsi="Times New Roman"/>
                <w:bCs/>
              </w:rPr>
              <w:t>万元，</w:t>
            </w:r>
            <w:r>
              <w:rPr>
                <w:rFonts w:ascii="Times New Roman" w:hAnsi="Times New Roman"/>
              </w:rPr>
              <w:t>主要包括主体工程、辅助工程、公用工程和环保工程等，项目所在厂区平面布置图见附图5。</w:t>
            </w:r>
            <w:r>
              <w:rPr>
                <w:rFonts w:ascii="Times New Roman" w:hAnsi="Times New Roman"/>
                <w:bCs/>
              </w:rPr>
              <w:t>建筑内容见表2-2。</w:t>
            </w:r>
          </w:p>
          <w:p w14:paraId="3AD81AA0">
            <w:pPr>
              <w:pStyle w:val="7"/>
              <w:keepNext/>
              <w:snapToGrid w:val="0"/>
              <w:spacing w:line="520" w:lineRule="exact"/>
              <w:ind w:firstLine="960" w:firstLineChars="400"/>
              <w:jc w:val="both"/>
              <w:rPr>
                <w:szCs w:val="24"/>
              </w:rPr>
            </w:pPr>
            <w:r>
              <w:rPr>
                <w:szCs w:val="24"/>
              </w:rPr>
              <w:t>表2-2                 项目组成一览表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1336"/>
              <w:gridCol w:w="4451"/>
              <w:gridCol w:w="1173"/>
            </w:tblGrid>
            <w:tr w14:paraId="3BE5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tcBorders>
                    <w:tl2br w:val="nil"/>
                    <w:tr2bl w:val="nil"/>
                  </w:tcBorders>
                  <w:vAlign w:val="center"/>
                </w:tcPr>
                <w:p w14:paraId="364652DE">
                  <w:pPr>
                    <w:pStyle w:val="70"/>
                    <w:adjustRightInd w:val="0"/>
                    <w:snapToGrid w:val="0"/>
                    <w:spacing w:line="240" w:lineRule="auto"/>
                    <w:ind w:firstLine="0" w:firstLineChars="0"/>
                    <w:jc w:val="center"/>
                    <w:rPr>
                      <w:b/>
                      <w:bCs/>
                      <w:color w:val="000000"/>
                      <w:sz w:val="21"/>
                      <w:szCs w:val="21"/>
                    </w:rPr>
                  </w:pPr>
                  <w:r>
                    <w:rPr>
                      <w:b/>
                      <w:bCs/>
                      <w:color w:val="000000"/>
                      <w:sz w:val="21"/>
                      <w:szCs w:val="21"/>
                    </w:rPr>
                    <w:t>序号</w:t>
                  </w:r>
                </w:p>
              </w:tc>
              <w:tc>
                <w:tcPr>
                  <w:tcW w:w="1336" w:type="dxa"/>
                  <w:tcBorders>
                    <w:tl2br w:val="nil"/>
                    <w:tr2bl w:val="nil"/>
                  </w:tcBorders>
                  <w:vAlign w:val="center"/>
                </w:tcPr>
                <w:p w14:paraId="7BB4310D">
                  <w:pPr>
                    <w:pStyle w:val="70"/>
                    <w:adjustRightInd w:val="0"/>
                    <w:snapToGrid w:val="0"/>
                    <w:spacing w:line="240" w:lineRule="auto"/>
                    <w:ind w:firstLine="0" w:firstLineChars="0"/>
                    <w:jc w:val="center"/>
                    <w:rPr>
                      <w:b/>
                      <w:bCs/>
                      <w:color w:val="000000"/>
                      <w:sz w:val="21"/>
                      <w:szCs w:val="21"/>
                    </w:rPr>
                  </w:pPr>
                  <w:r>
                    <w:rPr>
                      <w:b/>
                      <w:bCs/>
                      <w:color w:val="000000"/>
                      <w:sz w:val="21"/>
                      <w:szCs w:val="21"/>
                    </w:rPr>
                    <w:t>建筑物名称</w:t>
                  </w:r>
                </w:p>
              </w:tc>
              <w:tc>
                <w:tcPr>
                  <w:tcW w:w="4451" w:type="dxa"/>
                  <w:tcBorders>
                    <w:tl2br w:val="nil"/>
                    <w:tr2bl w:val="nil"/>
                  </w:tcBorders>
                  <w:vAlign w:val="center"/>
                </w:tcPr>
                <w:p w14:paraId="21AC37EB">
                  <w:pPr>
                    <w:pStyle w:val="70"/>
                    <w:adjustRightInd w:val="0"/>
                    <w:snapToGrid w:val="0"/>
                    <w:spacing w:line="240" w:lineRule="auto"/>
                    <w:ind w:firstLine="0" w:firstLineChars="0"/>
                    <w:jc w:val="center"/>
                    <w:rPr>
                      <w:b/>
                      <w:bCs/>
                      <w:color w:val="000000"/>
                      <w:sz w:val="21"/>
                      <w:szCs w:val="21"/>
                    </w:rPr>
                  </w:pPr>
                  <w:r>
                    <w:rPr>
                      <w:b/>
                      <w:bCs/>
                      <w:color w:val="000000"/>
                      <w:sz w:val="21"/>
                      <w:szCs w:val="21"/>
                    </w:rPr>
                    <w:t>建筑规模</w:t>
                  </w:r>
                </w:p>
              </w:tc>
              <w:tc>
                <w:tcPr>
                  <w:tcW w:w="1173" w:type="dxa"/>
                  <w:tcBorders>
                    <w:tl2br w:val="nil"/>
                    <w:tr2bl w:val="nil"/>
                  </w:tcBorders>
                  <w:vAlign w:val="center"/>
                </w:tcPr>
                <w:p w14:paraId="2143A39B">
                  <w:pPr>
                    <w:pStyle w:val="70"/>
                    <w:adjustRightInd w:val="0"/>
                    <w:snapToGrid w:val="0"/>
                    <w:spacing w:line="240" w:lineRule="auto"/>
                    <w:ind w:firstLine="0" w:firstLineChars="0"/>
                    <w:jc w:val="center"/>
                    <w:rPr>
                      <w:b/>
                      <w:bCs/>
                      <w:color w:val="000000"/>
                      <w:sz w:val="21"/>
                      <w:szCs w:val="21"/>
                    </w:rPr>
                  </w:pPr>
                  <w:r>
                    <w:rPr>
                      <w:b/>
                      <w:bCs/>
                      <w:color w:val="000000"/>
                      <w:sz w:val="21"/>
                      <w:szCs w:val="21"/>
                    </w:rPr>
                    <w:t>备注</w:t>
                  </w:r>
                </w:p>
              </w:tc>
            </w:tr>
            <w:tr w14:paraId="32F8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tcBorders>
                    <w:tl2br w:val="nil"/>
                    <w:tr2bl w:val="nil"/>
                  </w:tcBorders>
                  <w:vAlign w:val="center"/>
                </w:tcPr>
                <w:p w14:paraId="49292538">
                  <w:pPr>
                    <w:pStyle w:val="70"/>
                    <w:adjustRightInd w:val="0"/>
                    <w:snapToGrid w:val="0"/>
                    <w:spacing w:line="240" w:lineRule="auto"/>
                    <w:ind w:firstLine="0" w:firstLineChars="0"/>
                    <w:jc w:val="center"/>
                    <w:rPr>
                      <w:color w:val="000000"/>
                      <w:sz w:val="21"/>
                      <w:szCs w:val="21"/>
                    </w:rPr>
                  </w:pPr>
                  <w:r>
                    <w:rPr>
                      <w:color w:val="000000"/>
                      <w:sz w:val="21"/>
                      <w:szCs w:val="21"/>
                    </w:rPr>
                    <w:t>主体工程</w:t>
                  </w:r>
                </w:p>
              </w:tc>
              <w:tc>
                <w:tcPr>
                  <w:tcW w:w="1336" w:type="dxa"/>
                  <w:tcBorders>
                    <w:tl2br w:val="nil"/>
                    <w:tr2bl w:val="nil"/>
                  </w:tcBorders>
                  <w:vAlign w:val="center"/>
                </w:tcPr>
                <w:p w14:paraId="0CF7282C">
                  <w:pPr>
                    <w:pStyle w:val="70"/>
                    <w:adjustRightInd w:val="0"/>
                    <w:snapToGrid w:val="0"/>
                    <w:spacing w:line="240" w:lineRule="auto"/>
                    <w:ind w:firstLine="0" w:firstLineChars="0"/>
                    <w:jc w:val="center"/>
                    <w:rPr>
                      <w:sz w:val="21"/>
                      <w:szCs w:val="21"/>
                    </w:rPr>
                  </w:pPr>
                  <w:r>
                    <w:rPr>
                      <w:rFonts w:hint="eastAsia"/>
                      <w:sz w:val="21"/>
                      <w:szCs w:val="21"/>
                    </w:rPr>
                    <w:t>生产车间</w:t>
                  </w:r>
                </w:p>
              </w:tc>
              <w:tc>
                <w:tcPr>
                  <w:tcW w:w="4451" w:type="dxa"/>
                  <w:tcBorders>
                    <w:tl2br w:val="nil"/>
                    <w:tr2bl w:val="nil"/>
                  </w:tcBorders>
                  <w:vAlign w:val="center"/>
                </w:tcPr>
                <w:p w14:paraId="3173EF4E">
                  <w:pPr>
                    <w:pStyle w:val="70"/>
                    <w:adjustRightInd w:val="0"/>
                    <w:snapToGrid w:val="0"/>
                    <w:spacing w:line="240" w:lineRule="auto"/>
                    <w:ind w:firstLine="0" w:firstLineChars="0"/>
                    <w:jc w:val="center"/>
                    <w:rPr>
                      <w:sz w:val="21"/>
                      <w:szCs w:val="21"/>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F，建筑面积</w:t>
                  </w:r>
                  <w:r>
                    <w:rPr>
                      <w:rFonts w:hint="eastAsia"/>
                      <w:color w:val="000000" w:themeColor="text1"/>
                      <w:sz w:val="21"/>
                      <w:szCs w:val="21"/>
                      <w:lang w:val="en-US" w:eastAsia="zh-CN"/>
                      <w14:textFill>
                        <w14:solidFill>
                          <w14:schemeClr w14:val="tx1"/>
                        </w14:solidFill>
                      </w14:textFill>
                    </w:rPr>
                    <w:t>3998</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2</w:t>
                  </w:r>
                </w:p>
              </w:tc>
              <w:tc>
                <w:tcPr>
                  <w:tcW w:w="1173" w:type="dxa"/>
                  <w:tcBorders>
                    <w:tl2br w:val="nil"/>
                    <w:tr2bl w:val="nil"/>
                  </w:tcBorders>
                  <w:vAlign w:val="center"/>
                </w:tcPr>
                <w:p w14:paraId="0650F322">
                  <w:pPr>
                    <w:pStyle w:val="70"/>
                    <w:adjustRightInd w:val="0"/>
                    <w:snapToGrid w:val="0"/>
                    <w:spacing w:line="240" w:lineRule="auto"/>
                    <w:ind w:firstLine="0" w:firstLineChars="0"/>
                    <w:jc w:val="center"/>
                    <w:rPr>
                      <w:sz w:val="21"/>
                      <w:szCs w:val="21"/>
                    </w:rPr>
                  </w:pPr>
                  <w:r>
                    <w:rPr>
                      <w:rFonts w:hint="eastAsia"/>
                      <w:sz w:val="21"/>
                      <w:szCs w:val="21"/>
                    </w:rPr>
                    <w:t>租赁现有</w:t>
                  </w:r>
                </w:p>
              </w:tc>
            </w:tr>
            <w:tr w14:paraId="650C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tcBorders>
                    <w:tl2br w:val="nil"/>
                    <w:tr2bl w:val="nil"/>
                  </w:tcBorders>
                  <w:vAlign w:val="center"/>
                </w:tcPr>
                <w:p w14:paraId="7A24A1AB">
                  <w:pPr>
                    <w:pStyle w:val="70"/>
                    <w:adjustRightInd w:val="0"/>
                    <w:snapToGrid w:val="0"/>
                    <w:spacing w:line="240" w:lineRule="auto"/>
                    <w:ind w:firstLine="0" w:firstLineChars="0"/>
                    <w:jc w:val="center"/>
                    <w:rPr>
                      <w:rFonts w:hint="eastAsia" w:eastAsia="宋体"/>
                      <w:color w:val="000000"/>
                      <w:sz w:val="21"/>
                      <w:szCs w:val="21"/>
                      <w:lang w:eastAsia="zh-CN"/>
                    </w:rPr>
                  </w:pPr>
                  <w:r>
                    <w:rPr>
                      <w:rFonts w:hint="eastAsia"/>
                      <w:color w:val="000000"/>
                      <w:sz w:val="21"/>
                      <w:szCs w:val="21"/>
                      <w:lang w:eastAsia="zh-CN"/>
                    </w:rPr>
                    <w:t>辅助工程</w:t>
                  </w:r>
                </w:p>
              </w:tc>
              <w:tc>
                <w:tcPr>
                  <w:tcW w:w="1336" w:type="dxa"/>
                  <w:tcBorders>
                    <w:tl2br w:val="nil"/>
                    <w:tr2bl w:val="nil"/>
                  </w:tcBorders>
                  <w:vAlign w:val="center"/>
                </w:tcPr>
                <w:p w14:paraId="7C728B01">
                  <w:pPr>
                    <w:pStyle w:val="70"/>
                    <w:adjustRightInd w:val="0"/>
                    <w:snapToGrid w:val="0"/>
                    <w:spacing w:line="240" w:lineRule="auto"/>
                    <w:ind w:firstLine="0" w:firstLineChars="0"/>
                    <w:jc w:val="center"/>
                    <w:rPr>
                      <w:rFonts w:hint="eastAsia" w:eastAsia="宋体"/>
                      <w:sz w:val="21"/>
                      <w:szCs w:val="21"/>
                      <w:lang w:eastAsia="zh-CN"/>
                    </w:rPr>
                  </w:pPr>
                  <w:r>
                    <w:rPr>
                      <w:rFonts w:hint="eastAsia"/>
                      <w:sz w:val="21"/>
                      <w:szCs w:val="21"/>
                      <w:lang w:eastAsia="zh-CN"/>
                    </w:rPr>
                    <w:t>办公区</w:t>
                  </w:r>
                </w:p>
              </w:tc>
              <w:tc>
                <w:tcPr>
                  <w:tcW w:w="4451" w:type="dxa"/>
                  <w:tcBorders>
                    <w:tl2br w:val="nil"/>
                    <w:tr2bl w:val="nil"/>
                  </w:tcBorders>
                  <w:vAlign w:val="center"/>
                </w:tcPr>
                <w:p w14:paraId="6CC32412">
                  <w:pPr>
                    <w:pStyle w:val="70"/>
                    <w:adjustRightInd w:val="0"/>
                    <w:snapToGrid w:val="0"/>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F，建筑面积</w:t>
                  </w:r>
                  <w:r>
                    <w:rPr>
                      <w:rFonts w:hint="eastAsia"/>
                      <w:color w:val="000000" w:themeColor="text1"/>
                      <w:sz w:val="21"/>
                      <w:szCs w:val="21"/>
                      <w:lang w:val="en-US" w:eastAsia="zh-CN"/>
                      <w14:textFill>
                        <w14:solidFill>
                          <w14:schemeClr w14:val="tx1"/>
                        </w14:solidFill>
                      </w14:textFill>
                    </w:rPr>
                    <w:t>576</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2</w:t>
                  </w:r>
                </w:p>
              </w:tc>
              <w:tc>
                <w:tcPr>
                  <w:tcW w:w="1173" w:type="dxa"/>
                  <w:tcBorders>
                    <w:tl2br w:val="nil"/>
                    <w:tr2bl w:val="nil"/>
                  </w:tcBorders>
                  <w:vAlign w:val="center"/>
                </w:tcPr>
                <w:p w14:paraId="6F5F2F4C">
                  <w:pPr>
                    <w:pStyle w:val="70"/>
                    <w:adjustRightInd w:val="0"/>
                    <w:snapToGrid w:val="0"/>
                    <w:spacing w:line="240" w:lineRule="auto"/>
                    <w:ind w:firstLine="0" w:firstLineChars="0"/>
                    <w:jc w:val="center"/>
                    <w:rPr>
                      <w:rFonts w:hint="eastAsia"/>
                      <w:sz w:val="21"/>
                      <w:szCs w:val="21"/>
                    </w:rPr>
                  </w:pPr>
                  <w:r>
                    <w:rPr>
                      <w:rFonts w:hint="eastAsia"/>
                      <w:sz w:val="21"/>
                      <w:szCs w:val="21"/>
                    </w:rPr>
                    <w:t>租赁现有</w:t>
                  </w:r>
                </w:p>
              </w:tc>
            </w:tr>
            <w:tr w14:paraId="2CCA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restart"/>
                  <w:tcBorders>
                    <w:tl2br w:val="nil"/>
                    <w:tr2bl w:val="nil"/>
                  </w:tcBorders>
                  <w:vAlign w:val="center"/>
                </w:tcPr>
                <w:p w14:paraId="29CB1AF1">
                  <w:pPr>
                    <w:pStyle w:val="70"/>
                    <w:adjustRightInd w:val="0"/>
                    <w:snapToGrid w:val="0"/>
                    <w:spacing w:line="240" w:lineRule="auto"/>
                    <w:ind w:firstLine="0" w:firstLineChars="0"/>
                    <w:jc w:val="center"/>
                    <w:rPr>
                      <w:color w:val="000000"/>
                      <w:sz w:val="21"/>
                      <w:szCs w:val="21"/>
                    </w:rPr>
                  </w:pPr>
                  <w:r>
                    <w:rPr>
                      <w:color w:val="000000"/>
                      <w:sz w:val="21"/>
                      <w:szCs w:val="21"/>
                    </w:rPr>
                    <w:t>公用工程</w:t>
                  </w:r>
                </w:p>
              </w:tc>
              <w:tc>
                <w:tcPr>
                  <w:tcW w:w="1336" w:type="dxa"/>
                  <w:tcBorders>
                    <w:tl2br w:val="nil"/>
                    <w:tr2bl w:val="nil"/>
                  </w:tcBorders>
                  <w:vAlign w:val="center"/>
                </w:tcPr>
                <w:p w14:paraId="0EF58891">
                  <w:pPr>
                    <w:adjustRightInd w:val="0"/>
                    <w:snapToGrid w:val="0"/>
                    <w:spacing w:line="240" w:lineRule="auto"/>
                    <w:ind w:firstLine="0" w:firstLineChars="0"/>
                    <w:jc w:val="center"/>
                    <w:rPr>
                      <w:sz w:val="21"/>
                      <w:szCs w:val="21"/>
                    </w:rPr>
                  </w:pPr>
                  <w:r>
                    <w:rPr>
                      <w:sz w:val="21"/>
                      <w:szCs w:val="21"/>
                    </w:rPr>
                    <w:t>供水</w:t>
                  </w:r>
                </w:p>
              </w:tc>
              <w:tc>
                <w:tcPr>
                  <w:tcW w:w="4451" w:type="dxa"/>
                  <w:tcBorders>
                    <w:tl2br w:val="nil"/>
                    <w:tr2bl w:val="nil"/>
                  </w:tcBorders>
                  <w:vAlign w:val="center"/>
                </w:tcPr>
                <w:p w14:paraId="0C3CF38E">
                  <w:pPr>
                    <w:spacing w:line="240" w:lineRule="auto"/>
                    <w:ind w:firstLine="0" w:firstLineChars="0"/>
                    <w:jc w:val="center"/>
                    <w:rPr>
                      <w:sz w:val="21"/>
                      <w:szCs w:val="21"/>
                    </w:rPr>
                  </w:pPr>
                  <w:r>
                    <w:rPr>
                      <w:rFonts w:hint="eastAsia"/>
                      <w:bCs/>
                      <w:sz w:val="21"/>
                      <w:szCs w:val="21"/>
                    </w:rPr>
                    <w:t>当地</w:t>
                  </w:r>
                  <w:r>
                    <w:rPr>
                      <w:bCs/>
                      <w:sz w:val="21"/>
                      <w:szCs w:val="21"/>
                    </w:rPr>
                    <w:t>市政供水</w:t>
                  </w:r>
                </w:p>
              </w:tc>
              <w:tc>
                <w:tcPr>
                  <w:tcW w:w="1173" w:type="dxa"/>
                  <w:tcBorders>
                    <w:tl2br w:val="nil"/>
                    <w:tr2bl w:val="nil"/>
                  </w:tcBorders>
                  <w:vAlign w:val="center"/>
                </w:tcPr>
                <w:p w14:paraId="095BE8CA">
                  <w:pPr>
                    <w:adjustRightInd w:val="0"/>
                    <w:snapToGrid w:val="0"/>
                    <w:spacing w:line="240" w:lineRule="auto"/>
                    <w:ind w:firstLine="0" w:firstLineChars="0"/>
                    <w:jc w:val="center"/>
                    <w:rPr>
                      <w:bCs/>
                      <w:sz w:val="21"/>
                      <w:szCs w:val="21"/>
                    </w:rPr>
                  </w:pPr>
                  <w:r>
                    <w:rPr>
                      <w:rFonts w:hint="eastAsia"/>
                      <w:sz w:val="21"/>
                      <w:szCs w:val="21"/>
                    </w:rPr>
                    <w:t>租赁现有</w:t>
                  </w:r>
                </w:p>
              </w:tc>
            </w:tr>
            <w:tr w14:paraId="12C2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Borders>
                    <w:tl2br w:val="nil"/>
                    <w:tr2bl w:val="nil"/>
                  </w:tcBorders>
                  <w:vAlign w:val="center"/>
                </w:tcPr>
                <w:p w14:paraId="653B8234">
                  <w:pPr>
                    <w:pStyle w:val="70"/>
                    <w:adjustRightInd w:val="0"/>
                    <w:snapToGrid w:val="0"/>
                    <w:spacing w:line="240" w:lineRule="auto"/>
                    <w:ind w:firstLine="0" w:firstLineChars="0"/>
                    <w:jc w:val="center"/>
                    <w:rPr>
                      <w:color w:val="000000"/>
                      <w:sz w:val="21"/>
                      <w:szCs w:val="21"/>
                    </w:rPr>
                  </w:pPr>
                </w:p>
              </w:tc>
              <w:tc>
                <w:tcPr>
                  <w:tcW w:w="1336" w:type="dxa"/>
                  <w:tcBorders>
                    <w:tl2br w:val="nil"/>
                    <w:tr2bl w:val="nil"/>
                  </w:tcBorders>
                  <w:vAlign w:val="center"/>
                </w:tcPr>
                <w:p w14:paraId="03AE80E7">
                  <w:pPr>
                    <w:adjustRightInd w:val="0"/>
                    <w:snapToGrid w:val="0"/>
                    <w:spacing w:line="240" w:lineRule="auto"/>
                    <w:ind w:firstLine="0" w:firstLineChars="0"/>
                    <w:jc w:val="center"/>
                    <w:rPr>
                      <w:sz w:val="21"/>
                      <w:szCs w:val="21"/>
                    </w:rPr>
                  </w:pPr>
                  <w:r>
                    <w:rPr>
                      <w:rFonts w:hint="eastAsia"/>
                      <w:sz w:val="21"/>
                      <w:szCs w:val="21"/>
                    </w:rPr>
                    <w:t>供电</w:t>
                  </w:r>
                </w:p>
              </w:tc>
              <w:tc>
                <w:tcPr>
                  <w:tcW w:w="4451" w:type="dxa"/>
                  <w:tcBorders>
                    <w:tl2br w:val="nil"/>
                    <w:tr2bl w:val="nil"/>
                  </w:tcBorders>
                  <w:vAlign w:val="center"/>
                </w:tcPr>
                <w:p w14:paraId="1BD5AC8C">
                  <w:pPr>
                    <w:snapToGrid w:val="0"/>
                    <w:spacing w:line="240" w:lineRule="auto"/>
                    <w:ind w:firstLine="0" w:firstLineChars="0"/>
                    <w:jc w:val="center"/>
                    <w:rPr>
                      <w:sz w:val="21"/>
                      <w:szCs w:val="21"/>
                    </w:rPr>
                  </w:pPr>
                  <w:r>
                    <w:rPr>
                      <w:rFonts w:hint="eastAsia"/>
                      <w:color w:val="000000"/>
                      <w:sz w:val="21"/>
                      <w:szCs w:val="21"/>
                    </w:rPr>
                    <w:t>当地供电所供电</w:t>
                  </w:r>
                </w:p>
              </w:tc>
              <w:tc>
                <w:tcPr>
                  <w:tcW w:w="1173" w:type="dxa"/>
                  <w:tcBorders>
                    <w:tl2br w:val="nil"/>
                    <w:tr2bl w:val="nil"/>
                  </w:tcBorders>
                  <w:vAlign w:val="center"/>
                </w:tcPr>
                <w:p w14:paraId="759EB5EC">
                  <w:pPr>
                    <w:adjustRightInd w:val="0"/>
                    <w:snapToGrid w:val="0"/>
                    <w:spacing w:line="240" w:lineRule="auto"/>
                    <w:ind w:firstLine="0" w:firstLineChars="0"/>
                    <w:jc w:val="center"/>
                    <w:rPr>
                      <w:bCs/>
                      <w:sz w:val="21"/>
                      <w:szCs w:val="21"/>
                    </w:rPr>
                  </w:pPr>
                  <w:r>
                    <w:rPr>
                      <w:rFonts w:hint="eastAsia"/>
                      <w:sz w:val="21"/>
                      <w:szCs w:val="21"/>
                    </w:rPr>
                    <w:t>租赁现有</w:t>
                  </w:r>
                </w:p>
              </w:tc>
            </w:tr>
            <w:tr w14:paraId="5C90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Borders>
                    <w:tl2br w:val="nil"/>
                    <w:tr2bl w:val="nil"/>
                  </w:tcBorders>
                  <w:vAlign w:val="center"/>
                </w:tcPr>
                <w:p w14:paraId="0989C064">
                  <w:pPr>
                    <w:pStyle w:val="70"/>
                    <w:adjustRightInd w:val="0"/>
                    <w:snapToGrid w:val="0"/>
                    <w:spacing w:line="240" w:lineRule="auto"/>
                    <w:ind w:firstLine="0" w:firstLineChars="0"/>
                    <w:jc w:val="center"/>
                    <w:rPr>
                      <w:color w:val="000000"/>
                      <w:sz w:val="21"/>
                      <w:szCs w:val="21"/>
                    </w:rPr>
                  </w:pPr>
                </w:p>
              </w:tc>
              <w:tc>
                <w:tcPr>
                  <w:tcW w:w="1336" w:type="dxa"/>
                  <w:tcBorders>
                    <w:tl2br w:val="nil"/>
                    <w:tr2bl w:val="nil"/>
                  </w:tcBorders>
                  <w:vAlign w:val="center"/>
                </w:tcPr>
                <w:p w14:paraId="6C2FBBCF">
                  <w:pPr>
                    <w:adjustRightInd w:val="0"/>
                    <w:snapToGrid w:val="0"/>
                    <w:spacing w:line="240" w:lineRule="auto"/>
                    <w:ind w:firstLine="0" w:firstLineChars="0"/>
                    <w:jc w:val="center"/>
                    <w:rPr>
                      <w:sz w:val="21"/>
                      <w:szCs w:val="21"/>
                    </w:rPr>
                  </w:pPr>
                  <w:r>
                    <w:rPr>
                      <w:sz w:val="21"/>
                      <w:szCs w:val="21"/>
                    </w:rPr>
                    <w:t>排水</w:t>
                  </w:r>
                </w:p>
              </w:tc>
              <w:tc>
                <w:tcPr>
                  <w:tcW w:w="4451" w:type="dxa"/>
                  <w:tcBorders>
                    <w:tl2br w:val="nil"/>
                    <w:tr2bl w:val="nil"/>
                  </w:tcBorders>
                  <w:vAlign w:val="center"/>
                </w:tcPr>
                <w:p w14:paraId="789B5D21">
                  <w:pPr>
                    <w:adjustRightInd w:val="0"/>
                    <w:snapToGrid w:val="0"/>
                    <w:spacing w:line="240" w:lineRule="auto"/>
                    <w:ind w:firstLine="0" w:firstLineChars="0"/>
                    <w:jc w:val="center"/>
                    <w:rPr>
                      <w:sz w:val="21"/>
                      <w:szCs w:val="21"/>
                    </w:rPr>
                  </w:pPr>
                  <w:r>
                    <w:rPr>
                      <w:sz w:val="21"/>
                      <w:szCs w:val="21"/>
                    </w:rPr>
                    <w:t>项目生活污水</w:t>
                  </w:r>
                  <w:r>
                    <w:rPr>
                      <w:rFonts w:hint="eastAsia"/>
                      <w:sz w:val="21"/>
                      <w:szCs w:val="21"/>
                      <w:lang w:eastAsia="zh-CN"/>
                    </w:rPr>
                    <w:t>经化粪池处理后排入河南新投水务有限公司</w:t>
                  </w:r>
                  <w:r>
                    <w:rPr>
                      <w:rFonts w:hint="eastAsia"/>
                      <w:sz w:val="21"/>
                      <w:szCs w:val="21"/>
                    </w:rPr>
                    <w:t>（小尚庄污水处理厂）</w:t>
                  </w:r>
                  <w:r>
                    <w:rPr>
                      <w:sz w:val="21"/>
                      <w:szCs w:val="21"/>
                    </w:rPr>
                    <w:t>进一步处理。</w:t>
                  </w:r>
                </w:p>
              </w:tc>
              <w:tc>
                <w:tcPr>
                  <w:tcW w:w="1173" w:type="dxa"/>
                  <w:tcBorders>
                    <w:tl2br w:val="nil"/>
                    <w:tr2bl w:val="nil"/>
                  </w:tcBorders>
                  <w:vAlign w:val="center"/>
                </w:tcPr>
                <w:p w14:paraId="5E05B692">
                  <w:pPr>
                    <w:adjustRightInd w:val="0"/>
                    <w:snapToGrid w:val="0"/>
                    <w:spacing w:line="240" w:lineRule="auto"/>
                    <w:ind w:firstLine="0" w:firstLineChars="0"/>
                    <w:jc w:val="center"/>
                    <w:rPr>
                      <w:bCs/>
                      <w:sz w:val="21"/>
                      <w:szCs w:val="21"/>
                    </w:rPr>
                  </w:pPr>
                  <w:r>
                    <w:rPr>
                      <w:rFonts w:hint="eastAsia"/>
                      <w:bCs/>
                      <w:sz w:val="21"/>
                      <w:szCs w:val="21"/>
                    </w:rPr>
                    <w:t>新建</w:t>
                  </w:r>
                </w:p>
              </w:tc>
            </w:tr>
            <w:tr w14:paraId="680B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restart"/>
                  <w:tcBorders>
                    <w:tl2br w:val="nil"/>
                    <w:tr2bl w:val="nil"/>
                  </w:tcBorders>
                  <w:vAlign w:val="center"/>
                </w:tcPr>
                <w:p w14:paraId="3726020F">
                  <w:pPr>
                    <w:pStyle w:val="70"/>
                    <w:adjustRightInd w:val="0"/>
                    <w:snapToGrid w:val="0"/>
                    <w:spacing w:line="240" w:lineRule="auto"/>
                    <w:ind w:firstLine="0" w:firstLineChars="0"/>
                    <w:jc w:val="center"/>
                    <w:rPr>
                      <w:color w:val="000000"/>
                      <w:sz w:val="21"/>
                      <w:szCs w:val="21"/>
                    </w:rPr>
                  </w:pPr>
                  <w:r>
                    <w:rPr>
                      <w:color w:val="000000"/>
                      <w:sz w:val="21"/>
                      <w:szCs w:val="21"/>
                    </w:rPr>
                    <w:t>环保工程</w:t>
                  </w:r>
                </w:p>
              </w:tc>
              <w:tc>
                <w:tcPr>
                  <w:tcW w:w="1336" w:type="dxa"/>
                  <w:tcBorders>
                    <w:tl2br w:val="nil"/>
                    <w:tr2bl w:val="nil"/>
                  </w:tcBorders>
                  <w:vAlign w:val="center"/>
                </w:tcPr>
                <w:p w14:paraId="1E16E098">
                  <w:pPr>
                    <w:adjustRightInd w:val="0"/>
                    <w:snapToGrid w:val="0"/>
                    <w:spacing w:line="240" w:lineRule="auto"/>
                    <w:ind w:firstLine="0" w:firstLineChars="0"/>
                    <w:jc w:val="center"/>
                    <w:rPr>
                      <w:sz w:val="21"/>
                      <w:szCs w:val="21"/>
                    </w:rPr>
                  </w:pPr>
                  <w:r>
                    <w:rPr>
                      <w:sz w:val="21"/>
                      <w:szCs w:val="21"/>
                    </w:rPr>
                    <w:t>废气治理</w:t>
                  </w:r>
                </w:p>
              </w:tc>
              <w:tc>
                <w:tcPr>
                  <w:tcW w:w="4451" w:type="dxa"/>
                  <w:tcBorders>
                    <w:tl2br w:val="nil"/>
                    <w:tr2bl w:val="nil"/>
                  </w:tcBorders>
                  <w:vAlign w:val="center"/>
                </w:tcPr>
                <w:p w14:paraId="0A34BA5D">
                  <w:pPr>
                    <w:adjustRightInd w:val="0"/>
                    <w:snapToGrid w:val="0"/>
                    <w:spacing w:line="240" w:lineRule="auto"/>
                    <w:ind w:firstLine="0" w:firstLineChars="0"/>
                    <w:jc w:val="center"/>
                    <w:rPr>
                      <w:sz w:val="21"/>
                      <w:szCs w:val="21"/>
                    </w:rPr>
                  </w:pPr>
                  <w:r>
                    <w:rPr>
                      <w:rFonts w:hint="eastAsia"/>
                      <w:sz w:val="21"/>
                      <w:szCs w:val="21"/>
                    </w:rPr>
                    <w:t>项目生产工序均置于密闭生产车间，印花、复合、雕花、压花、清理、开口工序进行二次密闭，产生废气生产设备上方设置集气罩，</w:t>
                  </w:r>
                  <w:r>
                    <w:rPr>
                      <w:rFonts w:hint="eastAsia"/>
                      <w:sz w:val="21"/>
                      <w:szCs w:val="21"/>
                      <w:lang w:eastAsia="zh-CN"/>
                    </w:rPr>
                    <w:t>压花、雕花、开口工序产生的</w:t>
                  </w:r>
                  <w:r>
                    <w:rPr>
                      <w:rFonts w:hint="eastAsia"/>
                      <w:sz w:val="21"/>
                      <w:szCs w:val="21"/>
                    </w:rPr>
                    <w:t>颗粒物经</w:t>
                  </w:r>
                  <w:r>
                    <w:rPr>
                      <w:rFonts w:hint="eastAsia"/>
                      <w:sz w:val="21"/>
                      <w:szCs w:val="21"/>
                      <w:lang w:eastAsia="zh-CN"/>
                    </w:rPr>
                    <w:t>袋式除尘器</w:t>
                  </w:r>
                  <w:r>
                    <w:rPr>
                      <w:rFonts w:hint="eastAsia"/>
                      <w:sz w:val="21"/>
                      <w:szCs w:val="21"/>
                    </w:rPr>
                    <w:t>预处理，然后</w:t>
                  </w:r>
                  <w:r>
                    <w:rPr>
                      <w:rFonts w:hint="eastAsia"/>
                      <w:sz w:val="21"/>
                      <w:szCs w:val="21"/>
                      <w:lang w:eastAsia="zh-CN"/>
                    </w:rPr>
                    <w:t>与有机废气共同</w:t>
                  </w:r>
                  <w:r>
                    <w:rPr>
                      <w:rFonts w:hint="eastAsia"/>
                      <w:sz w:val="21"/>
                      <w:szCs w:val="21"/>
                    </w:rPr>
                    <w:t>引至</w:t>
                  </w:r>
                  <w:r>
                    <w:rPr>
                      <w:rFonts w:hint="eastAsia"/>
                      <w:sz w:val="21"/>
                      <w:szCs w:val="21"/>
                      <w:lang w:eastAsia="zh-CN"/>
                    </w:rPr>
                    <w:t>有机废气处理装置</w:t>
                  </w:r>
                  <w:r>
                    <w:rPr>
                      <w:rFonts w:hint="eastAsia"/>
                      <w:sz w:val="21"/>
                      <w:szCs w:val="21"/>
                    </w:rPr>
                    <w:t xml:space="preserve"> “</w:t>
                  </w:r>
                  <w:r>
                    <w:rPr>
                      <w:rFonts w:hint="eastAsia"/>
                      <w:bCs/>
                      <w:color w:val="000000"/>
                      <w:sz w:val="21"/>
                      <w:szCs w:val="21"/>
                    </w:rPr>
                    <w:t>活性炭吸附/脱附-催化燃烧装置</w:t>
                  </w:r>
                  <w:r>
                    <w:rPr>
                      <w:rFonts w:hint="eastAsia"/>
                      <w:sz w:val="21"/>
                      <w:szCs w:val="21"/>
                    </w:rPr>
                    <w:t>”处理，尾气经</w:t>
                  </w:r>
                  <w:r>
                    <w:rPr>
                      <w:rFonts w:hint="eastAsia"/>
                      <w:bCs/>
                      <w:color w:val="000000"/>
                      <w:sz w:val="21"/>
                      <w:szCs w:val="21"/>
                    </w:rPr>
                    <w:t>1根15m高排气筒（DA001）排放。</w:t>
                  </w:r>
                </w:p>
              </w:tc>
              <w:tc>
                <w:tcPr>
                  <w:tcW w:w="1173" w:type="dxa"/>
                  <w:tcBorders>
                    <w:tl2br w:val="nil"/>
                    <w:tr2bl w:val="nil"/>
                  </w:tcBorders>
                  <w:vAlign w:val="center"/>
                </w:tcPr>
                <w:p w14:paraId="0F70334E">
                  <w:pPr>
                    <w:adjustRightInd w:val="0"/>
                    <w:snapToGrid w:val="0"/>
                    <w:spacing w:line="240" w:lineRule="auto"/>
                    <w:ind w:firstLine="0" w:firstLineChars="0"/>
                    <w:jc w:val="center"/>
                    <w:rPr>
                      <w:bCs/>
                      <w:sz w:val="21"/>
                      <w:szCs w:val="21"/>
                    </w:rPr>
                  </w:pPr>
                  <w:r>
                    <w:rPr>
                      <w:sz w:val="21"/>
                      <w:szCs w:val="21"/>
                    </w:rPr>
                    <w:t>新建</w:t>
                  </w:r>
                </w:p>
              </w:tc>
            </w:tr>
            <w:tr w14:paraId="6234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Borders>
                    <w:tl2br w:val="nil"/>
                    <w:tr2bl w:val="nil"/>
                  </w:tcBorders>
                  <w:vAlign w:val="center"/>
                </w:tcPr>
                <w:p w14:paraId="1EDCBECA">
                  <w:pPr>
                    <w:pStyle w:val="70"/>
                    <w:adjustRightInd w:val="0"/>
                    <w:snapToGrid w:val="0"/>
                    <w:spacing w:line="240" w:lineRule="auto"/>
                    <w:ind w:firstLine="0" w:firstLineChars="0"/>
                    <w:jc w:val="center"/>
                    <w:rPr>
                      <w:color w:val="000000"/>
                      <w:sz w:val="21"/>
                      <w:szCs w:val="21"/>
                    </w:rPr>
                  </w:pPr>
                </w:p>
              </w:tc>
              <w:tc>
                <w:tcPr>
                  <w:tcW w:w="1336" w:type="dxa"/>
                  <w:tcBorders>
                    <w:tl2br w:val="nil"/>
                    <w:tr2bl w:val="nil"/>
                  </w:tcBorders>
                  <w:vAlign w:val="center"/>
                </w:tcPr>
                <w:p w14:paraId="767EA2B1">
                  <w:pPr>
                    <w:adjustRightInd w:val="0"/>
                    <w:snapToGrid w:val="0"/>
                    <w:spacing w:line="240" w:lineRule="auto"/>
                    <w:ind w:firstLine="0" w:firstLineChars="0"/>
                    <w:jc w:val="center"/>
                    <w:rPr>
                      <w:sz w:val="21"/>
                      <w:szCs w:val="21"/>
                    </w:rPr>
                  </w:pPr>
                  <w:r>
                    <w:rPr>
                      <w:sz w:val="21"/>
                      <w:szCs w:val="21"/>
                    </w:rPr>
                    <w:t>废水治理</w:t>
                  </w:r>
                </w:p>
              </w:tc>
              <w:tc>
                <w:tcPr>
                  <w:tcW w:w="4451" w:type="dxa"/>
                  <w:tcBorders>
                    <w:tl2br w:val="nil"/>
                    <w:tr2bl w:val="nil"/>
                  </w:tcBorders>
                  <w:vAlign w:val="center"/>
                </w:tcPr>
                <w:p w14:paraId="2D64FA2C">
                  <w:pPr>
                    <w:adjustRightInd w:val="0"/>
                    <w:snapToGrid w:val="0"/>
                    <w:spacing w:line="240" w:lineRule="auto"/>
                    <w:ind w:firstLine="0" w:firstLineChars="0"/>
                    <w:jc w:val="center"/>
                    <w:rPr>
                      <w:bCs/>
                      <w:sz w:val="21"/>
                      <w:szCs w:val="21"/>
                    </w:rPr>
                  </w:pPr>
                  <w:r>
                    <w:rPr>
                      <w:sz w:val="21"/>
                      <w:szCs w:val="21"/>
                    </w:rPr>
                    <w:t>项目生活污水</w:t>
                  </w:r>
                  <w:r>
                    <w:rPr>
                      <w:rFonts w:hint="eastAsia"/>
                      <w:sz w:val="21"/>
                      <w:szCs w:val="21"/>
                      <w:lang w:eastAsia="zh-CN"/>
                    </w:rPr>
                    <w:t>经化粪池处理后排入河南新投水务有限公司</w:t>
                  </w:r>
                  <w:r>
                    <w:rPr>
                      <w:rFonts w:hint="eastAsia"/>
                      <w:sz w:val="21"/>
                      <w:szCs w:val="21"/>
                    </w:rPr>
                    <w:t>（小尚庄污水处理厂）</w:t>
                  </w:r>
                  <w:r>
                    <w:rPr>
                      <w:sz w:val="21"/>
                      <w:szCs w:val="21"/>
                    </w:rPr>
                    <w:t>进一步处理。</w:t>
                  </w:r>
                </w:p>
              </w:tc>
              <w:tc>
                <w:tcPr>
                  <w:tcW w:w="1173" w:type="dxa"/>
                  <w:tcBorders>
                    <w:tl2br w:val="nil"/>
                    <w:tr2bl w:val="nil"/>
                  </w:tcBorders>
                  <w:vAlign w:val="center"/>
                </w:tcPr>
                <w:p w14:paraId="67B6BAC4">
                  <w:pPr>
                    <w:adjustRightInd w:val="0"/>
                    <w:snapToGrid w:val="0"/>
                    <w:spacing w:line="240" w:lineRule="auto"/>
                    <w:ind w:firstLine="0" w:firstLineChars="0"/>
                    <w:jc w:val="center"/>
                    <w:rPr>
                      <w:sz w:val="21"/>
                      <w:szCs w:val="21"/>
                    </w:rPr>
                  </w:pPr>
                  <w:r>
                    <w:rPr>
                      <w:rFonts w:hint="eastAsia"/>
                      <w:bCs/>
                      <w:sz w:val="21"/>
                      <w:szCs w:val="21"/>
                    </w:rPr>
                    <w:t>新建</w:t>
                  </w:r>
                </w:p>
              </w:tc>
            </w:tr>
            <w:tr w14:paraId="27DB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Pr>
                <w:p w14:paraId="1BA19F72">
                  <w:pPr>
                    <w:pStyle w:val="70"/>
                    <w:adjustRightInd w:val="0"/>
                    <w:snapToGrid w:val="0"/>
                    <w:spacing w:line="240" w:lineRule="auto"/>
                    <w:ind w:firstLine="0" w:firstLineChars="0"/>
                    <w:jc w:val="center"/>
                    <w:rPr>
                      <w:color w:val="000000"/>
                      <w:sz w:val="21"/>
                      <w:szCs w:val="21"/>
                    </w:rPr>
                  </w:pPr>
                </w:p>
              </w:tc>
              <w:tc>
                <w:tcPr>
                  <w:tcW w:w="1336" w:type="dxa"/>
                  <w:vAlign w:val="center"/>
                </w:tcPr>
                <w:p w14:paraId="40248E09">
                  <w:pPr>
                    <w:adjustRightInd w:val="0"/>
                    <w:snapToGrid w:val="0"/>
                    <w:spacing w:line="240" w:lineRule="auto"/>
                    <w:ind w:firstLine="0" w:firstLineChars="0"/>
                    <w:jc w:val="center"/>
                    <w:rPr>
                      <w:sz w:val="21"/>
                      <w:szCs w:val="21"/>
                    </w:rPr>
                  </w:pPr>
                  <w:r>
                    <w:rPr>
                      <w:sz w:val="21"/>
                      <w:szCs w:val="21"/>
                    </w:rPr>
                    <w:t>噪声</w:t>
                  </w:r>
                </w:p>
              </w:tc>
              <w:tc>
                <w:tcPr>
                  <w:tcW w:w="4451" w:type="dxa"/>
                  <w:vAlign w:val="center"/>
                </w:tcPr>
                <w:p w14:paraId="0864F3C9">
                  <w:pPr>
                    <w:adjustRightInd w:val="0"/>
                    <w:snapToGrid w:val="0"/>
                    <w:spacing w:line="240" w:lineRule="auto"/>
                    <w:ind w:firstLine="0" w:firstLineChars="0"/>
                    <w:jc w:val="center"/>
                    <w:rPr>
                      <w:sz w:val="21"/>
                      <w:szCs w:val="21"/>
                    </w:rPr>
                  </w:pPr>
                  <w:r>
                    <w:rPr>
                      <w:sz w:val="21"/>
                      <w:szCs w:val="21"/>
                    </w:rPr>
                    <w:t>基础减振、厂房隔音、距离衰减</w:t>
                  </w:r>
                </w:p>
              </w:tc>
              <w:tc>
                <w:tcPr>
                  <w:tcW w:w="1173" w:type="dxa"/>
                  <w:vAlign w:val="center"/>
                </w:tcPr>
                <w:p w14:paraId="1FA6BEB8">
                  <w:pPr>
                    <w:adjustRightInd w:val="0"/>
                    <w:snapToGrid w:val="0"/>
                    <w:spacing w:line="240" w:lineRule="auto"/>
                    <w:ind w:firstLine="0" w:firstLineChars="0"/>
                    <w:jc w:val="center"/>
                    <w:rPr>
                      <w:sz w:val="21"/>
                      <w:szCs w:val="21"/>
                    </w:rPr>
                  </w:pPr>
                  <w:r>
                    <w:rPr>
                      <w:sz w:val="21"/>
                      <w:szCs w:val="21"/>
                    </w:rPr>
                    <w:t>新建</w:t>
                  </w:r>
                </w:p>
              </w:tc>
            </w:tr>
            <w:tr w14:paraId="2920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Pr>
                <w:p w14:paraId="42D5605F">
                  <w:pPr>
                    <w:pStyle w:val="70"/>
                    <w:adjustRightInd w:val="0"/>
                    <w:snapToGrid w:val="0"/>
                    <w:spacing w:line="240" w:lineRule="auto"/>
                    <w:ind w:firstLine="0" w:firstLineChars="0"/>
                    <w:jc w:val="center"/>
                    <w:rPr>
                      <w:color w:val="000000"/>
                      <w:sz w:val="21"/>
                      <w:szCs w:val="21"/>
                    </w:rPr>
                  </w:pPr>
                </w:p>
              </w:tc>
              <w:tc>
                <w:tcPr>
                  <w:tcW w:w="1336" w:type="dxa"/>
                  <w:vMerge w:val="restart"/>
                  <w:vAlign w:val="center"/>
                </w:tcPr>
                <w:p w14:paraId="7390B4BB">
                  <w:pPr>
                    <w:adjustRightInd w:val="0"/>
                    <w:snapToGrid w:val="0"/>
                    <w:spacing w:line="240" w:lineRule="auto"/>
                    <w:ind w:firstLine="0" w:firstLineChars="0"/>
                    <w:jc w:val="center"/>
                    <w:rPr>
                      <w:sz w:val="21"/>
                      <w:szCs w:val="21"/>
                    </w:rPr>
                  </w:pPr>
                  <w:r>
                    <w:rPr>
                      <w:rFonts w:hint="eastAsia"/>
                      <w:sz w:val="21"/>
                      <w:szCs w:val="21"/>
                    </w:rPr>
                    <w:t>固废治理</w:t>
                  </w:r>
                </w:p>
              </w:tc>
              <w:tc>
                <w:tcPr>
                  <w:tcW w:w="4451" w:type="dxa"/>
                  <w:vAlign w:val="center"/>
                </w:tcPr>
                <w:p w14:paraId="1010FECA">
                  <w:pPr>
                    <w:snapToGrid w:val="0"/>
                    <w:spacing w:line="240" w:lineRule="auto"/>
                    <w:ind w:firstLine="420"/>
                    <w:jc w:val="center"/>
                    <w:rPr>
                      <w:sz w:val="21"/>
                      <w:szCs w:val="21"/>
                    </w:rPr>
                  </w:pPr>
                  <w:r>
                    <w:rPr>
                      <w:sz w:val="21"/>
                      <w:szCs w:val="21"/>
                    </w:rPr>
                    <w:t>一般固废场所一处（建筑面积</w:t>
                  </w:r>
                  <w:r>
                    <w:rPr>
                      <w:rFonts w:hint="eastAsia"/>
                      <w:sz w:val="21"/>
                      <w:szCs w:val="21"/>
                    </w:rPr>
                    <w:t>1</w:t>
                  </w:r>
                  <w:r>
                    <w:rPr>
                      <w:sz w:val="21"/>
                      <w:szCs w:val="21"/>
                    </w:rPr>
                    <w:t>0m</w:t>
                  </w:r>
                  <w:r>
                    <w:rPr>
                      <w:sz w:val="21"/>
                      <w:szCs w:val="21"/>
                      <w:vertAlign w:val="superscript"/>
                    </w:rPr>
                    <w:t>2</w:t>
                  </w:r>
                  <w:r>
                    <w:rPr>
                      <w:sz w:val="21"/>
                      <w:szCs w:val="21"/>
                    </w:rPr>
                    <w:t>），垃圾箱若干。</w:t>
                  </w:r>
                </w:p>
              </w:tc>
              <w:tc>
                <w:tcPr>
                  <w:tcW w:w="1173" w:type="dxa"/>
                  <w:vAlign w:val="center"/>
                </w:tcPr>
                <w:p w14:paraId="07338FEC">
                  <w:pPr>
                    <w:adjustRightInd w:val="0"/>
                    <w:snapToGrid w:val="0"/>
                    <w:spacing w:line="240" w:lineRule="auto"/>
                    <w:ind w:firstLine="0" w:firstLineChars="0"/>
                    <w:jc w:val="center"/>
                    <w:rPr>
                      <w:sz w:val="21"/>
                      <w:szCs w:val="21"/>
                    </w:rPr>
                  </w:pPr>
                  <w:r>
                    <w:rPr>
                      <w:sz w:val="21"/>
                      <w:szCs w:val="21"/>
                    </w:rPr>
                    <w:t>新建</w:t>
                  </w:r>
                </w:p>
              </w:tc>
            </w:tr>
            <w:tr w14:paraId="173B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7" w:type="dxa"/>
                  <w:vMerge w:val="continue"/>
                </w:tcPr>
                <w:p w14:paraId="437E21DA">
                  <w:pPr>
                    <w:pStyle w:val="70"/>
                    <w:adjustRightInd w:val="0"/>
                    <w:snapToGrid w:val="0"/>
                    <w:spacing w:line="240" w:lineRule="auto"/>
                    <w:ind w:firstLine="0" w:firstLineChars="0"/>
                    <w:jc w:val="center"/>
                    <w:rPr>
                      <w:color w:val="000000"/>
                      <w:sz w:val="21"/>
                      <w:szCs w:val="21"/>
                    </w:rPr>
                  </w:pPr>
                </w:p>
              </w:tc>
              <w:tc>
                <w:tcPr>
                  <w:tcW w:w="1336" w:type="dxa"/>
                  <w:vMerge w:val="continue"/>
                  <w:vAlign w:val="center"/>
                </w:tcPr>
                <w:p w14:paraId="46086BB6">
                  <w:pPr>
                    <w:adjustRightInd w:val="0"/>
                    <w:snapToGrid w:val="0"/>
                    <w:spacing w:line="240" w:lineRule="auto"/>
                    <w:ind w:firstLine="0" w:firstLineChars="0"/>
                    <w:jc w:val="center"/>
                    <w:rPr>
                      <w:sz w:val="21"/>
                      <w:szCs w:val="21"/>
                    </w:rPr>
                  </w:pPr>
                </w:p>
              </w:tc>
              <w:tc>
                <w:tcPr>
                  <w:tcW w:w="4451" w:type="dxa"/>
                  <w:vAlign w:val="center"/>
                </w:tcPr>
                <w:p w14:paraId="1CF9E5DB">
                  <w:pPr>
                    <w:snapToGrid w:val="0"/>
                    <w:spacing w:line="240" w:lineRule="auto"/>
                    <w:ind w:firstLine="420"/>
                    <w:jc w:val="center"/>
                    <w:rPr>
                      <w:sz w:val="21"/>
                      <w:szCs w:val="21"/>
                    </w:rPr>
                  </w:pPr>
                  <w:r>
                    <w:rPr>
                      <w:sz w:val="21"/>
                      <w:szCs w:val="21"/>
                    </w:rPr>
                    <w:t>危废暂存间一处（建筑面积10m</w:t>
                  </w:r>
                  <w:r>
                    <w:rPr>
                      <w:sz w:val="21"/>
                      <w:szCs w:val="21"/>
                      <w:vertAlign w:val="superscript"/>
                    </w:rPr>
                    <w:t>2</w:t>
                  </w:r>
                  <w:r>
                    <w:rPr>
                      <w:sz w:val="21"/>
                      <w:szCs w:val="21"/>
                    </w:rPr>
                    <w:t>）</w:t>
                  </w:r>
                </w:p>
              </w:tc>
              <w:tc>
                <w:tcPr>
                  <w:tcW w:w="1173" w:type="dxa"/>
                  <w:vAlign w:val="center"/>
                </w:tcPr>
                <w:p w14:paraId="5168E03E">
                  <w:pPr>
                    <w:adjustRightInd w:val="0"/>
                    <w:snapToGrid w:val="0"/>
                    <w:spacing w:line="240" w:lineRule="auto"/>
                    <w:ind w:firstLine="0" w:firstLineChars="0"/>
                    <w:jc w:val="center"/>
                    <w:rPr>
                      <w:sz w:val="21"/>
                      <w:szCs w:val="21"/>
                    </w:rPr>
                  </w:pPr>
                  <w:r>
                    <w:rPr>
                      <w:sz w:val="21"/>
                      <w:szCs w:val="21"/>
                    </w:rPr>
                    <w:t>新建</w:t>
                  </w:r>
                </w:p>
              </w:tc>
            </w:tr>
          </w:tbl>
          <w:p w14:paraId="51AD79D2">
            <w:pPr>
              <w:adjustRightInd w:val="0"/>
              <w:snapToGrid w:val="0"/>
              <w:spacing w:line="520" w:lineRule="exact"/>
              <w:ind w:firstLine="482"/>
              <w:rPr>
                <w:b/>
              </w:rPr>
            </w:pPr>
            <w:r>
              <w:rPr>
                <w:b/>
              </w:rPr>
              <w:t>4、项目产品方案</w:t>
            </w:r>
          </w:p>
          <w:p w14:paraId="20B4F8BB">
            <w:pPr>
              <w:tabs>
                <w:tab w:val="left" w:pos="7920"/>
              </w:tabs>
              <w:adjustRightInd w:val="0"/>
              <w:snapToGrid w:val="0"/>
              <w:spacing w:line="520" w:lineRule="exact"/>
              <w:ind w:firstLine="480"/>
            </w:pPr>
            <w:r>
              <w:rPr>
                <w:rFonts w:hint="eastAsia"/>
              </w:rPr>
              <w:t>本项目主要针对外来布料进行印花、压花、压条等工艺操作，建设规模为年生产390万件服装，主要产品方案如下</w:t>
            </w:r>
            <w:r>
              <w:t>表。</w:t>
            </w:r>
          </w:p>
          <w:p w14:paraId="575D017F">
            <w:pPr>
              <w:adjustRightInd w:val="0"/>
              <w:snapToGrid w:val="0"/>
              <w:spacing w:line="520" w:lineRule="exact"/>
              <w:ind w:firstLine="960" w:firstLineChars="400"/>
              <w:rPr>
                <w:rFonts w:eastAsia="黑体"/>
              </w:rPr>
            </w:pPr>
            <w:r>
              <w:rPr>
                <w:rFonts w:eastAsia="黑体"/>
              </w:rPr>
              <w:t>表2-3                项目产品方案一览表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98"/>
              <w:gridCol w:w="1485"/>
              <w:gridCol w:w="3784"/>
            </w:tblGrid>
            <w:tr w14:paraId="4007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4E37BB59">
                  <w:pPr>
                    <w:adjustRightInd w:val="0"/>
                    <w:snapToGrid w:val="0"/>
                    <w:spacing w:line="240" w:lineRule="auto"/>
                    <w:ind w:firstLine="0" w:firstLineChars="0"/>
                    <w:jc w:val="center"/>
                    <w:rPr>
                      <w:b/>
                      <w:snapToGrid w:val="0"/>
                      <w:color w:val="000000" w:themeColor="text1"/>
                      <w:kern w:val="0"/>
                      <w:sz w:val="21"/>
                      <w:szCs w:val="21"/>
                      <w14:textFill>
                        <w14:solidFill>
                          <w14:schemeClr w14:val="tx1"/>
                        </w14:solidFill>
                      </w14:textFill>
                    </w:rPr>
                  </w:pPr>
                  <w:r>
                    <w:rPr>
                      <w:rFonts w:hint="eastAsia"/>
                      <w:b/>
                      <w:snapToGrid w:val="0"/>
                      <w:color w:val="000000" w:themeColor="text1"/>
                      <w:kern w:val="0"/>
                      <w:sz w:val="21"/>
                      <w:szCs w:val="21"/>
                      <w14:textFill>
                        <w14:solidFill>
                          <w14:schemeClr w14:val="tx1"/>
                        </w14:solidFill>
                      </w14:textFill>
                    </w:rPr>
                    <w:t>序号</w:t>
                  </w:r>
                </w:p>
              </w:tc>
              <w:tc>
                <w:tcPr>
                  <w:tcW w:w="1246" w:type="pct"/>
                  <w:tcBorders>
                    <w:tl2br w:val="nil"/>
                    <w:tr2bl w:val="nil"/>
                  </w:tcBorders>
                  <w:vAlign w:val="center"/>
                </w:tcPr>
                <w:p w14:paraId="6FC3CD65">
                  <w:pPr>
                    <w:adjustRightInd w:val="0"/>
                    <w:snapToGrid w:val="0"/>
                    <w:spacing w:line="240" w:lineRule="auto"/>
                    <w:ind w:firstLine="0" w:firstLineChars="0"/>
                    <w:jc w:val="center"/>
                    <w:rPr>
                      <w:b/>
                      <w:snapToGrid w:val="0"/>
                      <w:color w:val="000000" w:themeColor="text1"/>
                      <w:kern w:val="0"/>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产品名称</w:t>
                  </w:r>
                </w:p>
              </w:tc>
              <w:tc>
                <w:tcPr>
                  <w:tcW w:w="926" w:type="pct"/>
                  <w:tcBorders>
                    <w:tl2br w:val="nil"/>
                    <w:tr2bl w:val="nil"/>
                  </w:tcBorders>
                  <w:vAlign w:val="center"/>
                </w:tcPr>
                <w:p w14:paraId="1DB0B701">
                  <w:pPr>
                    <w:adjustRightInd w:val="0"/>
                    <w:snapToGrid w:val="0"/>
                    <w:spacing w:line="240" w:lineRule="auto"/>
                    <w:ind w:firstLine="0" w:firstLineChars="0"/>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年产量</w:t>
                  </w:r>
                </w:p>
              </w:tc>
              <w:tc>
                <w:tcPr>
                  <w:tcW w:w="2360" w:type="pct"/>
                  <w:tcBorders>
                    <w:tl2br w:val="nil"/>
                    <w:tr2bl w:val="nil"/>
                  </w:tcBorders>
                  <w:vAlign w:val="center"/>
                </w:tcPr>
                <w:p w14:paraId="798402E4">
                  <w:pPr>
                    <w:adjustRightInd w:val="0"/>
                    <w:snapToGrid w:val="0"/>
                    <w:spacing w:line="240" w:lineRule="auto"/>
                    <w:ind w:firstLine="0" w:firstLineChars="0"/>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备注</w:t>
                  </w:r>
                </w:p>
              </w:tc>
            </w:tr>
            <w:tr w14:paraId="09BD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5593E8F5">
                  <w:pPr>
                    <w:adjustRightInd w:val="0"/>
                    <w:snapToGrid w:val="0"/>
                    <w:spacing w:line="240" w:lineRule="auto"/>
                    <w:ind w:firstLine="0" w:firstLineChars="0"/>
                    <w:jc w:val="center"/>
                    <w:rPr>
                      <w:sz w:val="21"/>
                      <w:szCs w:val="21"/>
                    </w:rPr>
                  </w:pPr>
                  <w:r>
                    <w:rPr>
                      <w:rFonts w:hint="eastAsia"/>
                      <w:sz w:val="21"/>
                      <w:szCs w:val="21"/>
                    </w:rPr>
                    <w:t>1</w:t>
                  </w:r>
                </w:p>
              </w:tc>
              <w:tc>
                <w:tcPr>
                  <w:tcW w:w="1246" w:type="pct"/>
                  <w:tcBorders>
                    <w:tl2br w:val="nil"/>
                    <w:tr2bl w:val="nil"/>
                  </w:tcBorders>
                  <w:shd w:val="clear" w:color="auto" w:fill="auto"/>
                  <w:vAlign w:val="center"/>
                </w:tcPr>
                <w:p w14:paraId="61CB72D3">
                  <w:pPr>
                    <w:spacing w:line="240" w:lineRule="auto"/>
                    <w:ind w:firstLine="0" w:firstLineChars="0"/>
                    <w:jc w:val="center"/>
                    <w:rPr>
                      <w:sz w:val="21"/>
                      <w:szCs w:val="21"/>
                    </w:rPr>
                  </w:pPr>
                  <w:r>
                    <w:rPr>
                      <w:rFonts w:hint="eastAsia"/>
                      <w:sz w:val="21"/>
                      <w:szCs w:val="21"/>
                    </w:rPr>
                    <w:t>油墨印花布料</w:t>
                  </w:r>
                </w:p>
              </w:tc>
              <w:tc>
                <w:tcPr>
                  <w:tcW w:w="926" w:type="pct"/>
                  <w:tcBorders>
                    <w:tl2br w:val="nil"/>
                    <w:tr2bl w:val="nil"/>
                  </w:tcBorders>
                  <w:vAlign w:val="center"/>
                </w:tcPr>
                <w:p w14:paraId="2485245F">
                  <w:pPr>
                    <w:adjustRightInd w:val="0"/>
                    <w:snapToGrid w:val="0"/>
                    <w:spacing w:line="240" w:lineRule="auto"/>
                    <w:ind w:firstLine="0" w:firstLineChars="0"/>
                    <w:jc w:val="center"/>
                    <w:rPr>
                      <w:sz w:val="21"/>
                      <w:szCs w:val="21"/>
                    </w:rPr>
                  </w:pPr>
                  <w:r>
                    <w:rPr>
                      <w:rFonts w:hint="eastAsia"/>
                      <w:sz w:val="21"/>
                      <w:szCs w:val="21"/>
                    </w:rPr>
                    <w:t>100万件</w:t>
                  </w:r>
                </w:p>
              </w:tc>
              <w:tc>
                <w:tcPr>
                  <w:tcW w:w="2360" w:type="pct"/>
                  <w:tcBorders>
                    <w:tl2br w:val="nil"/>
                    <w:tr2bl w:val="nil"/>
                  </w:tcBorders>
                  <w:vAlign w:val="center"/>
                </w:tcPr>
                <w:p w14:paraId="7738953C">
                  <w:pPr>
                    <w:adjustRightInd w:val="0"/>
                    <w:snapToGrid w:val="0"/>
                    <w:spacing w:line="240" w:lineRule="auto"/>
                    <w:ind w:firstLine="0" w:firstLineChars="0"/>
                    <w:jc w:val="center"/>
                    <w:rPr>
                      <w:sz w:val="21"/>
                      <w:szCs w:val="21"/>
                    </w:rPr>
                  </w:pPr>
                  <w:r>
                    <w:rPr>
                      <w:rFonts w:hint="eastAsia"/>
                      <w:sz w:val="21"/>
                      <w:szCs w:val="21"/>
                    </w:rPr>
                    <w:t>喷墨印花，核计产量为300t/a</w:t>
                  </w:r>
                </w:p>
              </w:tc>
            </w:tr>
            <w:tr w14:paraId="3864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48025EDE">
                  <w:pPr>
                    <w:adjustRightInd w:val="0"/>
                    <w:snapToGrid w:val="0"/>
                    <w:spacing w:line="240" w:lineRule="auto"/>
                    <w:ind w:firstLine="0" w:firstLineChars="0"/>
                    <w:jc w:val="center"/>
                    <w:rPr>
                      <w:sz w:val="21"/>
                      <w:szCs w:val="21"/>
                    </w:rPr>
                  </w:pPr>
                  <w:r>
                    <w:rPr>
                      <w:rFonts w:hint="eastAsia"/>
                      <w:sz w:val="21"/>
                      <w:szCs w:val="21"/>
                    </w:rPr>
                    <w:t>2</w:t>
                  </w:r>
                </w:p>
              </w:tc>
              <w:tc>
                <w:tcPr>
                  <w:tcW w:w="1246" w:type="pct"/>
                  <w:tcBorders>
                    <w:tl2br w:val="nil"/>
                    <w:tr2bl w:val="nil"/>
                  </w:tcBorders>
                  <w:shd w:val="clear" w:color="auto" w:fill="auto"/>
                  <w:vAlign w:val="center"/>
                </w:tcPr>
                <w:p w14:paraId="6FF12BBD">
                  <w:pPr>
                    <w:spacing w:line="240" w:lineRule="auto"/>
                    <w:ind w:firstLine="0" w:firstLineChars="0"/>
                    <w:jc w:val="center"/>
                    <w:rPr>
                      <w:sz w:val="21"/>
                      <w:szCs w:val="21"/>
                    </w:rPr>
                  </w:pPr>
                  <w:r>
                    <w:rPr>
                      <w:rFonts w:hint="eastAsia"/>
                      <w:sz w:val="21"/>
                      <w:szCs w:val="21"/>
                    </w:rPr>
                    <w:t>高周波压花布料</w:t>
                  </w:r>
                </w:p>
              </w:tc>
              <w:tc>
                <w:tcPr>
                  <w:tcW w:w="926" w:type="pct"/>
                  <w:tcBorders>
                    <w:tl2br w:val="nil"/>
                    <w:tr2bl w:val="nil"/>
                  </w:tcBorders>
                  <w:vAlign w:val="center"/>
                </w:tcPr>
                <w:p w14:paraId="3F2E3803">
                  <w:pPr>
                    <w:adjustRightInd w:val="0"/>
                    <w:snapToGrid w:val="0"/>
                    <w:spacing w:line="240" w:lineRule="auto"/>
                    <w:ind w:firstLine="0" w:firstLineChars="0"/>
                    <w:jc w:val="center"/>
                    <w:rPr>
                      <w:sz w:val="21"/>
                      <w:szCs w:val="21"/>
                    </w:rPr>
                  </w:pPr>
                  <w:r>
                    <w:rPr>
                      <w:rFonts w:hint="eastAsia"/>
                      <w:sz w:val="21"/>
                      <w:szCs w:val="21"/>
                    </w:rPr>
                    <w:t>50万件</w:t>
                  </w:r>
                </w:p>
              </w:tc>
              <w:tc>
                <w:tcPr>
                  <w:tcW w:w="2360" w:type="pct"/>
                  <w:tcBorders>
                    <w:tl2br w:val="nil"/>
                    <w:tr2bl w:val="nil"/>
                  </w:tcBorders>
                  <w:vAlign w:val="center"/>
                </w:tcPr>
                <w:p w14:paraId="55DF18A3">
                  <w:pPr>
                    <w:adjustRightInd w:val="0"/>
                    <w:snapToGrid w:val="0"/>
                    <w:spacing w:line="240" w:lineRule="auto"/>
                    <w:ind w:firstLine="0" w:firstLineChars="0"/>
                    <w:jc w:val="center"/>
                    <w:rPr>
                      <w:sz w:val="21"/>
                      <w:szCs w:val="21"/>
                    </w:rPr>
                  </w:pPr>
                  <w:r>
                    <w:rPr>
                      <w:rFonts w:hint="eastAsia"/>
                      <w:sz w:val="21"/>
                      <w:szCs w:val="21"/>
                    </w:rPr>
                    <w:t>高周波压花，核计产量为150t/a</w:t>
                  </w:r>
                </w:p>
              </w:tc>
            </w:tr>
            <w:tr w14:paraId="6112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2EF1B336">
                  <w:pPr>
                    <w:adjustRightInd w:val="0"/>
                    <w:snapToGrid w:val="0"/>
                    <w:spacing w:line="240" w:lineRule="auto"/>
                    <w:ind w:firstLine="0" w:firstLineChars="0"/>
                    <w:jc w:val="center"/>
                    <w:rPr>
                      <w:sz w:val="21"/>
                      <w:szCs w:val="21"/>
                    </w:rPr>
                  </w:pPr>
                  <w:r>
                    <w:rPr>
                      <w:rFonts w:hint="eastAsia"/>
                      <w:sz w:val="21"/>
                      <w:szCs w:val="21"/>
                    </w:rPr>
                    <w:t>3</w:t>
                  </w:r>
                </w:p>
              </w:tc>
              <w:tc>
                <w:tcPr>
                  <w:tcW w:w="1246" w:type="pct"/>
                  <w:tcBorders>
                    <w:tl2br w:val="nil"/>
                    <w:tr2bl w:val="nil"/>
                  </w:tcBorders>
                  <w:shd w:val="clear" w:color="auto" w:fill="auto"/>
                  <w:vAlign w:val="center"/>
                </w:tcPr>
                <w:p w14:paraId="5437C348">
                  <w:pPr>
                    <w:spacing w:line="240" w:lineRule="auto"/>
                    <w:ind w:firstLine="0" w:firstLineChars="0"/>
                    <w:jc w:val="center"/>
                    <w:rPr>
                      <w:sz w:val="21"/>
                      <w:szCs w:val="21"/>
                    </w:rPr>
                  </w:pPr>
                  <w:r>
                    <w:rPr>
                      <w:rFonts w:hint="eastAsia"/>
                      <w:sz w:val="21"/>
                      <w:szCs w:val="21"/>
                    </w:rPr>
                    <w:t>镭射雕花布料</w:t>
                  </w:r>
                </w:p>
              </w:tc>
              <w:tc>
                <w:tcPr>
                  <w:tcW w:w="926" w:type="pct"/>
                  <w:tcBorders>
                    <w:tl2br w:val="nil"/>
                    <w:tr2bl w:val="nil"/>
                  </w:tcBorders>
                  <w:vAlign w:val="center"/>
                </w:tcPr>
                <w:p w14:paraId="0F0AE6E4">
                  <w:pPr>
                    <w:adjustRightInd w:val="0"/>
                    <w:snapToGrid w:val="0"/>
                    <w:spacing w:line="240" w:lineRule="auto"/>
                    <w:ind w:firstLine="0" w:firstLineChars="0"/>
                    <w:jc w:val="center"/>
                    <w:rPr>
                      <w:sz w:val="21"/>
                      <w:szCs w:val="21"/>
                    </w:rPr>
                  </w:pPr>
                  <w:r>
                    <w:rPr>
                      <w:rFonts w:hint="eastAsia"/>
                      <w:sz w:val="21"/>
                      <w:szCs w:val="21"/>
                    </w:rPr>
                    <w:t>100万件</w:t>
                  </w:r>
                </w:p>
              </w:tc>
              <w:tc>
                <w:tcPr>
                  <w:tcW w:w="2360" w:type="pct"/>
                  <w:tcBorders>
                    <w:tl2br w:val="nil"/>
                    <w:tr2bl w:val="nil"/>
                  </w:tcBorders>
                  <w:vAlign w:val="center"/>
                </w:tcPr>
                <w:p w14:paraId="72A5EF36">
                  <w:pPr>
                    <w:adjustRightInd w:val="0"/>
                    <w:snapToGrid w:val="0"/>
                    <w:spacing w:line="240" w:lineRule="auto"/>
                    <w:ind w:firstLine="0" w:firstLineChars="0"/>
                    <w:jc w:val="center"/>
                    <w:rPr>
                      <w:sz w:val="21"/>
                      <w:szCs w:val="21"/>
                    </w:rPr>
                  </w:pPr>
                  <w:r>
                    <w:rPr>
                      <w:rFonts w:hint="eastAsia"/>
                      <w:sz w:val="21"/>
                      <w:szCs w:val="21"/>
                    </w:rPr>
                    <w:t>镭射雕花，核计产量为300t/a</w:t>
                  </w:r>
                </w:p>
              </w:tc>
            </w:tr>
            <w:tr w14:paraId="453F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7C92761C">
                  <w:pPr>
                    <w:adjustRightInd w:val="0"/>
                    <w:snapToGrid w:val="0"/>
                    <w:spacing w:line="240" w:lineRule="auto"/>
                    <w:ind w:firstLine="0" w:firstLineChars="0"/>
                    <w:jc w:val="center"/>
                    <w:rPr>
                      <w:sz w:val="21"/>
                      <w:szCs w:val="21"/>
                    </w:rPr>
                  </w:pPr>
                  <w:r>
                    <w:rPr>
                      <w:rFonts w:hint="eastAsia"/>
                      <w:sz w:val="21"/>
                      <w:szCs w:val="21"/>
                    </w:rPr>
                    <w:t>4</w:t>
                  </w:r>
                </w:p>
              </w:tc>
              <w:tc>
                <w:tcPr>
                  <w:tcW w:w="1246" w:type="pct"/>
                  <w:tcBorders>
                    <w:tl2br w:val="nil"/>
                    <w:tr2bl w:val="nil"/>
                  </w:tcBorders>
                  <w:shd w:val="clear" w:color="auto" w:fill="auto"/>
                  <w:vAlign w:val="center"/>
                </w:tcPr>
                <w:p w14:paraId="7A2204A7">
                  <w:pPr>
                    <w:spacing w:line="240" w:lineRule="auto"/>
                    <w:ind w:firstLine="0" w:firstLineChars="0"/>
                    <w:jc w:val="center"/>
                    <w:rPr>
                      <w:sz w:val="21"/>
                      <w:szCs w:val="21"/>
                    </w:rPr>
                  </w:pPr>
                  <w:r>
                    <w:rPr>
                      <w:rFonts w:hint="eastAsia"/>
                      <w:sz w:val="21"/>
                      <w:szCs w:val="21"/>
                    </w:rPr>
                    <w:t>压条布料</w:t>
                  </w:r>
                </w:p>
              </w:tc>
              <w:tc>
                <w:tcPr>
                  <w:tcW w:w="926" w:type="pct"/>
                  <w:tcBorders>
                    <w:tl2br w:val="nil"/>
                    <w:tr2bl w:val="nil"/>
                  </w:tcBorders>
                  <w:vAlign w:val="center"/>
                </w:tcPr>
                <w:p w14:paraId="51ED44F6">
                  <w:pPr>
                    <w:adjustRightInd w:val="0"/>
                    <w:snapToGrid w:val="0"/>
                    <w:spacing w:line="240" w:lineRule="auto"/>
                    <w:ind w:firstLine="0" w:firstLineChars="0"/>
                    <w:jc w:val="center"/>
                    <w:rPr>
                      <w:sz w:val="21"/>
                      <w:szCs w:val="21"/>
                    </w:rPr>
                  </w:pPr>
                  <w:r>
                    <w:rPr>
                      <w:rFonts w:hint="eastAsia"/>
                      <w:sz w:val="21"/>
                      <w:szCs w:val="21"/>
                    </w:rPr>
                    <w:t>90万件</w:t>
                  </w:r>
                </w:p>
              </w:tc>
              <w:tc>
                <w:tcPr>
                  <w:tcW w:w="2360" w:type="pct"/>
                  <w:tcBorders>
                    <w:tl2br w:val="nil"/>
                    <w:tr2bl w:val="nil"/>
                  </w:tcBorders>
                  <w:vAlign w:val="center"/>
                </w:tcPr>
                <w:p w14:paraId="62B713F6">
                  <w:pPr>
                    <w:adjustRightInd w:val="0"/>
                    <w:snapToGrid w:val="0"/>
                    <w:spacing w:line="240" w:lineRule="auto"/>
                    <w:ind w:firstLine="0" w:firstLineChars="0"/>
                    <w:jc w:val="center"/>
                    <w:rPr>
                      <w:sz w:val="21"/>
                      <w:szCs w:val="21"/>
                    </w:rPr>
                  </w:pPr>
                  <w:r>
                    <w:rPr>
                      <w:rFonts w:hint="eastAsia"/>
                      <w:sz w:val="21"/>
                      <w:szCs w:val="21"/>
                    </w:rPr>
                    <w:t>压条复合，核计产量为270t/a</w:t>
                  </w:r>
                </w:p>
              </w:tc>
            </w:tr>
            <w:tr w14:paraId="5462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1FD4B069">
                  <w:pPr>
                    <w:adjustRightInd w:val="0"/>
                    <w:snapToGrid w:val="0"/>
                    <w:spacing w:line="240" w:lineRule="auto"/>
                    <w:ind w:firstLine="0" w:firstLineChars="0"/>
                    <w:jc w:val="center"/>
                    <w:rPr>
                      <w:sz w:val="21"/>
                      <w:szCs w:val="21"/>
                    </w:rPr>
                  </w:pPr>
                  <w:r>
                    <w:rPr>
                      <w:rFonts w:hint="eastAsia"/>
                      <w:sz w:val="21"/>
                      <w:szCs w:val="21"/>
                    </w:rPr>
                    <w:t>5</w:t>
                  </w:r>
                </w:p>
              </w:tc>
              <w:tc>
                <w:tcPr>
                  <w:tcW w:w="1246" w:type="pct"/>
                  <w:tcBorders>
                    <w:tl2br w:val="nil"/>
                    <w:tr2bl w:val="nil"/>
                  </w:tcBorders>
                  <w:shd w:val="clear" w:color="auto" w:fill="auto"/>
                  <w:vAlign w:val="center"/>
                </w:tcPr>
                <w:p w14:paraId="543E3E1C">
                  <w:pPr>
                    <w:spacing w:line="240" w:lineRule="auto"/>
                    <w:ind w:firstLine="0" w:firstLineChars="0"/>
                    <w:jc w:val="center"/>
                    <w:rPr>
                      <w:sz w:val="21"/>
                      <w:szCs w:val="21"/>
                    </w:rPr>
                  </w:pPr>
                  <w:r>
                    <w:rPr>
                      <w:rFonts w:hint="eastAsia"/>
                      <w:sz w:val="21"/>
                      <w:szCs w:val="21"/>
                    </w:rPr>
                    <w:t>加装口袋布料</w:t>
                  </w:r>
                </w:p>
              </w:tc>
              <w:tc>
                <w:tcPr>
                  <w:tcW w:w="926" w:type="pct"/>
                  <w:tcBorders>
                    <w:tl2br w:val="nil"/>
                    <w:tr2bl w:val="nil"/>
                  </w:tcBorders>
                  <w:vAlign w:val="center"/>
                </w:tcPr>
                <w:p w14:paraId="3B2D20E0">
                  <w:pPr>
                    <w:adjustRightInd w:val="0"/>
                    <w:snapToGrid w:val="0"/>
                    <w:spacing w:line="240" w:lineRule="auto"/>
                    <w:ind w:firstLine="0" w:firstLineChars="0"/>
                    <w:jc w:val="center"/>
                    <w:rPr>
                      <w:sz w:val="21"/>
                      <w:szCs w:val="21"/>
                    </w:rPr>
                  </w:pPr>
                  <w:r>
                    <w:rPr>
                      <w:rFonts w:hint="eastAsia"/>
                      <w:sz w:val="21"/>
                      <w:szCs w:val="21"/>
                    </w:rPr>
                    <w:t>20万件</w:t>
                  </w:r>
                </w:p>
              </w:tc>
              <w:tc>
                <w:tcPr>
                  <w:tcW w:w="2360" w:type="pct"/>
                  <w:tcBorders>
                    <w:tl2br w:val="nil"/>
                    <w:tr2bl w:val="nil"/>
                  </w:tcBorders>
                  <w:vAlign w:val="center"/>
                </w:tcPr>
                <w:p w14:paraId="1852EE79">
                  <w:pPr>
                    <w:adjustRightInd w:val="0"/>
                    <w:snapToGrid w:val="0"/>
                    <w:spacing w:line="240" w:lineRule="auto"/>
                    <w:ind w:firstLine="0" w:firstLineChars="0"/>
                    <w:jc w:val="center"/>
                    <w:rPr>
                      <w:sz w:val="21"/>
                      <w:szCs w:val="21"/>
                    </w:rPr>
                  </w:pPr>
                  <w:r>
                    <w:rPr>
                      <w:rFonts w:hint="eastAsia"/>
                      <w:sz w:val="21"/>
                      <w:szCs w:val="21"/>
                    </w:rPr>
                    <w:t>激光开口加装拉链，核计产量为60t/a</w:t>
                  </w:r>
                </w:p>
              </w:tc>
            </w:tr>
            <w:tr w14:paraId="6A0D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7" w:type="pct"/>
                  <w:tcBorders>
                    <w:tl2br w:val="nil"/>
                    <w:tr2bl w:val="nil"/>
                  </w:tcBorders>
                  <w:vAlign w:val="center"/>
                </w:tcPr>
                <w:p w14:paraId="5569FEC8">
                  <w:pPr>
                    <w:adjustRightInd w:val="0"/>
                    <w:snapToGrid w:val="0"/>
                    <w:spacing w:line="240" w:lineRule="auto"/>
                    <w:ind w:firstLine="0" w:firstLineChars="0"/>
                    <w:jc w:val="center"/>
                    <w:rPr>
                      <w:sz w:val="21"/>
                      <w:szCs w:val="21"/>
                    </w:rPr>
                  </w:pPr>
                  <w:r>
                    <w:rPr>
                      <w:rFonts w:hint="eastAsia"/>
                      <w:sz w:val="21"/>
                      <w:szCs w:val="21"/>
                    </w:rPr>
                    <w:t>6</w:t>
                  </w:r>
                </w:p>
              </w:tc>
              <w:tc>
                <w:tcPr>
                  <w:tcW w:w="1246" w:type="pct"/>
                  <w:tcBorders>
                    <w:tl2br w:val="nil"/>
                    <w:tr2bl w:val="nil"/>
                  </w:tcBorders>
                  <w:shd w:val="clear" w:color="auto" w:fill="auto"/>
                  <w:vAlign w:val="center"/>
                </w:tcPr>
                <w:p w14:paraId="0658F762">
                  <w:pPr>
                    <w:spacing w:line="240" w:lineRule="auto"/>
                    <w:ind w:firstLine="0" w:firstLineChars="0"/>
                    <w:jc w:val="center"/>
                    <w:rPr>
                      <w:sz w:val="21"/>
                      <w:szCs w:val="21"/>
                    </w:rPr>
                  </w:pPr>
                  <w:r>
                    <w:rPr>
                      <w:rFonts w:hint="eastAsia"/>
                      <w:sz w:val="21"/>
                      <w:szCs w:val="21"/>
                    </w:rPr>
                    <w:t>绣花面料</w:t>
                  </w:r>
                </w:p>
              </w:tc>
              <w:tc>
                <w:tcPr>
                  <w:tcW w:w="926" w:type="pct"/>
                  <w:tcBorders>
                    <w:tl2br w:val="nil"/>
                    <w:tr2bl w:val="nil"/>
                  </w:tcBorders>
                  <w:vAlign w:val="center"/>
                </w:tcPr>
                <w:p w14:paraId="4D9411E4">
                  <w:pPr>
                    <w:adjustRightInd w:val="0"/>
                    <w:snapToGrid w:val="0"/>
                    <w:spacing w:line="240" w:lineRule="auto"/>
                    <w:ind w:firstLine="0" w:firstLineChars="0"/>
                    <w:jc w:val="center"/>
                    <w:rPr>
                      <w:sz w:val="21"/>
                      <w:szCs w:val="21"/>
                    </w:rPr>
                  </w:pPr>
                  <w:r>
                    <w:rPr>
                      <w:rFonts w:hint="eastAsia"/>
                      <w:sz w:val="21"/>
                      <w:szCs w:val="21"/>
                      <w:lang w:val="en-US" w:eastAsia="zh-CN"/>
                    </w:rPr>
                    <w:t>3</w:t>
                  </w:r>
                  <w:r>
                    <w:rPr>
                      <w:rFonts w:hint="eastAsia"/>
                      <w:sz w:val="21"/>
                      <w:szCs w:val="21"/>
                    </w:rPr>
                    <w:t>0万件</w:t>
                  </w:r>
                </w:p>
              </w:tc>
              <w:tc>
                <w:tcPr>
                  <w:tcW w:w="2360" w:type="pct"/>
                  <w:tcBorders>
                    <w:tl2br w:val="nil"/>
                    <w:tr2bl w:val="nil"/>
                  </w:tcBorders>
                  <w:vAlign w:val="center"/>
                </w:tcPr>
                <w:p w14:paraId="3341C86D">
                  <w:pPr>
                    <w:adjustRightInd w:val="0"/>
                    <w:snapToGrid w:val="0"/>
                    <w:spacing w:line="240" w:lineRule="auto"/>
                    <w:ind w:firstLine="0" w:firstLineChars="0"/>
                    <w:jc w:val="center"/>
                    <w:rPr>
                      <w:sz w:val="21"/>
                      <w:szCs w:val="21"/>
                    </w:rPr>
                  </w:pPr>
                  <w:r>
                    <w:rPr>
                      <w:rFonts w:hint="eastAsia"/>
                      <w:sz w:val="21"/>
                      <w:szCs w:val="21"/>
                    </w:rPr>
                    <w:t>绣花工序，核计产量为</w:t>
                  </w:r>
                  <w:r>
                    <w:rPr>
                      <w:rFonts w:hint="eastAsia"/>
                      <w:sz w:val="21"/>
                      <w:szCs w:val="21"/>
                      <w:lang w:val="en-US" w:eastAsia="zh-CN"/>
                    </w:rPr>
                    <w:t>9</w:t>
                  </w:r>
                  <w:r>
                    <w:rPr>
                      <w:rFonts w:hint="eastAsia"/>
                      <w:sz w:val="21"/>
                      <w:szCs w:val="21"/>
                    </w:rPr>
                    <w:t>0t/a</w:t>
                  </w:r>
                </w:p>
              </w:tc>
            </w:tr>
          </w:tbl>
          <w:p w14:paraId="0935C3D8">
            <w:pPr>
              <w:adjustRightInd w:val="0"/>
              <w:snapToGrid w:val="0"/>
              <w:spacing w:line="520" w:lineRule="exact"/>
              <w:ind w:firstLine="482"/>
              <w:rPr>
                <w:b/>
              </w:rPr>
            </w:pPr>
            <w:r>
              <w:rPr>
                <w:b/>
              </w:rPr>
              <w:t>5、主要生产设备</w:t>
            </w:r>
          </w:p>
          <w:p w14:paraId="356E2E33">
            <w:pPr>
              <w:adjustRightInd w:val="0"/>
              <w:snapToGrid w:val="0"/>
              <w:spacing w:line="520" w:lineRule="exact"/>
              <w:ind w:firstLine="480"/>
              <w:rPr>
                <w:rFonts w:eastAsia="黑体"/>
              </w:rPr>
            </w:pPr>
            <w:r>
              <w:rPr>
                <w:bCs/>
              </w:rPr>
              <w:t>本项目主要生产设备及型号见表2-4。</w:t>
            </w:r>
          </w:p>
          <w:p w14:paraId="4142940D">
            <w:pPr>
              <w:adjustRightInd w:val="0"/>
              <w:snapToGrid w:val="0"/>
              <w:spacing w:line="520" w:lineRule="exact"/>
              <w:ind w:firstLine="960" w:firstLineChars="400"/>
              <w:rPr>
                <w:rFonts w:eastAsia="黑体"/>
              </w:rPr>
            </w:pPr>
            <w:r>
              <w:rPr>
                <w:rFonts w:eastAsia="黑体"/>
              </w:rPr>
              <w:t xml:space="preserve">表2-4               </w:t>
            </w:r>
            <w:r>
              <w:rPr>
                <w:rFonts w:hint="eastAsia" w:eastAsia="黑体"/>
              </w:rPr>
              <w:t>本</w:t>
            </w:r>
            <w:r>
              <w:rPr>
                <w:rFonts w:eastAsia="黑体"/>
              </w:rPr>
              <w:t>项目主要生产设备一览表</w:t>
            </w:r>
          </w:p>
          <w:tbl>
            <w:tblPr>
              <w:tblStyle w:val="26"/>
              <w:tblW w:w="8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068"/>
              <w:gridCol w:w="2291"/>
              <w:gridCol w:w="1440"/>
              <w:gridCol w:w="1635"/>
            </w:tblGrid>
            <w:tr w14:paraId="2C18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tcBorders>
                    <w:tl2br w:val="nil"/>
                    <w:tr2bl w:val="nil"/>
                  </w:tcBorders>
                  <w:vAlign w:val="center"/>
                </w:tcPr>
                <w:p w14:paraId="253FAE87">
                  <w:pPr>
                    <w:adjustRightInd w:val="0"/>
                    <w:snapToGrid w:val="0"/>
                    <w:spacing w:line="240" w:lineRule="auto"/>
                    <w:ind w:firstLine="0" w:firstLineChars="0"/>
                    <w:jc w:val="center"/>
                    <w:rPr>
                      <w:b/>
                      <w:snapToGrid w:val="0"/>
                      <w:kern w:val="0"/>
                      <w:sz w:val="21"/>
                      <w:szCs w:val="21"/>
                    </w:rPr>
                  </w:pPr>
                  <w:r>
                    <w:rPr>
                      <w:b/>
                      <w:snapToGrid w:val="0"/>
                      <w:kern w:val="0"/>
                      <w:sz w:val="21"/>
                      <w:szCs w:val="21"/>
                    </w:rPr>
                    <w:t>序号</w:t>
                  </w:r>
                </w:p>
              </w:tc>
              <w:tc>
                <w:tcPr>
                  <w:tcW w:w="2068" w:type="dxa"/>
                  <w:tcBorders>
                    <w:tl2br w:val="nil"/>
                    <w:tr2bl w:val="nil"/>
                  </w:tcBorders>
                  <w:vAlign w:val="center"/>
                </w:tcPr>
                <w:p w14:paraId="6D9E39A9">
                  <w:pPr>
                    <w:adjustRightInd w:val="0"/>
                    <w:snapToGrid w:val="0"/>
                    <w:spacing w:line="240" w:lineRule="auto"/>
                    <w:ind w:firstLine="0" w:firstLineChars="0"/>
                    <w:jc w:val="center"/>
                    <w:rPr>
                      <w:b/>
                      <w:snapToGrid w:val="0"/>
                      <w:kern w:val="0"/>
                      <w:sz w:val="21"/>
                      <w:szCs w:val="21"/>
                    </w:rPr>
                  </w:pPr>
                  <w:r>
                    <w:rPr>
                      <w:b/>
                      <w:snapToGrid w:val="0"/>
                      <w:kern w:val="0"/>
                      <w:sz w:val="21"/>
                      <w:szCs w:val="21"/>
                    </w:rPr>
                    <w:t>名称</w:t>
                  </w:r>
                </w:p>
              </w:tc>
              <w:tc>
                <w:tcPr>
                  <w:tcW w:w="2291" w:type="dxa"/>
                  <w:tcBorders>
                    <w:tl2br w:val="nil"/>
                    <w:tr2bl w:val="nil"/>
                  </w:tcBorders>
                  <w:vAlign w:val="center"/>
                </w:tcPr>
                <w:p w14:paraId="19ED0969">
                  <w:pPr>
                    <w:adjustRightInd w:val="0"/>
                    <w:snapToGrid w:val="0"/>
                    <w:spacing w:line="240" w:lineRule="auto"/>
                    <w:ind w:firstLine="0" w:firstLineChars="0"/>
                    <w:jc w:val="center"/>
                    <w:rPr>
                      <w:b/>
                      <w:snapToGrid w:val="0"/>
                      <w:kern w:val="0"/>
                      <w:sz w:val="21"/>
                      <w:szCs w:val="21"/>
                    </w:rPr>
                  </w:pPr>
                  <w:r>
                    <w:rPr>
                      <w:b/>
                      <w:snapToGrid w:val="0"/>
                      <w:kern w:val="0"/>
                      <w:sz w:val="21"/>
                      <w:szCs w:val="21"/>
                    </w:rPr>
                    <w:t>规格参数</w:t>
                  </w:r>
                </w:p>
              </w:tc>
              <w:tc>
                <w:tcPr>
                  <w:tcW w:w="1440" w:type="dxa"/>
                  <w:tcBorders>
                    <w:tl2br w:val="nil"/>
                    <w:tr2bl w:val="nil"/>
                  </w:tcBorders>
                  <w:vAlign w:val="center"/>
                </w:tcPr>
                <w:p w14:paraId="4048EF63">
                  <w:pPr>
                    <w:adjustRightInd w:val="0"/>
                    <w:snapToGrid w:val="0"/>
                    <w:spacing w:line="240" w:lineRule="auto"/>
                    <w:ind w:firstLine="0" w:firstLineChars="0"/>
                    <w:jc w:val="center"/>
                    <w:rPr>
                      <w:b/>
                      <w:snapToGrid w:val="0"/>
                      <w:kern w:val="0"/>
                      <w:sz w:val="21"/>
                      <w:szCs w:val="21"/>
                    </w:rPr>
                  </w:pPr>
                  <w:r>
                    <w:rPr>
                      <w:b/>
                      <w:snapToGrid w:val="0"/>
                      <w:kern w:val="0"/>
                      <w:sz w:val="21"/>
                      <w:szCs w:val="21"/>
                    </w:rPr>
                    <w:t>数量（台/套）</w:t>
                  </w:r>
                </w:p>
              </w:tc>
              <w:tc>
                <w:tcPr>
                  <w:tcW w:w="1635" w:type="dxa"/>
                  <w:tcBorders>
                    <w:tl2br w:val="nil"/>
                    <w:tr2bl w:val="nil"/>
                  </w:tcBorders>
                  <w:vAlign w:val="center"/>
                </w:tcPr>
                <w:p w14:paraId="79FC3DF6">
                  <w:pPr>
                    <w:adjustRightInd w:val="0"/>
                    <w:snapToGrid w:val="0"/>
                    <w:spacing w:line="240" w:lineRule="auto"/>
                    <w:ind w:firstLine="0" w:firstLineChars="0"/>
                    <w:jc w:val="center"/>
                    <w:rPr>
                      <w:b/>
                      <w:snapToGrid w:val="0"/>
                      <w:kern w:val="0"/>
                      <w:sz w:val="21"/>
                      <w:szCs w:val="21"/>
                    </w:rPr>
                  </w:pPr>
                  <w:r>
                    <w:rPr>
                      <w:b/>
                      <w:snapToGrid w:val="0"/>
                      <w:kern w:val="0"/>
                      <w:sz w:val="21"/>
                      <w:szCs w:val="21"/>
                    </w:rPr>
                    <w:t>备注</w:t>
                  </w:r>
                </w:p>
              </w:tc>
            </w:tr>
            <w:tr w14:paraId="0374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48" w:type="dxa"/>
                  <w:tcBorders>
                    <w:tl2br w:val="nil"/>
                    <w:tr2bl w:val="nil"/>
                  </w:tcBorders>
                  <w:vAlign w:val="center"/>
                </w:tcPr>
                <w:p w14:paraId="44E0048B">
                  <w:pPr>
                    <w:adjustRightInd w:val="0"/>
                    <w:snapToGrid w:val="0"/>
                    <w:spacing w:line="240" w:lineRule="auto"/>
                    <w:ind w:firstLine="0" w:firstLineChars="0"/>
                    <w:jc w:val="center"/>
                    <w:rPr>
                      <w:bCs/>
                      <w:snapToGrid w:val="0"/>
                      <w:kern w:val="0"/>
                      <w:sz w:val="21"/>
                      <w:szCs w:val="21"/>
                    </w:rPr>
                  </w:pPr>
                  <w:r>
                    <w:rPr>
                      <w:bCs/>
                      <w:snapToGrid w:val="0"/>
                      <w:kern w:val="0"/>
                      <w:sz w:val="21"/>
                      <w:szCs w:val="21"/>
                    </w:rPr>
                    <w:t>1</w:t>
                  </w:r>
                </w:p>
              </w:tc>
              <w:tc>
                <w:tcPr>
                  <w:tcW w:w="2068" w:type="dxa"/>
                  <w:tcBorders>
                    <w:tl2br w:val="nil"/>
                    <w:tr2bl w:val="nil"/>
                  </w:tcBorders>
                  <w:shd w:val="clear" w:color="auto" w:fill="auto"/>
                  <w:vAlign w:val="center"/>
                </w:tcPr>
                <w:p w14:paraId="64EF9D09">
                  <w:pPr>
                    <w:spacing w:line="240" w:lineRule="auto"/>
                    <w:ind w:firstLine="0" w:firstLineChars="0"/>
                    <w:jc w:val="center"/>
                    <w:rPr>
                      <w:sz w:val="21"/>
                      <w:szCs w:val="21"/>
                    </w:rPr>
                  </w:pPr>
                  <w:r>
                    <w:rPr>
                      <w:rFonts w:hint="eastAsia"/>
                      <w:sz w:val="21"/>
                      <w:szCs w:val="21"/>
                    </w:rPr>
                    <w:t>镭</w:t>
                  </w:r>
                  <w:r>
                    <w:rPr>
                      <w:sz w:val="21"/>
                      <w:szCs w:val="21"/>
                    </w:rPr>
                    <w:t>射机</w:t>
                  </w:r>
                </w:p>
              </w:tc>
              <w:tc>
                <w:tcPr>
                  <w:tcW w:w="2291" w:type="dxa"/>
                  <w:tcBorders>
                    <w:tl2br w:val="nil"/>
                    <w:tr2bl w:val="nil"/>
                  </w:tcBorders>
                  <w:shd w:val="clear" w:color="auto" w:fill="auto"/>
                  <w:vAlign w:val="center"/>
                </w:tcPr>
                <w:p w14:paraId="1DBE41AC">
                  <w:pPr>
                    <w:spacing w:line="240" w:lineRule="auto"/>
                    <w:ind w:firstLine="0" w:firstLineChars="0"/>
                    <w:jc w:val="center"/>
                    <w:rPr>
                      <w:sz w:val="21"/>
                      <w:szCs w:val="21"/>
                    </w:rPr>
                  </w:pPr>
                  <w:r>
                    <w:rPr>
                      <w:sz w:val="21"/>
                      <w:szCs w:val="21"/>
                    </w:rPr>
                    <w:t>ZY7164G</w:t>
                  </w:r>
                </w:p>
              </w:tc>
              <w:tc>
                <w:tcPr>
                  <w:tcW w:w="1440" w:type="dxa"/>
                  <w:tcBorders>
                    <w:tl2br w:val="nil"/>
                    <w:tr2bl w:val="nil"/>
                  </w:tcBorders>
                  <w:shd w:val="clear" w:color="auto" w:fill="auto"/>
                  <w:vAlign w:val="center"/>
                </w:tcPr>
                <w:p w14:paraId="2B789E84">
                  <w:pPr>
                    <w:spacing w:line="240" w:lineRule="auto"/>
                    <w:ind w:firstLine="0" w:firstLineChars="0"/>
                    <w:jc w:val="center"/>
                    <w:rPr>
                      <w:sz w:val="21"/>
                      <w:szCs w:val="21"/>
                    </w:rPr>
                  </w:pPr>
                  <w:r>
                    <w:rPr>
                      <w:sz w:val="21"/>
                      <w:szCs w:val="21"/>
                    </w:rPr>
                    <w:t>1</w:t>
                  </w:r>
                  <w:r>
                    <w:rPr>
                      <w:rFonts w:hint="eastAsia"/>
                      <w:sz w:val="21"/>
                      <w:szCs w:val="21"/>
                    </w:rPr>
                    <w:t>2</w:t>
                  </w:r>
                </w:p>
              </w:tc>
              <w:tc>
                <w:tcPr>
                  <w:tcW w:w="1635" w:type="dxa"/>
                  <w:tcBorders>
                    <w:tl2br w:val="nil"/>
                    <w:tr2bl w:val="nil"/>
                  </w:tcBorders>
                  <w:vAlign w:val="center"/>
                </w:tcPr>
                <w:p w14:paraId="7EF78FD3">
                  <w:pPr>
                    <w:adjustRightInd w:val="0"/>
                    <w:snapToGrid w:val="0"/>
                    <w:spacing w:line="240" w:lineRule="auto"/>
                    <w:ind w:firstLine="0" w:firstLineChars="0"/>
                    <w:jc w:val="center"/>
                    <w:rPr>
                      <w:sz w:val="21"/>
                      <w:szCs w:val="21"/>
                    </w:rPr>
                  </w:pPr>
                  <w:r>
                    <w:rPr>
                      <w:sz w:val="21"/>
                      <w:szCs w:val="21"/>
                    </w:rPr>
                    <w:t>镭射雕花</w:t>
                  </w:r>
                  <w:r>
                    <w:rPr>
                      <w:rFonts w:hint="eastAsia"/>
                      <w:sz w:val="21"/>
                      <w:szCs w:val="21"/>
                      <w:lang w:eastAsia="zh-CN"/>
                    </w:rPr>
                    <w:t>、</w:t>
                  </w:r>
                  <w:r>
                    <w:rPr>
                      <w:rFonts w:hint="eastAsia"/>
                      <w:sz w:val="21"/>
                      <w:szCs w:val="21"/>
                    </w:rPr>
                    <w:t>口袋</w:t>
                  </w:r>
                  <w:r>
                    <w:rPr>
                      <w:rFonts w:hint="eastAsia"/>
                      <w:sz w:val="21"/>
                      <w:szCs w:val="21"/>
                      <w:lang w:eastAsia="zh-CN"/>
                    </w:rPr>
                    <w:t>开口</w:t>
                  </w:r>
                  <w:r>
                    <w:rPr>
                      <w:sz w:val="21"/>
                      <w:szCs w:val="21"/>
                    </w:rPr>
                    <w:t>工序</w:t>
                  </w:r>
                </w:p>
              </w:tc>
            </w:tr>
            <w:tr w14:paraId="0174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tcBorders>
                    <w:tl2br w:val="nil"/>
                    <w:tr2bl w:val="nil"/>
                  </w:tcBorders>
                  <w:vAlign w:val="center"/>
                </w:tcPr>
                <w:p w14:paraId="3CD26AD1">
                  <w:pPr>
                    <w:adjustRightInd w:val="0"/>
                    <w:snapToGrid w:val="0"/>
                    <w:spacing w:line="240" w:lineRule="auto"/>
                    <w:ind w:firstLine="0" w:firstLineChars="0"/>
                    <w:jc w:val="center"/>
                    <w:rPr>
                      <w:bCs/>
                      <w:snapToGrid w:val="0"/>
                      <w:kern w:val="0"/>
                      <w:sz w:val="21"/>
                      <w:szCs w:val="21"/>
                    </w:rPr>
                  </w:pPr>
                  <w:r>
                    <w:rPr>
                      <w:bCs/>
                      <w:snapToGrid w:val="0"/>
                      <w:kern w:val="0"/>
                      <w:sz w:val="21"/>
                      <w:szCs w:val="21"/>
                    </w:rPr>
                    <w:t>2</w:t>
                  </w:r>
                </w:p>
              </w:tc>
              <w:tc>
                <w:tcPr>
                  <w:tcW w:w="2068" w:type="dxa"/>
                  <w:tcBorders>
                    <w:tl2br w:val="nil"/>
                    <w:tr2bl w:val="nil"/>
                  </w:tcBorders>
                  <w:shd w:val="clear" w:color="auto" w:fill="auto"/>
                  <w:vAlign w:val="center"/>
                </w:tcPr>
                <w:p w14:paraId="2F4F4A6B">
                  <w:pPr>
                    <w:adjustRightInd w:val="0"/>
                    <w:spacing w:line="240" w:lineRule="auto"/>
                    <w:ind w:firstLine="0" w:firstLineChars="0"/>
                    <w:jc w:val="center"/>
                    <w:rPr>
                      <w:color w:val="000000"/>
                      <w:sz w:val="21"/>
                      <w:szCs w:val="21"/>
                    </w:rPr>
                  </w:pPr>
                  <w:r>
                    <w:rPr>
                      <w:rFonts w:hint="eastAsia"/>
                      <w:sz w:val="21"/>
                      <w:szCs w:val="21"/>
                    </w:rPr>
                    <w:t>喷墨印刷机</w:t>
                  </w:r>
                </w:p>
              </w:tc>
              <w:tc>
                <w:tcPr>
                  <w:tcW w:w="2291" w:type="dxa"/>
                  <w:tcBorders>
                    <w:tl2br w:val="nil"/>
                    <w:tr2bl w:val="nil"/>
                  </w:tcBorders>
                  <w:shd w:val="clear" w:color="auto" w:fill="auto"/>
                  <w:vAlign w:val="center"/>
                </w:tcPr>
                <w:p w14:paraId="654C1E51">
                  <w:pPr>
                    <w:spacing w:line="240" w:lineRule="auto"/>
                    <w:ind w:firstLine="0" w:firstLineChars="0"/>
                    <w:jc w:val="center"/>
                    <w:rPr>
                      <w:color w:val="000000"/>
                      <w:sz w:val="21"/>
                      <w:szCs w:val="21"/>
                    </w:rPr>
                  </w:pPr>
                  <w:r>
                    <w:rPr>
                      <w:rFonts w:hint="eastAsia"/>
                      <w:color w:val="000000"/>
                      <w:sz w:val="21"/>
                      <w:szCs w:val="21"/>
                    </w:rPr>
                    <w:t>/</w:t>
                  </w:r>
                </w:p>
              </w:tc>
              <w:tc>
                <w:tcPr>
                  <w:tcW w:w="1440" w:type="dxa"/>
                  <w:tcBorders>
                    <w:tl2br w:val="nil"/>
                    <w:tr2bl w:val="nil"/>
                  </w:tcBorders>
                  <w:shd w:val="clear" w:color="auto" w:fill="auto"/>
                  <w:vAlign w:val="center"/>
                </w:tcPr>
                <w:p w14:paraId="0BB0312A">
                  <w:pPr>
                    <w:spacing w:line="240" w:lineRule="auto"/>
                    <w:ind w:firstLine="0" w:firstLineChars="0"/>
                    <w:jc w:val="center"/>
                    <w:rPr>
                      <w:color w:val="000000"/>
                      <w:sz w:val="21"/>
                      <w:szCs w:val="21"/>
                    </w:rPr>
                  </w:pPr>
                  <w:r>
                    <w:rPr>
                      <w:rFonts w:hint="eastAsia"/>
                      <w:color w:val="000000"/>
                      <w:sz w:val="21"/>
                      <w:szCs w:val="21"/>
                    </w:rPr>
                    <w:t>1</w:t>
                  </w:r>
                </w:p>
              </w:tc>
              <w:tc>
                <w:tcPr>
                  <w:tcW w:w="1635" w:type="dxa"/>
                  <w:tcBorders>
                    <w:tl2br w:val="nil"/>
                    <w:tr2bl w:val="nil"/>
                  </w:tcBorders>
                  <w:shd w:val="clear" w:color="auto" w:fill="auto"/>
                  <w:vAlign w:val="center"/>
                </w:tcPr>
                <w:p w14:paraId="0C977224">
                  <w:pPr>
                    <w:adjustRightInd w:val="0"/>
                    <w:snapToGrid w:val="0"/>
                    <w:spacing w:line="240" w:lineRule="auto"/>
                    <w:ind w:firstLine="0" w:firstLineChars="0"/>
                    <w:jc w:val="center"/>
                    <w:rPr>
                      <w:sz w:val="21"/>
                      <w:szCs w:val="21"/>
                    </w:rPr>
                  </w:pPr>
                  <w:r>
                    <w:rPr>
                      <w:rFonts w:hint="eastAsia"/>
                      <w:sz w:val="21"/>
                      <w:szCs w:val="21"/>
                    </w:rPr>
                    <w:t>喷墨印刷工序</w:t>
                  </w:r>
                </w:p>
              </w:tc>
            </w:tr>
            <w:tr w14:paraId="794A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tcBorders>
                    <w:tl2br w:val="nil"/>
                    <w:tr2bl w:val="nil"/>
                  </w:tcBorders>
                  <w:vAlign w:val="center"/>
                </w:tcPr>
                <w:p w14:paraId="144677F1">
                  <w:pPr>
                    <w:adjustRightInd w:val="0"/>
                    <w:snapToGrid w:val="0"/>
                    <w:spacing w:line="240" w:lineRule="auto"/>
                    <w:ind w:firstLine="0" w:firstLineChars="0"/>
                    <w:jc w:val="center"/>
                    <w:rPr>
                      <w:bCs/>
                      <w:snapToGrid w:val="0"/>
                      <w:kern w:val="0"/>
                      <w:sz w:val="21"/>
                      <w:szCs w:val="21"/>
                    </w:rPr>
                  </w:pPr>
                  <w:r>
                    <w:rPr>
                      <w:bCs/>
                      <w:snapToGrid w:val="0"/>
                      <w:kern w:val="0"/>
                      <w:sz w:val="21"/>
                      <w:szCs w:val="21"/>
                    </w:rPr>
                    <w:t>3</w:t>
                  </w:r>
                </w:p>
              </w:tc>
              <w:tc>
                <w:tcPr>
                  <w:tcW w:w="2068" w:type="dxa"/>
                  <w:tcBorders>
                    <w:tl2br w:val="nil"/>
                    <w:tr2bl w:val="nil"/>
                  </w:tcBorders>
                  <w:shd w:val="clear" w:color="auto" w:fill="auto"/>
                  <w:vAlign w:val="center"/>
                </w:tcPr>
                <w:p w14:paraId="626F6189">
                  <w:pPr>
                    <w:adjustRightInd w:val="0"/>
                    <w:spacing w:line="240" w:lineRule="auto"/>
                    <w:ind w:firstLine="0" w:firstLineChars="0"/>
                    <w:jc w:val="center"/>
                    <w:rPr>
                      <w:color w:val="000000"/>
                      <w:sz w:val="21"/>
                      <w:szCs w:val="21"/>
                    </w:rPr>
                  </w:pPr>
                  <w:r>
                    <w:rPr>
                      <w:color w:val="000000"/>
                      <w:sz w:val="21"/>
                      <w:szCs w:val="21"/>
                    </w:rPr>
                    <w:t>绣花机</w:t>
                  </w:r>
                </w:p>
              </w:tc>
              <w:tc>
                <w:tcPr>
                  <w:tcW w:w="2291" w:type="dxa"/>
                  <w:tcBorders>
                    <w:tl2br w:val="nil"/>
                    <w:tr2bl w:val="nil"/>
                  </w:tcBorders>
                  <w:shd w:val="clear" w:color="auto" w:fill="auto"/>
                  <w:vAlign w:val="center"/>
                </w:tcPr>
                <w:p w14:paraId="495376FE">
                  <w:pPr>
                    <w:spacing w:line="240" w:lineRule="auto"/>
                    <w:ind w:firstLine="0" w:firstLineChars="0"/>
                    <w:jc w:val="center"/>
                    <w:rPr>
                      <w:color w:val="000000"/>
                      <w:sz w:val="21"/>
                      <w:szCs w:val="21"/>
                    </w:rPr>
                  </w:pPr>
                  <w:r>
                    <w:rPr>
                      <w:color w:val="000000"/>
                      <w:sz w:val="21"/>
                      <w:szCs w:val="21"/>
                    </w:rPr>
                    <w:t>宝轮</w:t>
                  </w:r>
                </w:p>
              </w:tc>
              <w:tc>
                <w:tcPr>
                  <w:tcW w:w="1440" w:type="dxa"/>
                  <w:tcBorders>
                    <w:tl2br w:val="nil"/>
                    <w:tr2bl w:val="nil"/>
                  </w:tcBorders>
                  <w:shd w:val="clear" w:color="auto" w:fill="auto"/>
                  <w:vAlign w:val="center"/>
                </w:tcPr>
                <w:p w14:paraId="4555A369">
                  <w:pPr>
                    <w:spacing w:line="240" w:lineRule="auto"/>
                    <w:ind w:firstLine="0" w:firstLineChars="0"/>
                    <w:jc w:val="center"/>
                    <w:rPr>
                      <w:color w:val="000000"/>
                      <w:sz w:val="21"/>
                      <w:szCs w:val="21"/>
                    </w:rPr>
                  </w:pPr>
                  <w:r>
                    <w:rPr>
                      <w:color w:val="000000"/>
                      <w:sz w:val="21"/>
                      <w:szCs w:val="21"/>
                    </w:rPr>
                    <w:t>4</w:t>
                  </w:r>
                </w:p>
              </w:tc>
              <w:tc>
                <w:tcPr>
                  <w:tcW w:w="1635" w:type="dxa"/>
                  <w:tcBorders>
                    <w:tl2br w:val="nil"/>
                    <w:tr2bl w:val="nil"/>
                  </w:tcBorders>
                  <w:shd w:val="clear" w:color="auto" w:fill="auto"/>
                  <w:vAlign w:val="center"/>
                </w:tcPr>
                <w:p w14:paraId="70A18936">
                  <w:pPr>
                    <w:adjustRightInd w:val="0"/>
                    <w:snapToGrid w:val="0"/>
                    <w:spacing w:line="240" w:lineRule="auto"/>
                    <w:ind w:firstLine="0" w:firstLineChars="0"/>
                    <w:jc w:val="center"/>
                    <w:rPr>
                      <w:sz w:val="21"/>
                      <w:szCs w:val="21"/>
                    </w:rPr>
                  </w:pPr>
                  <w:r>
                    <w:rPr>
                      <w:rFonts w:hint="eastAsia"/>
                      <w:sz w:val="21"/>
                      <w:szCs w:val="21"/>
                    </w:rPr>
                    <w:t>绣花工序</w:t>
                  </w:r>
                </w:p>
              </w:tc>
            </w:tr>
            <w:tr w14:paraId="119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tcBorders>
                    <w:tl2br w:val="nil"/>
                    <w:tr2bl w:val="nil"/>
                  </w:tcBorders>
                  <w:vAlign w:val="center"/>
                </w:tcPr>
                <w:p w14:paraId="49F6699E">
                  <w:pPr>
                    <w:adjustRightInd w:val="0"/>
                    <w:snapToGrid w:val="0"/>
                    <w:spacing w:line="240" w:lineRule="auto"/>
                    <w:ind w:firstLine="0" w:firstLineChars="0"/>
                    <w:jc w:val="center"/>
                    <w:rPr>
                      <w:bCs/>
                      <w:snapToGrid w:val="0"/>
                      <w:kern w:val="0"/>
                      <w:sz w:val="21"/>
                      <w:szCs w:val="21"/>
                    </w:rPr>
                  </w:pPr>
                  <w:r>
                    <w:rPr>
                      <w:bCs/>
                      <w:snapToGrid w:val="0"/>
                      <w:kern w:val="0"/>
                      <w:sz w:val="21"/>
                      <w:szCs w:val="21"/>
                    </w:rPr>
                    <w:t>4</w:t>
                  </w:r>
                </w:p>
              </w:tc>
              <w:tc>
                <w:tcPr>
                  <w:tcW w:w="2068" w:type="dxa"/>
                  <w:tcBorders>
                    <w:tl2br w:val="nil"/>
                    <w:tr2bl w:val="nil"/>
                  </w:tcBorders>
                  <w:shd w:val="clear" w:color="auto" w:fill="auto"/>
                  <w:vAlign w:val="center"/>
                </w:tcPr>
                <w:p w14:paraId="1B56E349">
                  <w:pPr>
                    <w:adjustRightInd w:val="0"/>
                    <w:spacing w:line="240" w:lineRule="auto"/>
                    <w:ind w:firstLine="0" w:firstLineChars="0"/>
                    <w:jc w:val="center"/>
                    <w:rPr>
                      <w:color w:val="000000"/>
                      <w:sz w:val="21"/>
                      <w:szCs w:val="21"/>
                    </w:rPr>
                  </w:pPr>
                  <w:r>
                    <w:rPr>
                      <w:color w:val="000000"/>
                      <w:sz w:val="21"/>
                      <w:szCs w:val="21"/>
                    </w:rPr>
                    <w:t>高周波</w:t>
                  </w:r>
                  <w:r>
                    <w:rPr>
                      <w:rFonts w:hint="eastAsia"/>
                      <w:color w:val="000000"/>
                      <w:sz w:val="21"/>
                      <w:szCs w:val="21"/>
                    </w:rPr>
                    <w:t>熔接机</w:t>
                  </w:r>
                </w:p>
              </w:tc>
              <w:tc>
                <w:tcPr>
                  <w:tcW w:w="2291" w:type="dxa"/>
                  <w:tcBorders>
                    <w:tl2br w:val="nil"/>
                    <w:tr2bl w:val="nil"/>
                  </w:tcBorders>
                  <w:shd w:val="clear" w:color="auto" w:fill="auto"/>
                  <w:vAlign w:val="center"/>
                </w:tcPr>
                <w:p w14:paraId="0C61F8E9">
                  <w:pPr>
                    <w:spacing w:line="240" w:lineRule="auto"/>
                    <w:ind w:firstLine="0" w:firstLineChars="0"/>
                    <w:jc w:val="center"/>
                    <w:rPr>
                      <w:color w:val="000000"/>
                      <w:sz w:val="21"/>
                      <w:szCs w:val="21"/>
                    </w:rPr>
                  </w:pPr>
                  <w:r>
                    <w:rPr>
                      <w:color w:val="000000"/>
                      <w:sz w:val="21"/>
                      <w:szCs w:val="21"/>
                    </w:rPr>
                    <w:t>SJ-TX5F</w:t>
                  </w:r>
                </w:p>
              </w:tc>
              <w:tc>
                <w:tcPr>
                  <w:tcW w:w="1440" w:type="dxa"/>
                  <w:tcBorders>
                    <w:tl2br w:val="nil"/>
                    <w:tr2bl w:val="nil"/>
                  </w:tcBorders>
                  <w:shd w:val="clear" w:color="auto" w:fill="auto"/>
                  <w:vAlign w:val="center"/>
                </w:tcPr>
                <w:p w14:paraId="0C48C6F0">
                  <w:pPr>
                    <w:spacing w:line="240" w:lineRule="auto"/>
                    <w:ind w:firstLine="0" w:firstLineChars="0"/>
                    <w:jc w:val="center"/>
                    <w:rPr>
                      <w:color w:val="000000"/>
                      <w:sz w:val="21"/>
                      <w:szCs w:val="21"/>
                    </w:rPr>
                  </w:pPr>
                  <w:r>
                    <w:rPr>
                      <w:color w:val="000000"/>
                      <w:sz w:val="21"/>
                      <w:szCs w:val="21"/>
                    </w:rPr>
                    <w:t>15</w:t>
                  </w:r>
                </w:p>
              </w:tc>
              <w:tc>
                <w:tcPr>
                  <w:tcW w:w="1635" w:type="dxa"/>
                  <w:tcBorders>
                    <w:tl2br w:val="nil"/>
                    <w:tr2bl w:val="nil"/>
                  </w:tcBorders>
                  <w:shd w:val="clear" w:color="auto" w:fill="auto"/>
                  <w:vAlign w:val="center"/>
                </w:tcPr>
                <w:p w14:paraId="20ECE80F">
                  <w:pPr>
                    <w:adjustRightInd w:val="0"/>
                    <w:snapToGrid w:val="0"/>
                    <w:spacing w:line="240" w:lineRule="auto"/>
                    <w:ind w:firstLine="0" w:firstLineChars="0"/>
                    <w:jc w:val="center"/>
                    <w:rPr>
                      <w:sz w:val="21"/>
                      <w:szCs w:val="21"/>
                    </w:rPr>
                  </w:pPr>
                  <w:r>
                    <w:rPr>
                      <w:rFonts w:hint="eastAsia"/>
                      <w:sz w:val="21"/>
                      <w:szCs w:val="21"/>
                    </w:rPr>
                    <w:t>熔接、压花工序</w:t>
                  </w:r>
                </w:p>
              </w:tc>
            </w:tr>
            <w:tr w14:paraId="3E37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vAlign w:val="center"/>
                </w:tcPr>
                <w:p w14:paraId="603FE32F">
                  <w:pPr>
                    <w:adjustRightInd w:val="0"/>
                    <w:snapToGrid w:val="0"/>
                    <w:spacing w:line="240" w:lineRule="auto"/>
                    <w:ind w:firstLine="0" w:firstLineChars="0"/>
                    <w:jc w:val="center"/>
                    <w:rPr>
                      <w:sz w:val="21"/>
                      <w:szCs w:val="21"/>
                    </w:rPr>
                  </w:pPr>
                  <w:r>
                    <w:rPr>
                      <w:sz w:val="21"/>
                      <w:szCs w:val="21"/>
                    </w:rPr>
                    <w:t>5</w:t>
                  </w:r>
                </w:p>
              </w:tc>
              <w:tc>
                <w:tcPr>
                  <w:tcW w:w="2068" w:type="dxa"/>
                  <w:shd w:val="clear" w:color="auto" w:fill="auto"/>
                  <w:vAlign w:val="center"/>
                </w:tcPr>
                <w:p w14:paraId="03298D20">
                  <w:pPr>
                    <w:adjustRightInd w:val="0"/>
                    <w:spacing w:line="240" w:lineRule="auto"/>
                    <w:ind w:firstLine="0" w:firstLineChars="0"/>
                    <w:jc w:val="center"/>
                    <w:rPr>
                      <w:color w:val="000000"/>
                      <w:sz w:val="21"/>
                      <w:szCs w:val="21"/>
                    </w:rPr>
                  </w:pPr>
                  <w:r>
                    <w:rPr>
                      <w:color w:val="000000"/>
                      <w:sz w:val="21"/>
                      <w:szCs w:val="21"/>
                    </w:rPr>
                    <w:t>粘合机</w:t>
                  </w:r>
                </w:p>
              </w:tc>
              <w:tc>
                <w:tcPr>
                  <w:tcW w:w="2291" w:type="dxa"/>
                  <w:shd w:val="clear" w:color="auto" w:fill="auto"/>
                  <w:vAlign w:val="center"/>
                </w:tcPr>
                <w:p w14:paraId="12796CA2">
                  <w:pPr>
                    <w:spacing w:line="240" w:lineRule="auto"/>
                    <w:ind w:firstLine="0" w:firstLineChars="0"/>
                    <w:jc w:val="center"/>
                    <w:rPr>
                      <w:color w:val="000000"/>
                      <w:sz w:val="21"/>
                      <w:szCs w:val="21"/>
                    </w:rPr>
                  </w:pPr>
                  <w:r>
                    <w:rPr>
                      <w:color w:val="000000"/>
                      <w:sz w:val="21"/>
                      <w:szCs w:val="21"/>
                    </w:rPr>
                    <w:t>NHG-1200</w:t>
                  </w:r>
                </w:p>
              </w:tc>
              <w:tc>
                <w:tcPr>
                  <w:tcW w:w="1440" w:type="dxa"/>
                  <w:shd w:val="clear" w:color="auto" w:fill="auto"/>
                  <w:vAlign w:val="center"/>
                </w:tcPr>
                <w:p w14:paraId="48F09D4C">
                  <w:pPr>
                    <w:spacing w:line="240" w:lineRule="auto"/>
                    <w:ind w:firstLine="0" w:firstLineChars="0"/>
                    <w:jc w:val="center"/>
                    <w:rPr>
                      <w:color w:val="000000"/>
                      <w:sz w:val="21"/>
                      <w:szCs w:val="21"/>
                    </w:rPr>
                  </w:pPr>
                  <w:r>
                    <w:rPr>
                      <w:rFonts w:hint="eastAsia"/>
                      <w:color w:val="000000"/>
                      <w:sz w:val="21"/>
                      <w:szCs w:val="21"/>
                    </w:rPr>
                    <w:t>5</w:t>
                  </w:r>
                </w:p>
              </w:tc>
              <w:tc>
                <w:tcPr>
                  <w:tcW w:w="1635" w:type="dxa"/>
                  <w:shd w:val="clear" w:color="auto" w:fill="auto"/>
                  <w:vAlign w:val="center"/>
                </w:tcPr>
                <w:p w14:paraId="507003C2">
                  <w:pPr>
                    <w:adjustRightInd w:val="0"/>
                    <w:snapToGrid w:val="0"/>
                    <w:spacing w:line="240" w:lineRule="auto"/>
                    <w:ind w:firstLine="0" w:firstLineChars="0"/>
                    <w:jc w:val="center"/>
                    <w:rPr>
                      <w:sz w:val="21"/>
                      <w:szCs w:val="21"/>
                    </w:rPr>
                  </w:pPr>
                  <w:r>
                    <w:rPr>
                      <w:rFonts w:hint="eastAsia"/>
                      <w:sz w:val="21"/>
                      <w:szCs w:val="21"/>
                    </w:rPr>
                    <w:t>复合工序</w:t>
                  </w:r>
                </w:p>
              </w:tc>
            </w:tr>
            <w:tr w14:paraId="515A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vAlign w:val="center"/>
                </w:tcPr>
                <w:p w14:paraId="6919D522">
                  <w:pPr>
                    <w:adjustRightInd w:val="0"/>
                    <w:snapToGrid w:val="0"/>
                    <w:spacing w:line="240" w:lineRule="auto"/>
                    <w:ind w:firstLine="0" w:firstLineChars="0"/>
                    <w:jc w:val="center"/>
                    <w:rPr>
                      <w:sz w:val="21"/>
                      <w:szCs w:val="21"/>
                    </w:rPr>
                  </w:pPr>
                  <w:r>
                    <w:rPr>
                      <w:sz w:val="21"/>
                      <w:szCs w:val="21"/>
                    </w:rPr>
                    <w:t>6</w:t>
                  </w:r>
                </w:p>
              </w:tc>
              <w:tc>
                <w:tcPr>
                  <w:tcW w:w="2068" w:type="dxa"/>
                  <w:shd w:val="clear" w:color="auto" w:fill="auto"/>
                  <w:vAlign w:val="center"/>
                </w:tcPr>
                <w:p w14:paraId="4C5AE6B9">
                  <w:pPr>
                    <w:adjustRightInd w:val="0"/>
                    <w:spacing w:line="240" w:lineRule="auto"/>
                    <w:ind w:firstLine="0" w:firstLineChars="0"/>
                    <w:jc w:val="center"/>
                    <w:rPr>
                      <w:color w:val="000000"/>
                      <w:sz w:val="21"/>
                      <w:szCs w:val="21"/>
                    </w:rPr>
                  </w:pPr>
                  <w:r>
                    <w:rPr>
                      <w:color w:val="000000"/>
                      <w:sz w:val="21"/>
                      <w:szCs w:val="21"/>
                    </w:rPr>
                    <w:t>箱式烘干机</w:t>
                  </w:r>
                </w:p>
              </w:tc>
              <w:tc>
                <w:tcPr>
                  <w:tcW w:w="2291" w:type="dxa"/>
                  <w:shd w:val="clear" w:color="auto" w:fill="auto"/>
                  <w:vAlign w:val="center"/>
                </w:tcPr>
                <w:p w14:paraId="0388F887">
                  <w:pPr>
                    <w:spacing w:line="240" w:lineRule="auto"/>
                    <w:ind w:firstLine="0" w:firstLineChars="0"/>
                    <w:jc w:val="center"/>
                    <w:rPr>
                      <w:color w:val="000000"/>
                      <w:sz w:val="21"/>
                      <w:szCs w:val="21"/>
                    </w:rPr>
                  </w:pPr>
                  <w:r>
                    <w:rPr>
                      <w:color w:val="000000"/>
                      <w:sz w:val="21"/>
                      <w:szCs w:val="21"/>
                    </w:rPr>
                    <w:t>101</w:t>
                  </w:r>
                </w:p>
              </w:tc>
              <w:tc>
                <w:tcPr>
                  <w:tcW w:w="1440" w:type="dxa"/>
                  <w:shd w:val="clear" w:color="auto" w:fill="auto"/>
                  <w:vAlign w:val="center"/>
                </w:tcPr>
                <w:p w14:paraId="0A059F38">
                  <w:pPr>
                    <w:spacing w:line="240" w:lineRule="auto"/>
                    <w:ind w:firstLine="0" w:firstLineChars="0"/>
                    <w:jc w:val="center"/>
                    <w:rPr>
                      <w:color w:val="000000"/>
                      <w:sz w:val="21"/>
                      <w:szCs w:val="21"/>
                    </w:rPr>
                  </w:pPr>
                  <w:r>
                    <w:rPr>
                      <w:rFonts w:hint="eastAsia"/>
                      <w:color w:val="000000"/>
                      <w:sz w:val="21"/>
                      <w:szCs w:val="21"/>
                    </w:rPr>
                    <w:t>1</w:t>
                  </w:r>
                </w:p>
              </w:tc>
              <w:tc>
                <w:tcPr>
                  <w:tcW w:w="1635" w:type="dxa"/>
                  <w:shd w:val="clear" w:color="auto" w:fill="auto"/>
                  <w:vAlign w:val="center"/>
                </w:tcPr>
                <w:p w14:paraId="11DEA375">
                  <w:pPr>
                    <w:adjustRightInd w:val="0"/>
                    <w:snapToGrid w:val="0"/>
                    <w:spacing w:line="240" w:lineRule="auto"/>
                    <w:ind w:firstLine="0" w:firstLineChars="0"/>
                    <w:jc w:val="center"/>
                    <w:rPr>
                      <w:sz w:val="21"/>
                      <w:szCs w:val="21"/>
                    </w:rPr>
                  </w:pPr>
                  <w:r>
                    <w:rPr>
                      <w:rFonts w:hint="eastAsia"/>
                      <w:sz w:val="21"/>
                      <w:szCs w:val="21"/>
                    </w:rPr>
                    <w:t>烘干工序</w:t>
                  </w:r>
                </w:p>
              </w:tc>
            </w:tr>
            <w:tr w14:paraId="11D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vAlign w:val="center"/>
                </w:tcPr>
                <w:p w14:paraId="45DACEBF">
                  <w:pPr>
                    <w:adjustRightInd w:val="0"/>
                    <w:snapToGrid w:val="0"/>
                    <w:spacing w:line="240" w:lineRule="auto"/>
                    <w:ind w:firstLine="0" w:firstLineChars="0"/>
                    <w:jc w:val="center"/>
                    <w:rPr>
                      <w:sz w:val="21"/>
                      <w:szCs w:val="21"/>
                    </w:rPr>
                  </w:pPr>
                  <w:r>
                    <w:rPr>
                      <w:sz w:val="21"/>
                      <w:szCs w:val="21"/>
                    </w:rPr>
                    <w:t>7</w:t>
                  </w:r>
                </w:p>
              </w:tc>
              <w:tc>
                <w:tcPr>
                  <w:tcW w:w="2068" w:type="dxa"/>
                  <w:shd w:val="clear" w:color="auto" w:fill="auto"/>
                  <w:vAlign w:val="center"/>
                </w:tcPr>
                <w:p w14:paraId="0F214FA2">
                  <w:pPr>
                    <w:adjustRightInd w:val="0"/>
                    <w:spacing w:line="240" w:lineRule="auto"/>
                    <w:ind w:firstLine="0" w:firstLineChars="0"/>
                    <w:jc w:val="center"/>
                    <w:rPr>
                      <w:color w:val="000000"/>
                      <w:sz w:val="21"/>
                      <w:szCs w:val="21"/>
                    </w:rPr>
                  </w:pPr>
                  <w:r>
                    <w:rPr>
                      <w:color w:val="000000"/>
                      <w:sz w:val="21"/>
                      <w:szCs w:val="21"/>
                    </w:rPr>
                    <w:t>冲床</w:t>
                  </w:r>
                </w:p>
              </w:tc>
              <w:tc>
                <w:tcPr>
                  <w:tcW w:w="2291" w:type="dxa"/>
                  <w:shd w:val="clear" w:color="auto" w:fill="auto"/>
                  <w:vAlign w:val="center"/>
                </w:tcPr>
                <w:p w14:paraId="7F90C9A4">
                  <w:pPr>
                    <w:spacing w:line="240" w:lineRule="auto"/>
                    <w:ind w:firstLine="0" w:firstLineChars="0"/>
                    <w:jc w:val="center"/>
                    <w:rPr>
                      <w:color w:val="000000"/>
                      <w:sz w:val="21"/>
                      <w:szCs w:val="21"/>
                    </w:rPr>
                  </w:pPr>
                  <w:r>
                    <w:rPr>
                      <w:rFonts w:hint="eastAsia"/>
                      <w:color w:val="000000"/>
                      <w:sz w:val="21"/>
                      <w:szCs w:val="21"/>
                    </w:rPr>
                    <w:t>/</w:t>
                  </w:r>
                </w:p>
              </w:tc>
              <w:tc>
                <w:tcPr>
                  <w:tcW w:w="1440" w:type="dxa"/>
                  <w:shd w:val="clear" w:color="auto" w:fill="auto"/>
                  <w:vAlign w:val="center"/>
                </w:tcPr>
                <w:p w14:paraId="0D0DD553">
                  <w:pPr>
                    <w:spacing w:line="240" w:lineRule="auto"/>
                    <w:ind w:firstLine="0" w:firstLineChars="0"/>
                    <w:jc w:val="center"/>
                    <w:rPr>
                      <w:color w:val="000000"/>
                      <w:sz w:val="21"/>
                      <w:szCs w:val="21"/>
                    </w:rPr>
                  </w:pPr>
                  <w:r>
                    <w:rPr>
                      <w:rFonts w:hint="eastAsia"/>
                      <w:color w:val="000000"/>
                      <w:sz w:val="21"/>
                      <w:szCs w:val="21"/>
                    </w:rPr>
                    <w:t>2</w:t>
                  </w:r>
                </w:p>
              </w:tc>
              <w:tc>
                <w:tcPr>
                  <w:tcW w:w="1635" w:type="dxa"/>
                  <w:shd w:val="clear" w:color="auto" w:fill="auto"/>
                  <w:vAlign w:val="center"/>
                </w:tcPr>
                <w:p w14:paraId="491C3ACC">
                  <w:pPr>
                    <w:adjustRightInd w:val="0"/>
                    <w:snapToGrid w:val="0"/>
                    <w:spacing w:line="240" w:lineRule="auto"/>
                    <w:ind w:firstLine="0" w:firstLineChars="0"/>
                    <w:jc w:val="center"/>
                    <w:rPr>
                      <w:sz w:val="21"/>
                      <w:szCs w:val="21"/>
                    </w:rPr>
                  </w:pPr>
                  <w:r>
                    <w:rPr>
                      <w:rFonts w:hint="eastAsia"/>
                      <w:sz w:val="21"/>
                      <w:szCs w:val="21"/>
                    </w:rPr>
                    <w:t>切边工序</w:t>
                  </w:r>
                </w:p>
              </w:tc>
            </w:tr>
            <w:tr w14:paraId="7BAF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160CAEC7">
                  <w:pPr>
                    <w:adjustRightInd w:val="0"/>
                    <w:snapToGrid w:val="0"/>
                    <w:spacing w:line="240" w:lineRule="auto"/>
                    <w:ind w:firstLine="0" w:firstLineChars="0"/>
                    <w:jc w:val="center"/>
                    <w:rPr>
                      <w:sz w:val="21"/>
                      <w:szCs w:val="21"/>
                    </w:rPr>
                  </w:pPr>
                  <w:r>
                    <w:rPr>
                      <w:rFonts w:hint="eastAsia"/>
                      <w:sz w:val="21"/>
                      <w:szCs w:val="21"/>
                    </w:rPr>
                    <w:t>8</w:t>
                  </w:r>
                </w:p>
              </w:tc>
              <w:tc>
                <w:tcPr>
                  <w:tcW w:w="2068" w:type="dxa"/>
                  <w:shd w:val="clear" w:color="auto" w:fill="auto"/>
                  <w:vAlign w:val="center"/>
                </w:tcPr>
                <w:p w14:paraId="38DFA948">
                  <w:pPr>
                    <w:adjustRightInd w:val="0"/>
                    <w:spacing w:line="240" w:lineRule="auto"/>
                    <w:ind w:firstLine="0" w:firstLineChars="0"/>
                    <w:jc w:val="center"/>
                    <w:rPr>
                      <w:color w:val="000000"/>
                      <w:sz w:val="21"/>
                      <w:szCs w:val="21"/>
                    </w:rPr>
                  </w:pPr>
                  <w:r>
                    <w:rPr>
                      <w:rFonts w:hint="eastAsia"/>
                      <w:color w:val="000000"/>
                      <w:sz w:val="21"/>
                      <w:szCs w:val="21"/>
                    </w:rPr>
                    <w:t>缝纫机</w:t>
                  </w:r>
                </w:p>
              </w:tc>
              <w:tc>
                <w:tcPr>
                  <w:tcW w:w="2291" w:type="dxa"/>
                  <w:shd w:val="clear" w:color="auto" w:fill="auto"/>
                  <w:vAlign w:val="center"/>
                </w:tcPr>
                <w:p w14:paraId="1F6B04F8">
                  <w:pPr>
                    <w:spacing w:line="240" w:lineRule="auto"/>
                    <w:ind w:firstLine="0" w:firstLineChars="0"/>
                    <w:jc w:val="center"/>
                    <w:rPr>
                      <w:color w:val="000000"/>
                      <w:sz w:val="21"/>
                      <w:szCs w:val="21"/>
                    </w:rPr>
                  </w:pPr>
                  <w:r>
                    <w:rPr>
                      <w:rFonts w:hint="eastAsia"/>
                      <w:color w:val="000000"/>
                      <w:sz w:val="21"/>
                      <w:szCs w:val="21"/>
                    </w:rPr>
                    <w:t>/</w:t>
                  </w:r>
                </w:p>
              </w:tc>
              <w:tc>
                <w:tcPr>
                  <w:tcW w:w="1440" w:type="dxa"/>
                  <w:shd w:val="clear" w:color="auto" w:fill="auto"/>
                  <w:vAlign w:val="center"/>
                </w:tcPr>
                <w:p w14:paraId="611E539C">
                  <w:pPr>
                    <w:spacing w:line="240" w:lineRule="auto"/>
                    <w:ind w:firstLine="0" w:firstLineChars="0"/>
                    <w:jc w:val="center"/>
                    <w:rPr>
                      <w:color w:val="000000"/>
                      <w:sz w:val="21"/>
                      <w:szCs w:val="21"/>
                    </w:rPr>
                  </w:pPr>
                  <w:r>
                    <w:rPr>
                      <w:rFonts w:hint="eastAsia"/>
                      <w:color w:val="000000"/>
                      <w:sz w:val="21"/>
                      <w:szCs w:val="21"/>
                    </w:rPr>
                    <w:t>5</w:t>
                  </w:r>
                </w:p>
              </w:tc>
              <w:tc>
                <w:tcPr>
                  <w:tcW w:w="1635" w:type="dxa"/>
                  <w:shd w:val="clear" w:color="auto" w:fill="auto"/>
                  <w:vAlign w:val="center"/>
                </w:tcPr>
                <w:p w14:paraId="5BD9046E">
                  <w:pPr>
                    <w:adjustRightInd w:val="0"/>
                    <w:snapToGrid w:val="0"/>
                    <w:spacing w:line="240" w:lineRule="auto"/>
                    <w:ind w:firstLine="0" w:firstLineChars="0"/>
                    <w:jc w:val="center"/>
                    <w:rPr>
                      <w:sz w:val="21"/>
                      <w:szCs w:val="21"/>
                    </w:rPr>
                  </w:pPr>
                  <w:r>
                    <w:rPr>
                      <w:rFonts w:hint="eastAsia"/>
                      <w:sz w:val="21"/>
                      <w:szCs w:val="21"/>
                    </w:rPr>
                    <w:t>加装拉链工序</w:t>
                  </w:r>
                </w:p>
              </w:tc>
            </w:tr>
            <w:tr w14:paraId="2D8B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013C2CE1">
                  <w:pPr>
                    <w:tabs>
                      <w:tab w:val="left" w:pos="200"/>
                    </w:tabs>
                    <w:adjustRightInd w:val="0"/>
                    <w:snapToGrid w:val="0"/>
                    <w:spacing w:line="240" w:lineRule="auto"/>
                    <w:ind w:firstLine="210" w:firstLineChars="100"/>
                    <w:jc w:val="left"/>
                    <w:rPr>
                      <w:sz w:val="21"/>
                      <w:szCs w:val="21"/>
                    </w:rPr>
                  </w:pPr>
                  <w:r>
                    <w:rPr>
                      <w:rFonts w:hint="eastAsia"/>
                      <w:sz w:val="21"/>
                      <w:szCs w:val="21"/>
                    </w:rPr>
                    <w:t>9</w:t>
                  </w:r>
                </w:p>
              </w:tc>
              <w:tc>
                <w:tcPr>
                  <w:tcW w:w="2068" w:type="dxa"/>
                  <w:shd w:val="clear" w:color="auto" w:fill="auto"/>
                  <w:vAlign w:val="center"/>
                </w:tcPr>
                <w:p w14:paraId="71FA17AD">
                  <w:pPr>
                    <w:adjustRightInd w:val="0"/>
                    <w:spacing w:line="240" w:lineRule="auto"/>
                    <w:ind w:firstLine="0" w:firstLineChars="0"/>
                    <w:jc w:val="center"/>
                    <w:rPr>
                      <w:color w:val="000000"/>
                      <w:sz w:val="21"/>
                      <w:szCs w:val="21"/>
                    </w:rPr>
                  </w:pPr>
                  <w:r>
                    <w:rPr>
                      <w:rFonts w:hint="eastAsia"/>
                      <w:color w:val="000000"/>
                      <w:sz w:val="21"/>
                      <w:szCs w:val="21"/>
                    </w:rPr>
                    <w:t>熨烫机</w:t>
                  </w:r>
                </w:p>
              </w:tc>
              <w:tc>
                <w:tcPr>
                  <w:tcW w:w="2291" w:type="dxa"/>
                  <w:shd w:val="clear" w:color="auto" w:fill="auto"/>
                  <w:vAlign w:val="center"/>
                </w:tcPr>
                <w:p w14:paraId="5B38D116">
                  <w:pPr>
                    <w:spacing w:line="240" w:lineRule="auto"/>
                    <w:ind w:firstLine="0" w:firstLineChars="0"/>
                    <w:jc w:val="center"/>
                    <w:rPr>
                      <w:color w:val="000000"/>
                      <w:sz w:val="21"/>
                      <w:szCs w:val="21"/>
                    </w:rPr>
                  </w:pPr>
                  <w:r>
                    <w:rPr>
                      <w:rFonts w:hint="eastAsia"/>
                      <w:color w:val="000000"/>
                      <w:sz w:val="21"/>
                      <w:szCs w:val="21"/>
                    </w:rPr>
                    <w:t>/</w:t>
                  </w:r>
                </w:p>
              </w:tc>
              <w:tc>
                <w:tcPr>
                  <w:tcW w:w="1440" w:type="dxa"/>
                  <w:shd w:val="clear" w:color="auto" w:fill="auto"/>
                  <w:vAlign w:val="center"/>
                </w:tcPr>
                <w:p w14:paraId="243C3EC2">
                  <w:pPr>
                    <w:spacing w:line="240" w:lineRule="auto"/>
                    <w:ind w:firstLine="0" w:firstLineChars="0"/>
                    <w:jc w:val="center"/>
                    <w:rPr>
                      <w:color w:val="000000"/>
                      <w:sz w:val="21"/>
                      <w:szCs w:val="21"/>
                    </w:rPr>
                  </w:pPr>
                  <w:r>
                    <w:rPr>
                      <w:rFonts w:hint="eastAsia"/>
                      <w:color w:val="000000"/>
                      <w:sz w:val="21"/>
                      <w:szCs w:val="21"/>
                    </w:rPr>
                    <w:t>20</w:t>
                  </w:r>
                </w:p>
              </w:tc>
              <w:tc>
                <w:tcPr>
                  <w:tcW w:w="1635" w:type="dxa"/>
                  <w:shd w:val="clear" w:color="auto" w:fill="auto"/>
                  <w:vAlign w:val="center"/>
                </w:tcPr>
                <w:p w14:paraId="3B117C97">
                  <w:pPr>
                    <w:adjustRightInd w:val="0"/>
                    <w:snapToGrid w:val="0"/>
                    <w:spacing w:line="240" w:lineRule="auto"/>
                    <w:ind w:firstLine="0" w:firstLineChars="0"/>
                    <w:jc w:val="center"/>
                    <w:rPr>
                      <w:sz w:val="21"/>
                      <w:szCs w:val="21"/>
                    </w:rPr>
                  </w:pPr>
                  <w:r>
                    <w:rPr>
                      <w:rFonts w:hint="eastAsia"/>
                      <w:sz w:val="21"/>
                      <w:szCs w:val="21"/>
                    </w:rPr>
                    <w:t>熨烫工序</w:t>
                  </w:r>
                </w:p>
              </w:tc>
            </w:tr>
            <w:tr w14:paraId="45BC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6E77DFE0">
                  <w:pPr>
                    <w:tabs>
                      <w:tab w:val="left" w:pos="200"/>
                    </w:tabs>
                    <w:adjustRightInd w:val="0"/>
                    <w:snapToGrid w:val="0"/>
                    <w:spacing w:line="240" w:lineRule="auto"/>
                    <w:ind w:firstLine="0" w:firstLineChars="0"/>
                    <w:jc w:val="center"/>
                    <w:rPr>
                      <w:sz w:val="21"/>
                      <w:szCs w:val="21"/>
                    </w:rPr>
                  </w:pPr>
                  <w:r>
                    <w:rPr>
                      <w:rFonts w:hint="eastAsia"/>
                      <w:sz w:val="21"/>
                      <w:szCs w:val="21"/>
                    </w:rPr>
                    <w:t>10</w:t>
                  </w:r>
                </w:p>
              </w:tc>
              <w:tc>
                <w:tcPr>
                  <w:tcW w:w="2068" w:type="dxa"/>
                  <w:shd w:val="clear" w:color="auto" w:fill="auto"/>
                  <w:vAlign w:val="center"/>
                </w:tcPr>
                <w:p w14:paraId="2E2C20B8">
                  <w:pPr>
                    <w:adjustRightInd w:val="0"/>
                    <w:spacing w:line="240" w:lineRule="auto"/>
                    <w:ind w:firstLine="0" w:firstLineChars="0"/>
                    <w:jc w:val="center"/>
                    <w:rPr>
                      <w:color w:val="000000"/>
                      <w:sz w:val="21"/>
                      <w:szCs w:val="21"/>
                    </w:rPr>
                  </w:pPr>
                  <w:r>
                    <w:rPr>
                      <w:color w:val="000000"/>
                      <w:sz w:val="21"/>
                      <w:szCs w:val="21"/>
                    </w:rPr>
                    <w:t>手工烫台</w:t>
                  </w:r>
                </w:p>
              </w:tc>
              <w:tc>
                <w:tcPr>
                  <w:tcW w:w="2291" w:type="dxa"/>
                  <w:shd w:val="clear" w:color="auto" w:fill="auto"/>
                  <w:vAlign w:val="center"/>
                </w:tcPr>
                <w:p w14:paraId="14A07077">
                  <w:pPr>
                    <w:spacing w:line="240" w:lineRule="auto"/>
                    <w:ind w:firstLine="0" w:firstLineChars="0"/>
                    <w:jc w:val="center"/>
                    <w:rPr>
                      <w:color w:val="000000"/>
                      <w:sz w:val="21"/>
                      <w:szCs w:val="21"/>
                    </w:rPr>
                  </w:pPr>
                  <w:r>
                    <w:rPr>
                      <w:rFonts w:hint="eastAsia"/>
                      <w:color w:val="000000"/>
                      <w:sz w:val="21"/>
                      <w:szCs w:val="21"/>
                    </w:rPr>
                    <w:t>/</w:t>
                  </w:r>
                </w:p>
              </w:tc>
              <w:tc>
                <w:tcPr>
                  <w:tcW w:w="1440" w:type="dxa"/>
                  <w:shd w:val="clear" w:color="auto" w:fill="auto"/>
                  <w:vAlign w:val="center"/>
                </w:tcPr>
                <w:p w14:paraId="37816A4E">
                  <w:pPr>
                    <w:spacing w:line="240" w:lineRule="auto"/>
                    <w:ind w:firstLine="0" w:firstLineChars="0"/>
                    <w:jc w:val="center"/>
                    <w:rPr>
                      <w:color w:val="000000"/>
                      <w:sz w:val="21"/>
                      <w:szCs w:val="21"/>
                    </w:rPr>
                  </w:pPr>
                  <w:r>
                    <w:rPr>
                      <w:rFonts w:hint="eastAsia"/>
                      <w:color w:val="000000"/>
                      <w:sz w:val="21"/>
                      <w:szCs w:val="21"/>
                    </w:rPr>
                    <w:t>10</w:t>
                  </w:r>
                </w:p>
              </w:tc>
              <w:tc>
                <w:tcPr>
                  <w:tcW w:w="1635" w:type="dxa"/>
                  <w:shd w:val="clear" w:color="auto" w:fill="auto"/>
                  <w:vAlign w:val="center"/>
                </w:tcPr>
                <w:p w14:paraId="052C8C89">
                  <w:pPr>
                    <w:adjustRightInd w:val="0"/>
                    <w:snapToGrid w:val="0"/>
                    <w:spacing w:line="240" w:lineRule="auto"/>
                    <w:ind w:firstLine="0" w:firstLineChars="0"/>
                    <w:jc w:val="center"/>
                    <w:rPr>
                      <w:sz w:val="21"/>
                      <w:szCs w:val="21"/>
                    </w:rPr>
                  </w:pPr>
                  <w:r>
                    <w:rPr>
                      <w:rFonts w:hint="eastAsia"/>
                      <w:sz w:val="21"/>
                      <w:szCs w:val="21"/>
                    </w:rPr>
                    <w:t>熨烫工序</w:t>
                  </w:r>
                </w:p>
              </w:tc>
            </w:tr>
            <w:tr w14:paraId="7F6A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303F8A87">
                  <w:pPr>
                    <w:tabs>
                      <w:tab w:val="left" w:pos="200"/>
                    </w:tabs>
                    <w:adjustRightInd w:val="0"/>
                    <w:snapToGrid w:val="0"/>
                    <w:spacing w:line="240" w:lineRule="auto"/>
                    <w:ind w:firstLine="0" w:firstLineChars="0"/>
                    <w:jc w:val="center"/>
                    <w:rPr>
                      <w:sz w:val="21"/>
                      <w:szCs w:val="21"/>
                    </w:rPr>
                  </w:pPr>
                  <w:r>
                    <w:rPr>
                      <w:rFonts w:hint="eastAsia"/>
                      <w:sz w:val="21"/>
                      <w:szCs w:val="21"/>
                    </w:rPr>
                    <w:t>11</w:t>
                  </w:r>
                </w:p>
              </w:tc>
              <w:tc>
                <w:tcPr>
                  <w:tcW w:w="2068" w:type="dxa"/>
                  <w:shd w:val="clear" w:color="auto" w:fill="auto"/>
                  <w:vAlign w:val="center"/>
                </w:tcPr>
                <w:p w14:paraId="046FEC57">
                  <w:pPr>
                    <w:adjustRightInd w:val="0"/>
                    <w:spacing w:line="240" w:lineRule="auto"/>
                    <w:ind w:firstLine="0" w:firstLineChars="0"/>
                    <w:jc w:val="center"/>
                    <w:rPr>
                      <w:color w:val="000000"/>
                      <w:sz w:val="21"/>
                      <w:szCs w:val="21"/>
                    </w:rPr>
                  </w:pPr>
                  <w:r>
                    <w:rPr>
                      <w:color w:val="000000"/>
                      <w:sz w:val="21"/>
                      <w:szCs w:val="21"/>
                    </w:rPr>
                    <w:t>立式平压机</w:t>
                  </w:r>
                </w:p>
              </w:tc>
              <w:tc>
                <w:tcPr>
                  <w:tcW w:w="2291" w:type="dxa"/>
                  <w:shd w:val="clear" w:color="auto" w:fill="auto"/>
                  <w:vAlign w:val="center"/>
                </w:tcPr>
                <w:p w14:paraId="46687611">
                  <w:pPr>
                    <w:spacing w:line="240" w:lineRule="auto"/>
                    <w:ind w:firstLine="0" w:firstLineChars="0"/>
                    <w:jc w:val="center"/>
                    <w:rPr>
                      <w:color w:val="000000"/>
                      <w:sz w:val="21"/>
                      <w:szCs w:val="21"/>
                    </w:rPr>
                  </w:pPr>
                  <w:r>
                    <w:rPr>
                      <w:color w:val="000000"/>
                      <w:sz w:val="21"/>
                      <w:szCs w:val="21"/>
                    </w:rPr>
                    <w:t>SY-HF20</w:t>
                  </w:r>
                </w:p>
              </w:tc>
              <w:tc>
                <w:tcPr>
                  <w:tcW w:w="1440" w:type="dxa"/>
                  <w:shd w:val="clear" w:color="auto" w:fill="auto"/>
                  <w:vAlign w:val="center"/>
                </w:tcPr>
                <w:p w14:paraId="4D3A89DE">
                  <w:pPr>
                    <w:spacing w:line="240" w:lineRule="auto"/>
                    <w:ind w:firstLine="0" w:firstLineChars="0"/>
                    <w:jc w:val="center"/>
                    <w:rPr>
                      <w:color w:val="000000"/>
                      <w:sz w:val="21"/>
                      <w:szCs w:val="21"/>
                    </w:rPr>
                  </w:pPr>
                  <w:r>
                    <w:rPr>
                      <w:rFonts w:hint="eastAsia"/>
                      <w:color w:val="000000"/>
                      <w:sz w:val="21"/>
                      <w:szCs w:val="21"/>
                    </w:rPr>
                    <w:t>8</w:t>
                  </w:r>
                </w:p>
              </w:tc>
              <w:tc>
                <w:tcPr>
                  <w:tcW w:w="1635" w:type="dxa"/>
                  <w:shd w:val="clear" w:color="auto" w:fill="auto"/>
                  <w:vAlign w:val="center"/>
                </w:tcPr>
                <w:p w14:paraId="0214D5A2">
                  <w:pPr>
                    <w:adjustRightInd w:val="0"/>
                    <w:snapToGrid w:val="0"/>
                    <w:spacing w:line="240" w:lineRule="auto"/>
                    <w:ind w:firstLine="0" w:firstLineChars="0"/>
                    <w:jc w:val="center"/>
                    <w:rPr>
                      <w:sz w:val="21"/>
                      <w:szCs w:val="21"/>
                    </w:rPr>
                  </w:pPr>
                  <w:r>
                    <w:rPr>
                      <w:rFonts w:hint="eastAsia"/>
                      <w:sz w:val="21"/>
                      <w:szCs w:val="21"/>
                    </w:rPr>
                    <w:t>包装工序</w:t>
                  </w:r>
                </w:p>
              </w:tc>
            </w:tr>
            <w:tr w14:paraId="06A6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18DD9E94">
                  <w:pPr>
                    <w:adjustRightInd w:val="0"/>
                    <w:snapToGrid w:val="0"/>
                    <w:spacing w:line="240" w:lineRule="auto"/>
                    <w:ind w:firstLine="0" w:firstLineChars="0"/>
                    <w:jc w:val="center"/>
                    <w:rPr>
                      <w:sz w:val="21"/>
                      <w:szCs w:val="21"/>
                    </w:rPr>
                  </w:pPr>
                  <w:r>
                    <w:rPr>
                      <w:rFonts w:hint="eastAsia"/>
                      <w:sz w:val="21"/>
                      <w:szCs w:val="21"/>
                    </w:rPr>
                    <w:t>12</w:t>
                  </w:r>
                </w:p>
              </w:tc>
              <w:tc>
                <w:tcPr>
                  <w:tcW w:w="2068" w:type="dxa"/>
                  <w:shd w:val="clear" w:color="auto" w:fill="auto"/>
                  <w:vAlign w:val="center"/>
                </w:tcPr>
                <w:p w14:paraId="68B74C91">
                  <w:pPr>
                    <w:adjustRightInd w:val="0"/>
                    <w:spacing w:line="240" w:lineRule="auto"/>
                    <w:ind w:firstLine="0" w:firstLineChars="0"/>
                    <w:jc w:val="center"/>
                    <w:rPr>
                      <w:color w:val="000000"/>
                      <w:sz w:val="21"/>
                      <w:szCs w:val="21"/>
                    </w:rPr>
                  </w:pPr>
                  <w:r>
                    <w:rPr>
                      <w:color w:val="000000"/>
                      <w:sz w:val="21"/>
                      <w:szCs w:val="21"/>
                    </w:rPr>
                    <w:t>打卷机</w:t>
                  </w:r>
                </w:p>
              </w:tc>
              <w:tc>
                <w:tcPr>
                  <w:tcW w:w="2291" w:type="dxa"/>
                  <w:shd w:val="clear" w:color="auto" w:fill="auto"/>
                  <w:vAlign w:val="center"/>
                </w:tcPr>
                <w:p w14:paraId="05713927">
                  <w:pPr>
                    <w:spacing w:line="240" w:lineRule="auto"/>
                    <w:ind w:firstLine="0" w:firstLineChars="0"/>
                    <w:jc w:val="center"/>
                    <w:rPr>
                      <w:color w:val="000000"/>
                      <w:sz w:val="21"/>
                      <w:szCs w:val="21"/>
                    </w:rPr>
                  </w:pPr>
                  <w:r>
                    <w:rPr>
                      <w:rFonts w:hint="eastAsia"/>
                      <w:color w:val="000000"/>
                      <w:sz w:val="21"/>
                      <w:szCs w:val="21"/>
                    </w:rPr>
                    <w:t>/</w:t>
                  </w:r>
                </w:p>
              </w:tc>
              <w:tc>
                <w:tcPr>
                  <w:tcW w:w="1440" w:type="dxa"/>
                  <w:shd w:val="clear" w:color="auto" w:fill="auto"/>
                  <w:vAlign w:val="center"/>
                </w:tcPr>
                <w:p w14:paraId="5D6A7F11">
                  <w:pPr>
                    <w:spacing w:line="240" w:lineRule="auto"/>
                    <w:ind w:firstLine="0" w:firstLineChars="0"/>
                    <w:jc w:val="center"/>
                    <w:rPr>
                      <w:color w:val="000000"/>
                      <w:sz w:val="21"/>
                      <w:szCs w:val="21"/>
                    </w:rPr>
                  </w:pPr>
                  <w:r>
                    <w:rPr>
                      <w:rFonts w:hint="eastAsia"/>
                      <w:color w:val="000000"/>
                      <w:sz w:val="21"/>
                      <w:szCs w:val="21"/>
                    </w:rPr>
                    <w:t>2</w:t>
                  </w:r>
                </w:p>
              </w:tc>
              <w:tc>
                <w:tcPr>
                  <w:tcW w:w="1635" w:type="dxa"/>
                  <w:shd w:val="clear" w:color="auto" w:fill="auto"/>
                  <w:vAlign w:val="center"/>
                </w:tcPr>
                <w:p w14:paraId="4E00AD7F">
                  <w:pPr>
                    <w:adjustRightInd w:val="0"/>
                    <w:snapToGrid w:val="0"/>
                    <w:spacing w:line="240" w:lineRule="auto"/>
                    <w:ind w:firstLine="0" w:firstLineChars="0"/>
                    <w:jc w:val="center"/>
                    <w:rPr>
                      <w:sz w:val="21"/>
                      <w:szCs w:val="21"/>
                    </w:rPr>
                  </w:pPr>
                  <w:r>
                    <w:rPr>
                      <w:rFonts w:hint="eastAsia"/>
                      <w:sz w:val="21"/>
                      <w:szCs w:val="21"/>
                    </w:rPr>
                    <w:t>包装工序</w:t>
                  </w:r>
                </w:p>
              </w:tc>
            </w:tr>
            <w:tr w14:paraId="281C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48" w:type="dxa"/>
                  <w:shd w:val="clear" w:color="auto" w:fill="auto"/>
                  <w:vAlign w:val="center"/>
                </w:tcPr>
                <w:p w14:paraId="2E1AD4DC">
                  <w:pPr>
                    <w:adjustRightInd w:val="0"/>
                    <w:snapToGrid w:val="0"/>
                    <w:spacing w:line="240" w:lineRule="auto"/>
                    <w:ind w:firstLine="0" w:firstLineChars="0"/>
                    <w:jc w:val="center"/>
                    <w:rPr>
                      <w:sz w:val="21"/>
                      <w:szCs w:val="21"/>
                    </w:rPr>
                  </w:pPr>
                  <w:r>
                    <w:rPr>
                      <w:rFonts w:hint="eastAsia"/>
                      <w:sz w:val="21"/>
                      <w:szCs w:val="21"/>
                    </w:rPr>
                    <w:t>13</w:t>
                  </w:r>
                </w:p>
              </w:tc>
              <w:tc>
                <w:tcPr>
                  <w:tcW w:w="2068" w:type="dxa"/>
                  <w:shd w:val="clear" w:color="auto" w:fill="auto"/>
                  <w:vAlign w:val="center"/>
                </w:tcPr>
                <w:p w14:paraId="3C77A454">
                  <w:pPr>
                    <w:spacing w:line="240" w:lineRule="auto"/>
                    <w:ind w:firstLine="0" w:firstLineChars="0"/>
                    <w:jc w:val="center"/>
                    <w:rPr>
                      <w:color w:val="000000"/>
                      <w:sz w:val="21"/>
                      <w:szCs w:val="21"/>
                    </w:rPr>
                  </w:pPr>
                  <w:r>
                    <w:rPr>
                      <w:color w:val="000000"/>
                      <w:sz w:val="21"/>
                      <w:szCs w:val="21"/>
                    </w:rPr>
                    <w:t>超级打标机</w:t>
                  </w:r>
                </w:p>
              </w:tc>
              <w:tc>
                <w:tcPr>
                  <w:tcW w:w="2291" w:type="dxa"/>
                  <w:shd w:val="clear" w:color="auto" w:fill="auto"/>
                  <w:vAlign w:val="center"/>
                </w:tcPr>
                <w:p w14:paraId="20EAE658">
                  <w:pPr>
                    <w:spacing w:line="240" w:lineRule="auto"/>
                    <w:ind w:firstLine="0" w:firstLineChars="0"/>
                    <w:jc w:val="center"/>
                    <w:rPr>
                      <w:color w:val="000000"/>
                      <w:sz w:val="21"/>
                      <w:szCs w:val="21"/>
                    </w:rPr>
                  </w:pPr>
                  <w:r>
                    <w:rPr>
                      <w:color w:val="000000"/>
                      <w:sz w:val="21"/>
                      <w:szCs w:val="21"/>
                    </w:rPr>
                    <w:t>CK-super350</w:t>
                  </w:r>
                </w:p>
              </w:tc>
              <w:tc>
                <w:tcPr>
                  <w:tcW w:w="1440" w:type="dxa"/>
                  <w:shd w:val="clear" w:color="auto" w:fill="auto"/>
                  <w:vAlign w:val="center"/>
                </w:tcPr>
                <w:p w14:paraId="6824940D">
                  <w:pPr>
                    <w:spacing w:line="240" w:lineRule="auto"/>
                    <w:ind w:firstLine="0" w:firstLineChars="0"/>
                    <w:jc w:val="center"/>
                    <w:rPr>
                      <w:color w:val="000000"/>
                      <w:sz w:val="21"/>
                      <w:szCs w:val="21"/>
                    </w:rPr>
                  </w:pPr>
                  <w:r>
                    <w:rPr>
                      <w:rFonts w:hint="eastAsia"/>
                      <w:color w:val="000000"/>
                      <w:sz w:val="21"/>
                      <w:szCs w:val="21"/>
                    </w:rPr>
                    <w:t>3</w:t>
                  </w:r>
                </w:p>
              </w:tc>
              <w:tc>
                <w:tcPr>
                  <w:tcW w:w="1635" w:type="dxa"/>
                  <w:vAlign w:val="center"/>
                </w:tcPr>
                <w:p w14:paraId="53724513">
                  <w:pPr>
                    <w:adjustRightInd w:val="0"/>
                    <w:snapToGrid w:val="0"/>
                    <w:spacing w:line="240" w:lineRule="auto"/>
                    <w:ind w:firstLine="0" w:firstLineChars="0"/>
                    <w:jc w:val="center"/>
                    <w:rPr>
                      <w:sz w:val="21"/>
                      <w:szCs w:val="21"/>
                    </w:rPr>
                  </w:pPr>
                  <w:r>
                    <w:rPr>
                      <w:rFonts w:hint="eastAsia"/>
                      <w:sz w:val="21"/>
                      <w:szCs w:val="21"/>
                    </w:rPr>
                    <w:t>包装工序</w:t>
                  </w:r>
                </w:p>
              </w:tc>
            </w:tr>
          </w:tbl>
          <w:p w14:paraId="6F56F9F1">
            <w:pPr>
              <w:spacing w:line="520" w:lineRule="exact"/>
              <w:ind w:firstLine="482"/>
              <w:rPr>
                <w:b/>
              </w:rPr>
            </w:pPr>
            <w:r>
              <w:rPr>
                <w:rFonts w:hint="eastAsia"/>
                <w:b/>
              </w:rPr>
              <w:t>6</w:t>
            </w:r>
            <w:r>
              <w:rPr>
                <w:b/>
              </w:rPr>
              <w:t>、主要原辅材料及能源消耗情况</w:t>
            </w:r>
          </w:p>
          <w:p w14:paraId="2AEE9601">
            <w:pPr>
              <w:pStyle w:val="7"/>
              <w:keepNext/>
              <w:spacing w:line="520" w:lineRule="exact"/>
              <w:ind w:firstLine="960" w:firstLineChars="400"/>
              <w:jc w:val="both"/>
              <w:rPr>
                <w:szCs w:val="24"/>
              </w:rPr>
            </w:pPr>
            <w:r>
              <w:rPr>
                <w:szCs w:val="24"/>
              </w:rPr>
              <w:t>表2-</w:t>
            </w:r>
            <w:r>
              <w:rPr>
                <w:rFonts w:hint="eastAsia"/>
                <w:szCs w:val="24"/>
              </w:rPr>
              <w:t>5</w:t>
            </w:r>
            <w:r>
              <w:rPr>
                <w:szCs w:val="24"/>
              </w:rPr>
              <w:t xml:space="preserve">          项目原辅材料及能源消耗情况一览表</w:t>
            </w:r>
          </w:p>
          <w:tbl>
            <w:tblPr>
              <w:tblStyle w:val="26"/>
              <w:tblW w:w="8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952"/>
              <w:gridCol w:w="1305"/>
              <w:gridCol w:w="4054"/>
            </w:tblGrid>
            <w:tr w14:paraId="3E70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7AF5C029">
                  <w:pPr>
                    <w:adjustRightInd w:val="0"/>
                    <w:snapToGrid w:val="0"/>
                    <w:spacing w:line="240" w:lineRule="auto"/>
                    <w:ind w:firstLine="0" w:firstLineChars="0"/>
                    <w:jc w:val="center"/>
                    <w:rPr>
                      <w:b/>
                      <w:bCs/>
                      <w:snapToGrid w:val="0"/>
                      <w:kern w:val="0"/>
                      <w:sz w:val="21"/>
                      <w:szCs w:val="21"/>
                    </w:rPr>
                  </w:pPr>
                  <w:r>
                    <w:rPr>
                      <w:b/>
                      <w:bCs/>
                      <w:snapToGrid w:val="0"/>
                      <w:kern w:val="0"/>
                      <w:sz w:val="21"/>
                      <w:szCs w:val="21"/>
                    </w:rPr>
                    <w:t>序号</w:t>
                  </w:r>
                </w:p>
              </w:tc>
              <w:tc>
                <w:tcPr>
                  <w:tcW w:w="1952" w:type="dxa"/>
                  <w:tcBorders>
                    <w:tl2br w:val="nil"/>
                    <w:tr2bl w:val="nil"/>
                  </w:tcBorders>
                  <w:vAlign w:val="center"/>
                </w:tcPr>
                <w:p w14:paraId="220AEC1D">
                  <w:pPr>
                    <w:adjustRightInd w:val="0"/>
                    <w:snapToGrid w:val="0"/>
                    <w:spacing w:line="240" w:lineRule="auto"/>
                    <w:ind w:firstLine="0" w:firstLineChars="0"/>
                    <w:jc w:val="center"/>
                    <w:rPr>
                      <w:b/>
                      <w:bCs/>
                      <w:snapToGrid w:val="0"/>
                      <w:kern w:val="0"/>
                      <w:sz w:val="21"/>
                      <w:szCs w:val="21"/>
                    </w:rPr>
                  </w:pPr>
                  <w:r>
                    <w:rPr>
                      <w:b/>
                      <w:bCs/>
                      <w:snapToGrid w:val="0"/>
                      <w:kern w:val="0"/>
                      <w:sz w:val="21"/>
                      <w:szCs w:val="21"/>
                    </w:rPr>
                    <w:t>物料名称</w:t>
                  </w:r>
                </w:p>
              </w:tc>
              <w:tc>
                <w:tcPr>
                  <w:tcW w:w="1305" w:type="dxa"/>
                  <w:tcBorders>
                    <w:tl2br w:val="nil"/>
                    <w:tr2bl w:val="nil"/>
                  </w:tcBorders>
                  <w:vAlign w:val="center"/>
                </w:tcPr>
                <w:p w14:paraId="1200E2CD">
                  <w:pPr>
                    <w:adjustRightInd w:val="0"/>
                    <w:snapToGrid w:val="0"/>
                    <w:spacing w:line="240" w:lineRule="auto"/>
                    <w:ind w:firstLine="0" w:firstLineChars="0"/>
                    <w:jc w:val="center"/>
                    <w:rPr>
                      <w:b/>
                      <w:bCs/>
                      <w:snapToGrid w:val="0"/>
                      <w:kern w:val="0"/>
                      <w:sz w:val="21"/>
                      <w:szCs w:val="21"/>
                    </w:rPr>
                  </w:pPr>
                  <w:r>
                    <w:rPr>
                      <w:b/>
                      <w:bCs/>
                      <w:snapToGrid w:val="0"/>
                      <w:kern w:val="0"/>
                      <w:sz w:val="21"/>
                      <w:szCs w:val="21"/>
                    </w:rPr>
                    <w:t>年使用量</w:t>
                  </w:r>
                </w:p>
              </w:tc>
              <w:tc>
                <w:tcPr>
                  <w:tcW w:w="4054" w:type="dxa"/>
                  <w:tcBorders>
                    <w:tl2br w:val="nil"/>
                    <w:tr2bl w:val="nil"/>
                  </w:tcBorders>
                  <w:vAlign w:val="center"/>
                </w:tcPr>
                <w:p w14:paraId="6B166957">
                  <w:pPr>
                    <w:adjustRightInd w:val="0"/>
                    <w:snapToGrid w:val="0"/>
                    <w:spacing w:line="240" w:lineRule="auto"/>
                    <w:ind w:firstLine="0" w:firstLineChars="0"/>
                    <w:jc w:val="center"/>
                    <w:rPr>
                      <w:b/>
                      <w:bCs/>
                      <w:snapToGrid w:val="0"/>
                      <w:kern w:val="0"/>
                      <w:sz w:val="21"/>
                      <w:szCs w:val="21"/>
                    </w:rPr>
                  </w:pPr>
                  <w:r>
                    <w:rPr>
                      <w:b/>
                      <w:bCs/>
                      <w:snapToGrid w:val="0"/>
                      <w:kern w:val="0"/>
                      <w:sz w:val="21"/>
                      <w:szCs w:val="21"/>
                    </w:rPr>
                    <w:t>备注</w:t>
                  </w:r>
                </w:p>
              </w:tc>
            </w:tr>
            <w:tr w14:paraId="78AE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01" w:type="dxa"/>
                  <w:gridSpan w:val="4"/>
                  <w:tcBorders>
                    <w:tl2br w:val="nil"/>
                    <w:tr2bl w:val="nil"/>
                  </w:tcBorders>
                  <w:vAlign w:val="center"/>
                </w:tcPr>
                <w:p w14:paraId="45703953">
                  <w:pPr>
                    <w:adjustRightInd w:val="0"/>
                    <w:snapToGrid w:val="0"/>
                    <w:spacing w:line="240" w:lineRule="auto"/>
                    <w:ind w:firstLine="0" w:firstLineChars="0"/>
                    <w:jc w:val="center"/>
                    <w:rPr>
                      <w:b/>
                      <w:bCs/>
                      <w:snapToGrid w:val="0"/>
                      <w:kern w:val="0"/>
                      <w:sz w:val="21"/>
                      <w:szCs w:val="21"/>
                    </w:rPr>
                  </w:pPr>
                  <w:r>
                    <w:rPr>
                      <w:b/>
                      <w:bCs/>
                      <w:snapToGrid w:val="0"/>
                      <w:kern w:val="0"/>
                      <w:sz w:val="21"/>
                      <w:szCs w:val="21"/>
                    </w:rPr>
                    <w:t>原辅材料</w:t>
                  </w:r>
                </w:p>
              </w:tc>
            </w:tr>
            <w:tr w14:paraId="4188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089C808E">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vAlign w:val="center"/>
                </w:tcPr>
                <w:p w14:paraId="0FF2DCBB">
                  <w:pPr>
                    <w:spacing w:line="240" w:lineRule="auto"/>
                    <w:ind w:firstLine="0" w:firstLineChars="0"/>
                    <w:rPr>
                      <w:sz w:val="21"/>
                      <w:szCs w:val="21"/>
                    </w:rPr>
                  </w:pPr>
                  <w:r>
                    <w:rPr>
                      <w:rFonts w:hint="eastAsia"/>
                      <w:sz w:val="21"/>
                      <w:szCs w:val="21"/>
                    </w:rPr>
                    <w:t>棉布服装半成品</w:t>
                  </w:r>
                </w:p>
              </w:tc>
              <w:tc>
                <w:tcPr>
                  <w:tcW w:w="1305" w:type="dxa"/>
                  <w:tcBorders>
                    <w:tl2br w:val="nil"/>
                    <w:tr2bl w:val="nil"/>
                  </w:tcBorders>
                  <w:vAlign w:val="center"/>
                </w:tcPr>
                <w:p w14:paraId="4980A2BB">
                  <w:pPr>
                    <w:spacing w:line="240" w:lineRule="auto"/>
                    <w:ind w:firstLine="0" w:firstLineChars="0"/>
                    <w:jc w:val="center"/>
                    <w:rPr>
                      <w:sz w:val="21"/>
                      <w:szCs w:val="21"/>
                    </w:rPr>
                  </w:pPr>
                  <w:r>
                    <w:rPr>
                      <w:rFonts w:hint="eastAsia"/>
                      <w:sz w:val="21"/>
                      <w:szCs w:val="21"/>
                    </w:rPr>
                    <w:t>10万m</w:t>
                  </w:r>
                  <w:r>
                    <w:rPr>
                      <w:rFonts w:hint="eastAsia"/>
                      <w:sz w:val="21"/>
                      <w:szCs w:val="21"/>
                      <w:vertAlign w:val="superscript"/>
                    </w:rPr>
                    <w:t>2</w:t>
                  </w:r>
                  <w:r>
                    <w:rPr>
                      <w:rFonts w:hint="eastAsia"/>
                      <w:sz w:val="21"/>
                      <w:szCs w:val="21"/>
                    </w:rPr>
                    <w:t>/a</w:t>
                  </w:r>
                </w:p>
              </w:tc>
              <w:tc>
                <w:tcPr>
                  <w:tcW w:w="4054" w:type="dxa"/>
                  <w:tcBorders>
                    <w:tl2br w:val="nil"/>
                    <w:tr2bl w:val="nil"/>
                  </w:tcBorders>
                  <w:vAlign w:val="center"/>
                </w:tcPr>
                <w:p w14:paraId="621B189F">
                  <w:pPr>
                    <w:spacing w:line="240" w:lineRule="auto"/>
                    <w:ind w:firstLine="0" w:firstLineChars="0"/>
                    <w:jc w:val="center"/>
                    <w:rPr>
                      <w:sz w:val="21"/>
                      <w:szCs w:val="21"/>
                    </w:rPr>
                  </w:pPr>
                  <w:r>
                    <w:rPr>
                      <w:rFonts w:hint="eastAsia"/>
                      <w:sz w:val="21"/>
                      <w:szCs w:val="21"/>
                    </w:rPr>
                    <w:t>商家供应</w:t>
                  </w:r>
                </w:p>
              </w:tc>
            </w:tr>
            <w:tr w14:paraId="140A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0BE6FE20">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vAlign w:val="center"/>
                </w:tcPr>
                <w:p w14:paraId="726913A9">
                  <w:pPr>
                    <w:spacing w:line="240" w:lineRule="auto"/>
                    <w:ind w:firstLine="0" w:firstLineChars="0"/>
                    <w:jc w:val="center"/>
                    <w:rPr>
                      <w:sz w:val="21"/>
                      <w:szCs w:val="21"/>
                    </w:rPr>
                  </w:pPr>
                  <w:r>
                    <w:rPr>
                      <w:sz w:val="21"/>
                      <w:szCs w:val="21"/>
                    </w:rPr>
                    <w:t>化学纤维复合布</w:t>
                  </w:r>
                  <w:r>
                    <w:rPr>
                      <w:rFonts w:hint="eastAsia"/>
                      <w:sz w:val="21"/>
                      <w:szCs w:val="21"/>
                    </w:rPr>
                    <w:t>半成品</w:t>
                  </w:r>
                </w:p>
              </w:tc>
              <w:tc>
                <w:tcPr>
                  <w:tcW w:w="1305" w:type="dxa"/>
                  <w:tcBorders>
                    <w:tl2br w:val="nil"/>
                    <w:tr2bl w:val="nil"/>
                  </w:tcBorders>
                  <w:vAlign w:val="center"/>
                </w:tcPr>
                <w:p w14:paraId="050D159D">
                  <w:pPr>
                    <w:spacing w:line="240" w:lineRule="auto"/>
                    <w:ind w:firstLine="0" w:firstLineChars="0"/>
                    <w:jc w:val="center"/>
                    <w:rPr>
                      <w:sz w:val="21"/>
                      <w:szCs w:val="21"/>
                    </w:rPr>
                  </w:pPr>
                  <w:r>
                    <w:rPr>
                      <w:rFonts w:hint="eastAsia"/>
                      <w:sz w:val="21"/>
                      <w:szCs w:val="21"/>
                    </w:rPr>
                    <w:t>400万m</w:t>
                  </w:r>
                  <w:r>
                    <w:rPr>
                      <w:rFonts w:hint="eastAsia"/>
                      <w:sz w:val="21"/>
                      <w:szCs w:val="21"/>
                      <w:vertAlign w:val="superscript"/>
                    </w:rPr>
                    <w:t>2</w:t>
                  </w:r>
                  <w:r>
                    <w:rPr>
                      <w:rFonts w:hint="eastAsia"/>
                      <w:sz w:val="21"/>
                      <w:szCs w:val="21"/>
                    </w:rPr>
                    <w:t>/a</w:t>
                  </w:r>
                </w:p>
              </w:tc>
              <w:tc>
                <w:tcPr>
                  <w:tcW w:w="4054" w:type="dxa"/>
                  <w:tcBorders>
                    <w:tl2br w:val="nil"/>
                    <w:tr2bl w:val="nil"/>
                  </w:tcBorders>
                  <w:vAlign w:val="center"/>
                </w:tcPr>
                <w:p w14:paraId="78E87274">
                  <w:pPr>
                    <w:spacing w:line="240" w:lineRule="auto"/>
                    <w:ind w:firstLine="0" w:firstLineChars="0"/>
                    <w:jc w:val="left"/>
                    <w:rPr>
                      <w:sz w:val="21"/>
                      <w:szCs w:val="21"/>
                    </w:rPr>
                  </w:pPr>
                  <w:r>
                    <w:rPr>
                      <w:rFonts w:hint="eastAsia"/>
                      <w:sz w:val="21"/>
                      <w:szCs w:val="21"/>
                    </w:rPr>
                    <w:t>商家供应，主要为涤纶、氨纶、锦纶、丙纶。</w:t>
                  </w:r>
                </w:p>
              </w:tc>
            </w:tr>
            <w:tr w14:paraId="326B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4ED40E67">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1EAEC5C7">
                  <w:pPr>
                    <w:spacing w:line="240" w:lineRule="auto"/>
                    <w:ind w:firstLine="0" w:firstLineChars="0"/>
                    <w:jc w:val="center"/>
                    <w:rPr>
                      <w:color w:val="000000" w:themeColor="text1"/>
                      <w:sz w:val="21"/>
                      <w:szCs w:val="21"/>
                      <w:highlight w:val="cyan"/>
                      <w14:textFill>
                        <w14:solidFill>
                          <w14:schemeClr w14:val="tx1"/>
                        </w14:solidFill>
                      </w14:textFill>
                    </w:rPr>
                  </w:pPr>
                  <w:r>
                    <w:rPr>
                      <w:rFonts w:hint="eastAsia"/>
                      <w:color w:val="000000" w:themeColor="text1"/>
                      <w:sz w:val="21"/>
                      <w:szCs w:val="21"/>
                      <w14:textFill>
                        <w14:solidFill>
                          <w14:schemeClr w14:val="tx1"/>
                        </w14:solidFill>
                      </w14:textFill>
                    </w:rPr>
                    <w:t>水性丙烯酸</w:t>
                  </w:r>
                  <w:r>
                    <w:rPr>
                      <w:color w:val="000000" w:themeColor="text1"/>
                      <w:sz w:val="21"/>
                      <w:szCs w:val="21"/>
                      <w14:textFill>
                        <w14:solidFill>
                          <w14:schemeClr w14:val="tx1"/>
                        </w14:solidFill>
                      </w14:textFill>
                    </w:rPr>
                    <w:t>胶浆</w:t>
                  </w:r>
                </w:p>
              </w:tc>
              <w:tc>
                <w:tcPr>
                  <w:tcW w:w="1305" w:type="dxa"/>
                  <w:tcBorders>
                    <w:tl2br w:val="nil"/>
                    <w:tr2bl w:val="nil"/>
                  </w:tcBorders>
                  <w:shd w:val="clear" w:color="auto" w:fill="auto"/>
                  <w:vAlign w:val="center"/>
                </w:tcPr>
                <w:p w14:paraId="1EBA961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5t/a</w:t>
                  </w:r>
                </w:p>
              </w:tc>
              <w:tc>
                <w:tcPr>
                  <w:tcW w:w="4054" w:type="dxa"/>
                  <w:tcBorders>
                    <w:tl2br w:val="nil"/>
                    <w:tr2bl w:val="nil"/>
                  </w:tcBorders>
                  <w:shd w:val="clear" w:color="auto" w:fill="auto"/>
                  <w:vAlign w:val="center"/>
                </w:tcPr>
                <w:p w14:paraId="7DB3B569">
                  <w:pPr>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外购，</w:t>
                  </w:r>
                  <w:r>
                    <w:rPr>
                      <w:color w:val="000000" w:themeColor="text1"/>
                      <w:sz w:val="21"/>
                      <w:szCs w:val="21"/>
                      <w14:textFill>
                        <w14:solidFill>
                          <w14:schemeClr w14:val="tx1"/>
                        </w14:solidFill>
                      </w14:textFill>
                    </w:rPr>
                    <w:t>5KG桶装/液体</w:t>
                  </w:r>
                  <w:r>
                    <w:rPr>
                      <w:rFonts w:hint="eastAsia"/>
                      <w:color w:val="000000" w:themeColor="text1"/>
                      <w:sz w:val="21"/>
                      <w:szCs w:val="21"/>
                      <w14:textFill>
                        <w14:solidFill>
                          <w14:schemeClr w14:val="tx1"/>
                        </w14:solidFill>
                      </w14:textFill>
                    </w:rPr>
                    <w:t>，存储于负压原料库。主要成分为丙烯酸酯类、水、钛白粉、增稠剂等，</w:t>
                  </w:r>
                  <w:r>
                    <w:rPr>
                      <w:rFonts w:hint="eastAsia"/>
                      <w:color w:val="000000" w:themeColor="text1"/>
                      <w:sz w:val="21"/>
                      <w:szCs w:val="21"/>
                      <w:lang w:eastAsia="zh-CN"/>
                      <w14:textFill>
                        <w14:solidFill>
                          <w14:schemeClr w14:val="tx1"/>
                        </w14:solidFill>
                      </w14:textFill>
                    </w:rPr>
                    <w:t>密度为</w:t>
                  </w:r>
                  <w:r>
                    <w:rPr>
                      <w:rFonts w:hint="eastAsia"/>
                      <w:color w:val="000000" w:themeColor="text1"/>
                      <w:sz w:val="21"/>
                      <w:szCs w:val="21"/>
                      <w:lang w:val="en-US" w:eastAsia="zh-CN"/>
                      <w14:textFill>
                        <w14:solidFill>
                          <w14:schemeClr w14:val="tx1"/>
                        </w14:solidFill>
                      </w14:textFill>
                    </w:rPr>
                    <w:t>1.0g/cm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vertAlign w:val="baseline"/>
                      <w:lang w:val="en-US" w:eastAsia="zh-CN"/>
                      <w14:textFill>
                        <w14:solidFill>
                          <w14:schemeClr w14:val="tx1"/>
                        </w14:solidFill>
                      </w14:textFill>
                    </w:rPr>
                    <w:t>，</w:t>
                  </w:r>
                  <w:r>
                    <w:rPr>
                      <w:rFonts w:hint="eastAsia"/>
                      <w:color w:val="000000" w:themeColor="text1"/>
                      <w:sz w:val="21"/>
                      <w:szCs w:val="21"/>
                      <w14:textFill>
                        <w14:solidFill>
                          <w14:schemeClr w14:val="tx1"/>
                        </w14:solidFill>
                      </w14:textFill>
                    </w:rPr>
                    <w:t>项目使用时，无需调配。根据产品抽样检测报告，此产品挥发性有机物含量为7</w:t>
                  </w:r>
                  <w:r>
                    <w:rPr>
                      <w:rFonts w:hint="eastAsia"/>
                      <w:color w:val="000000" w:themeColor="text1"/>
                      <w:sz w:val="21"/>
                      <w:szCs w:val="21"/>
                      <w:lang w:eastAsia="zh-CN"/>
                      <w14:textFill>
                        <w14:solidFill>
                          <w14:schemeClr w14:val="tx1"/>
                        </w14:solidFill>
                      </w14:textFill>
                    </w:rPr>
                    <w:t>g/L</w:t>
                  </w:r>
                  <w:r>
                    <w:rPr>
                      <w:rFonts w:hint="eastAsia"/>
                      <w:color w:val="000000" w:themeColor="text1"/>
                      <w:sz w:val="21"/>
                      <w:szCs w:val="21"/>
                      <w14:textFill>
                        <w14:solidFill>
                          <w14:schemeClr w14:val="tx1"/>
                        </w14:solidFill>
                      </w14:textFill>
                    </w:rPr>
                    <w:t>，符合《胶粘剂挥发性有机化合物限值》（GB 33372-2020）表2水基型胶粘剂—丙烯酸酯类—其他，挥发性有机化合物（VOCS）限值为50</w:t>
                  </w:r>
                  <w:r>
                    <w:rPr>
                      <w:rFonts w:hint="eastAsia"/>
                      <w:color w:val="000000" w:themeColor="text1"/>
                      <w:sz w:val="21"/>
                      <w:szCs w:val="21"/>
                      <w:lang w:eastAsia="zh-CN"/>
                      <w14:textFill>
                        <w14:solidFill>
                          <w14:schemeClr w14:val="tx1"/>
                        </w14:solidFill>
                      </w14:textFill>
                    </w:rPr>
                    <w:t>g/L</w:t>
                  </w:r>
                  <w:r>
                    <w:rPr>
                      <w:rFonts w:hint="eastAsia"/>
                      <w:color w:val="000000" w:themeColor="text1"/>
                      <w:sz w:val="21"/>
                      <w:szCs w:val="21"/>
                      <w14:textFill>
                        <w14:solidFill>
                          <w14:schemeClr w14:val="tx1"/>
                        </w14:solidFill>
                      </w14:textFill>
                    </w:rPr>
                    <w:t>。</w:t>
                  </w:r>
                </w:p>
              </w:tc>
            </w:tr>
            <w:tr w14:paraId="6E2E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4CFA3D13">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3554A900">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水性丙烯酸</w:t>
                  </w:r>
                  <w:r>
                    <w:rPr>
                      <w:color w:val="000000" w:themeColor="text1"/>
                      <w:sz w:val="21"/>
                      <w:szCs w:val="21"/>
                      <w14:textFill>
                        <w14:solidFill>
                          <w14:schemeClr w14:val="tx1"/>
                        </w14:solidFill>
                      </w14:textFill>
                    </w:rPr>
                    <w:t>油墨</w:t>
                  </w:r>
                </w:p>
              </w:tc>
              <w:tc>
                <w:tcPr>
                  <w:tcW w:w="1305" w:type="dxa"/>
                  <w:tcBorders>
                    <w:tl2br w:val="nil"/>
                    <w:tr2bl w:val="nil"/>
                  </w:tcBorders>
                  <w:shd w:val="clear" w:color="auto" w:fill="auto"/>
                  <w:vAlign w:val="center"/>
                </w:tcPr>
                <w:p w14:paraId="0719E01E">
                  <w:pPr>
                    <w:spacing w:line="240" w:lineRule="auto"/>
                    <w:ind w:firstLine="0" w:firstLineChars="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r>
                    <w:rPr>
                      <w:rFonts w:hint="eastAsia"/>
                      <w:color w:val="000000" w:themeColor="text1"/>
                      <w:sz w:val="21"/>
                      <w:szCs w:val="21"/>
                      <w14:textFill>
                        <w14:solidFill>
                          <w14:schemeClr w14:val="tx1"/>
                        </w14:solidFill>
                      </w14:textFill>
                    </w:rPr>
                    <w:t>t/a</w:t>
                  </w:r>
                </w:p>
              </w:tc>
              <w:tc>
                <w:tcPr>
                  <w:tcW w:w="4054" w:type="dxa"/>
                  <w:tcBorders>
                    <w:tl2br w:val="nil"/>
                    <w:tr2bl w:val="nil"/>
                  </w:tcBorders>
                  <w:shd w:val="clear" w:color="auto" w:fill="auto"/>
                  <w:vAlign w:val="center"/>
                </w:tcPr>
                <w:p w14:paraId="0919DEF1">
                  <w:pPr>
                    <w:spacing w:line="240" w:lineRule="auto"/>
                    <w:ind w:firstLine="0" w:firstLineChars="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外购，</w:t>
                  </w:r>
                  <w:r>
                    <w:rPr>
                      <w:color w:val="000000" w:themeColor="text1"/>
                      <w:sz w:val="21"/>
                      <w:szCs w:val="21"/>
                      <w14:textFill>
                        <w14:solidFill>
                          <w14:schemeClr w14:val="tx1"/>
                        </w14:solidFill>
                      </w14:textFill>
                    </w:rPr>
                    <w:t>5KG桶装/液体</w:t>
                  </w:r>
                  <w:r>
                    <w:rPr>
                      <w:rFonts w:hint="eastAsia"/>
                      <w:color w:val="000000" w:themeColor="text1"/>
                      <w:sz w:val="21"/>
                      <w:szCs w:val="21"/>
                      <w14:textFill>
                        <w14:solidFill>
                          <w14:schemeClr w14:val="tx1"/>
                        </w14:solidFill>
                      </w14:textFill>
                    </w:rPr>
                    <w:t>，存储于负压原料库，主要含有水性丙烯酸酯、水、颜料、助剂等。根据产品抽样检测报告，此产品挥发性有机物含量为13.5%，符合《油墨中可挥发性有机化合物（VOCs）含量限值》（GB38507-2020）水性油墨—喷墨油墨，挥发性有机化合物（VOCS）限值≤30%的要求。</w:t>
                  </w:r>
                </w:p>
              </w:tc>
            </w:tr>
            <w:tr w14:paraId="6EAD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257E9A71">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3F1AF463">
                  <w:pPr>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sz w:val="21"/>
                      <w:szCs w:val="21"/>
                    </w:rPr>
                    <w:t>PU膜</w:t>
                  </w:r>
                </w:p>
              </w:tc>
              <w:tc>
                <w:tcPr>
                  <w:tcW w:w="1305" w:type="dxa"/>
                  <w:tcBorders>
                    <w:tl2br w:val="nil"/>
                    <w:tr2bl w:val="nil"/>
                  </w:tcBorders>
                  <w:shd w:val="clear" w:color="auto" w:fill="auto"/>
                  <w:vAlign w:val="center"/>
                </w:tcPr>
                <w:p w14:paraId="0E5B7A87">
                  <w:pPr>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150卷/a</w:t>
                  </w:r>
                </w:p>
              </w:tc>
              <w:tc>
                <w:tcPr>
                  <w:tcW w:w="4054" w:type="dxa"/>
                  <w:tcBorders>
                    <w:tl2br w:val="nil"/>
                    <w:tr2bl w:val="nil"/>
                  </w:tcBorders>
                  <w:shd w:val="clear" w:color="auto" w:fill="auto"/>
                  <w:vAlign w:val="center"/>
                </w:tcPr>
                <w:p w14:paraId="540BBAD6">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聚氨酯薄膜</w:t>
                  </w:r>
                  <w:r>
                    <w:rPr>
                      <w:rFonts w:hint="eastAsia"/>
                      <w:sz w:val="21"/>
                      <w:szCs w:val="21"/>
                    </w:rPr>
                    <w:t>，</w:t>
                  </w:r>
                  <w:r>
                    <w:rPr>
                      <w:sz w:val="21"/>
                      <w:szCs w:val="21"/>
                    </w:rPr>
                    <w:t>1.5米*100米/卷</w:t>
                  </w:r>
                </w:p>
              </w:tc>
            </w:tr>
            <w:tr w14:paraId="1980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0BE1C291">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43704F00">
                  <w:pPr>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刻字膜</w:t>
                  </w:r>
                </w:p>
              </w:tc>
              <w:tc>
                <w:tcPr>
                  <w:tcW w:w="1305" w:type="dxa"/>
                  <w:tcBorders>
                    <w:tl2br w:val="nil"/>
                    <w:tr2bl w:val="nil"/>
                  </w:tcBorders>
                  <w:shd w:val="clear" w:color="auto" w:fill="auto"/>
                  <w:vAlign w:val="center"/>
                </w:tcPr>
                <w:p w14:paraId="610B9D46">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2万</w:t>
                  </w:r>
                  <w:r>
                    <w:rPr>
                      <w:sz w:val="21"/>
                      <w:szCs w:val="21"/>
                    </w:rPr>
                    <w:t>卷/a</w:t>
                  </w:r>
                </w:p>
              </w:tc>
              <w:tc>
                <w:tcPr>
                  <w:tcW w:w="4054" w:type="dxa"/>
                  <w:tcBorders>
                    <w:tl2br w:val="nil"/>
                    <w:tr2bl w:val="nil"/>
                  </w:tcBorders>
                  <w:shd w:val="clear" w:color="auto" w:fill="auto"/>
                  <w:vAlign w:val="center"/>
                </w:tcPr>
                <w:p w14:paraId="7D39E6AE">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50</w:t>
                  </w:r>
                  <w:r>
                    <w:rPr>
                      <w:rFonts w:hint="eastAsia"/>
                      <w:sz w:val="21"/>
                      <w:szCs w:val="21"/>
                    </w:rPr>
                    <w:t>cm</w:t>
                  </w:r>
                  <w:r>
                    <w:rPr>
                      <w:rFonts w:ascii="Arial" w:hAnsi="Arial" w:cs="Arial"/>
                      <w:sz w:val="21"/>
                      <w:szCs w:val="21"/>
                    </w:rPr>
                    <w:t>×</w:t>
                  </w:r>
                  <w:r>
                    <w:rPr>
                      <w:sz w:val="21"/>
                      <w:szCs w:val="21"/>
                    </w:rPr>
                    <w:t>50</w:t>
                  </w:r>
                  <w:r>
                    <w:rPr>
                      <w:rFonts w:hint="eastAsia"/>
                      <w:sz w:val="21"/>
                      <w:szCs w:val="21"/>
                    </w:rPr>
                    <w:t>m</w:t>
                  </w:r>
                  <w:r>
                    <w:rPr>
                      <w:sz w:val="21"/>
                      <w:szCs w:val="21"/>
                    </w:rPr>
                    <w:t>/卷</w:t>
                  </w:r>
                  <w:r>
                    <w:rPr>
                      <w:rFonts w:hint="eastAsia"/>
                      <w:sz w:val="21"/>
                      <w:szCs w:val="21"/>
                    </w:rPr>
                    <w:t>，PU、TPU材质</w:t>
                  </w:r>
                </w:p>
              </w:tc>
            </w:tr>
            <w:tr w14:paraId="273D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47BDE5C1">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4C95AD52">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压条</w:t>
                  </w:r>
                </w:p>
              </w:tc>
              <w:tc>
                <w:tcPr>
                  <w:tcW w:w="1305" w:type="dxa"/>
                  <w:tcBorders>
                    <w:tl2br w:val="nil"/>
                    <w:tr2bl w:val="nil"/>
                  </w:tcBorders>
                  <w:shd w:val="clear" w:color="auto" w:fill="auto"/>
                  <w:vAlign w:val="center"/>
                </w:tcPr>
                <w:p w14:paraId="00B880E8">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2万</w:t>
                  </w:r>
                  <w:r>
                    <w:rPr>
                      <w:sz w:val="21"/>
                      <w:szCs w:val="21"/>
                    </w:rPr>
                    <w:t>卷/a</w:t>
                  </w:r>
                </w:p>
              </w:tc>
              <w:tc>
                <w:tcPr>
                  <w:tcW w:w="4054" w:type="dxa"/>
                  <w:tcBorders>
                    <w:tl2br w:val="nil"/>
                    <w:tr2bl w:val="nil"/>
                  </w:tcBorders>
                  <w:shd w:val="clear" w:color="auto" w:fill="auto"/>
                  <w:vAlign w:val="center"/>
                </w:tcPr>
                <w:p w14:paraId="72E38752">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437C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13DF8B76">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6B5F90FF">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绣花丝</w:t>
                  </w:r>
                </w:p>
              </w:tc>
              <w:tc>
                <w:tcPr>
                  <w:tcW w:w="1305" w:type="dxa"/>
                  <w:tcBorders>
                    <w:tl2br w:val="nil"/>
                    <w:tr2bl w:val="nil"/>
                  </w:tcBorders>
                  <w:shd w:val="clear" w:color="auto" w:fill="auto"/>
                  <w:vAlign w:val="center"/>
                </w:tcPr>
                <w:p w14:paraId="6BDCF08E">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2万</w:t>
                  </w:r>
                  <w:r>
                    <w:rPr>
                      <w:sz w:val="21"/>
                      <w:szCs w:val="21"/>
                    </w:rPr>
                    <w:t>卷/a</w:t>
                  </w:r>
                </w:p>
              </w:tc>
              <w:tc>
                <w:tcPr>
                  <w:tcW w:w="4054" w:type="dxa"/>
                  <w:tcBorders>
                    <w:tl2br w:val="nil"/>
                    <w:tr2bl w:val="nil"/>
                  </w:tcBorders>
                  <w:shd w:val="clear" w:color="auto" w:fill="auto"/>
                  <w:vAlign w:val="center"/>
                </w:tcPr>
                <w:p w14:paraId="0E95BBF1">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4B84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31C342AF">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44AF6656">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魔术贴</w:t>
                  </w:r>
                </w:p>
              </w:tc>
              <w:tc>
                <w:tcPr>
                  <w:tcW w:w="1305" w:type="dxa"/>
                  <w:tcBorders>
                    <w:tl2br w:val="nil"/>
                    <w:tr2bl w:val="nil"/>
                  </w:tcBorders>
                  <w:shd w:val="clear" w:color="auto" w:fill="auto"/>
                  <w:vAlign w:val="center"/>
                </w:tcPr>
                <w:p w14:paraId="51512570">
                  <w:pPr>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0.1</w:t>
                  </w:r>
                  <w:r>
                    <w:rPr>
                      <w:rFonts w:hint="eastAsia"/>
                      <w:sz w:val="21"/>
                      <w:szCs w:val="21"/>
                    </w:rPr>
                    <w:t>万</w:t>
                  </w:r>
                  <w:r>
                    <w:rPr>
                      <w:sz w:val="21"/>
                      <w:szCs w:val="21"/>
                    </w:rPr>
                    <w:t>卷/a</w:t>
                  </w:r>
                </w:p>
              </w:tc>
              <w:tc>
                <w:tcPr>
                  <w:tcW w:w="4054" w:type="dxa"/>
                  <w:tcBorders>
                    <w:tl2br w:val="nil"/>
                    <w:tr2bl w:val="nil"/>
                  </w:tcBorders>
                  <w:shd w:val="clear" w:color="auto" w:fill="auto"/>
                  <w:vAlign w:val="center"/>
                </w:tcPr>
                <w:p w14:paraId="57720C05">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63DC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4322A013">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45997C01">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离型纸</w:t>
                  </w:r>
                </w:p>
              </w:tc>
              <w:tc>
                <w:tcPr>
                  <w:tcW w:w="1305" w:type="dxa"/>
                  <w:tcBorders>
                    <w:tl2br w:val="nil"/>
                    <w:tr2bl w:val="nil"/>
                  </w:tcBorders>
                  <w:shd w:val="clear" w:color="auto" w:fill="auto"/>
                  <w:vAlign w:val="center"/>
                </w:tcPr>
                <w:p w14:paraId="623E9EAA">
                  <w:pPr>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0.1</w:t>
                  </w:r>
                  <w:r>
                    <w:rPr>
                      <w:rFonts w:hint="eastAsia"/>
                      <w:sz w:val="21"/>
                      <w:szCs w:val="21"/>
                    </w:rPr>
                    <w:t>万</w:t>
                  </w:r>
                  <w:r>
                    <w:rPr>
                      <w:sz w:val="21"/>
                      <w:szCs w:val="21"/>
                    </w:rPr>
                    <w:t>卷/a</w:t>
                  </w:r>
                </w:p>
              </w:tc>
              <w:tc>
                <w:tcPr>
                  <w:tcW w:w="4054" w:type="dxa"/>
                  <w:tcBorders>
                    <w:tl2br w:val="nil"/>
                    <w:tr2bl w:val="nil"/>
                  </w:tcBorders>
                  <w:shd w:val="clear" w:color="auto" w:fill="auto"/>
                  <w:vAlign w:val="center"/>
                </w:tcPr>
                <w:p w14:paraId="3E6F5C48">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776F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22DDA224">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3A2368DF">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胶条</w:t>
                  </w:r>
                </w:p>
              </w:tc>
              <w:tc>
                <w:tcPr>
                  <w:tcW w:w="1305" w:type="dxa"/>
                  <w:tcBorders>
                    <w:tl2br w:val="nil"/>
                    <w:tr2bl w:val="nil"/>
                  </w:tcBorders>
                  <w:shd w:val="clear" w:color="auto" w:fill="auto"/>
                  <w:vAlign w:val="center"/>
                </w:tcPr>
                <w:p w14:paraId="157FEF62">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2万</w:t>
                  </w:r>
                  <w:r>
                    <w:rPr>
                      <w:sz w:val="21"/>
                      <w:szCs w:val="21"/>
                    </w:rPr>
                    <w:t>卷/a</w:t>
                  </w:r>
                </w:p>
              </w:tc>
              <w:tc>
                <w:tcPr>
                  <w:tcW w:w="4054" w:type="dxa"/>
                  <w:tcBorders>
                    <w:tl2br w:val="nil"/>
                    <w:tr2bl w:val="nil"/>
                  </w:tcBorders>
                  <w:shd w:val="clear" w:color="auto" w:fill="auto"/>
                  <w:vAlign w:val="center"/>
                </w:tcPr>
                <w:p w14:paraId="3C239C6E">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4CB4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4E279DE0">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193FD28F">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拉链</w:t>
                  </w:r>
                </w:p>
              </w:tc>
              <w:tc>
                <w:tcPr>
                  <w:tcW w:w="1305" w:type="dxa"/>
                  <w:tcBorders>
                    <w:tl2br w:val="nil"/>
                    <w:tr2bl w:val="nil"/>
                  </w:tcBorders>
                  <w:shd w:val="clear" w:color="auto" w:fill="auto"/>
                  <w:vAlign w:val="center"/>
                </w:tcPr>
                <w:p w14:paraId="3ED8E3D3">
                  <w:pPr>
                    <w:spacing w:line="240" w:lineRule="auto"/>
                    <w:ind w:firstLine="0" w:firstLineChars="0"/>
                    <w:jc w:val="center"/>
                    <w:rPr>
                      <w:rFonts w:ascii="Times New Roman" w:hAnsi="Times New Roman" w:eastAsia="宋体" w:cs="Times New Roman"/>
                      <w:kern w:val="2"/>
                      <w:sz w:val="21"/>
                      <w:szCs w:val="21"/>
                      <w:lang w:val="en-US" w:eastAsia="zh-CN" w:bidi="ar-SA"/>
                    </w:rPr>
                  </w:pPr>
                  <w:r>
                    <w:rPr>
                      <w:rFonts w:hint="eastAsia"/>
                      <w:sz w:val="21"/>
                      <w:szCs w:val="21"/>
                    </w:rPr>
                    <w:t>20万件</w:t>
                  </w:r>
                </w:p>
              </w:tc>
              <w:tc>
                <w:tcPr>
                  <w:tcW w:w="4054" w:type="dxa"/>
                  <w:tcBorders>
                    <w:tl2br w:val="nil"/>
                    <w:tr2bl w:val="nil"/>
                  </w:tcBorders>
                  <w:shd w:val="clear" w:color="auto" w:fill="auto"/>
                  <w:vAlign w:val="center"/>
                </w:tcPr>
                <w:p w14:paraId="3C19ADEB">
                  <w:pPr>
                    <w:tabs>
                      <w:tab w:val="left" w:pos="2940"/>
                    </w:tabs>
                    <w:spacing w:line="240" w:lineRule="auto"/>
                    <w:ind w:firstLine="0" w:firstLineChars="0"/>
                    <w:jc w:val="center"/>
                    <w:rPr>
                      <w:rFonts w:ascii="Times New Roman" w:hAnsi="Times New Roman" w:eastAsia="宋体" w:cs="Times New Roman"/>
                      <w:kern w:val="2"/>
                      <w:sz w:val="21"/>
                      <w:szCs w:val="21"/>
                      <w:lang w:val="en-US" w:eastAsia="zh-CN" w:bidi="ar-SA"/>
                    </w:rPr>
                  </w:pPr>
                  <w:r>
                    <w:rPr>
                      <w:sz w:val="21"/>
                      <w:szCs w:val="21"/>
                    </w:rPr>
                    <w:t>200m/卷</w:t>
                  </w:r>
                </w:p>
              </w:tc>
            </w:tr>
            <w:tr w14:paraId="691E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01" w:type="dxa"/>
                  <w:gridSpan w:val="4"/>
                  <w:tcBorders>
                    <w:tl2br w:val="nil"/>
                    <w:tr2bl w:val="nil"/>
                  </w:tcBorders>
                  <w:vAlign w:val="center"/>
                </w:tcPr>
                <w:p w14:paraId="1E80EDE8">
                  <w:pPr>
                    <w:tabs>
                      <w:tab w:val="left" w:pos="2940"/>
                    </w:tabs>
                    <w:spacing w:line="240" w:lineRule="auto"/>
                    <w:ind w:firstLine="0" w:firstLineChars="0"/>
                    <w:jc w:val="center"/>
                    <w:rPr>
                      <w:rFonts w:hint="eastAsia" w:eastAsia="宋体"/>
                      <w:sz w:val="21"/>
                      <w:szCs w:val="21"/>
                      <w:lang w:eastAsia="zh-CN"/>
                    </w:rPr>
                  </w:pPr>
                  <w:r>
                    <w:rPr>
                      <w:rFonts w:hint="eastAsia"/>
                      <w:b/>
                      <w:bCs/>
                      <w:sz w:val="21"/>
                      <w:szCs w:val="21"/>
                      <w:lang w:eastAsia="zh-CN"/>
                    </w:rPr>
                    <w:t>能源</w:t>
                  </w:r>
                </w:p>
              </w:tc>
            </w:tr>
            <w:tr w14:paraId="237A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03E76A03">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0154CAC2">
                  <w:pPr>
                    <w:adjustRightInd w:val="0"/>
                    <w:snapToGrid w:val="0"/>
                    <w:spacing w:line="240" w:lineRule="auto"/>
                    <w:ind w:firstLine="0" w:firstLineChars="0"/>
                    <w:jc w:val="center"/>
                    <w:rPr>
                      <w:rFonts w:ascii="Times New Roman" w:hAnsi="Times New Roman" w:eastAsia="宋体" w:cs="Times New Roman"/>
                      <w:snapToGrid w:val="0"/>
                      <w:kern w:val="0"/>
                      <w:sz w:val="21"/>
                      <w:szCs w:val="21"/>
                      <w:lang w:val="en-US" w:eastAsia="zh-CN" w:bidi="ar-SA"/>
                    </w:rPr>
                  </w:pPr>
                  <w:r>
                    <w:rPr>
                      <w:rFonts w:hint="eastAsia"/>
                      <w:snapToGrid w:val="0"/>
                      <w:kern w:val="0"/>
                      <w:sz w:val="21"/>
                      <w:szCs w:val="21"/>
                    </w:rPr>
                    <w:t>水</w:t>
                  </w:r>
                </w:p>
              </w:tc>
              <w:tc>
                <w:tcPr>
                  <w:tcW w:w="1305" w:type="dxa"/>
                  <w:tcBorders>
                    <w:tl2br w:val="nil"/>
                    <w:tr2bl w:val="nil"/>
                  </w:tcBorders>
                  <w:shd w:val="clear" w:color="auto" w:fill="auto"/>
                  <w:vAlign w:val="center"/>
                </w:tcPr>
                <w:p w14:paraId="402CB6D0">
                  <w:pPr>
                    <w:spacing w:line="240" w:lineRule="auto"/>
                    <w:ind w:firstLine="0" w:firstLineChars="0"/>
                    <w:jc w:val="center"/>
                    <w:rPr>
                      <w:rFonts w:ascii="Times New Roman" w:hAnsi="Times New Roman" w:eastAsia="宋体" w:cs="Times New Roman"/>
                      <w:snapToGrid w:val="0"/>
                      <w:kern w:val="0"/>
                      <w:sz w:val="21"/>
                      <w:szCs w:val="21"/>
                      <w:lang w:val="en-US" w:eastAsia="zh-CN" w:bidi="ar-SA"/>
                    </w:rPr>
                  </w:pPr>
                  <w:r>
                    <w:rPr>
                      <w:sz w:val="21"/>
                      <w:szCs w:val="21"/>
                    </w:rPr>
                    <w:t>450</w:t>
                  </w:r>
                  <w:r>
                    <w:rPr>
                      <w:rFonts w:hint="eastAsia"/>
                      <w:sz w:val="21"/>
                      <w:szCs w:val="21"/>
                    </w:rPr>
                    <w:t>m</w:t>
                  </w:r>
                  <w:r>
                    <w:rPr>
                      <w:rFonts w:hint="eastAsia"/>
                      <w:sz w:val="21"/>
                      <w:szCs w:val="21"/>
                      <w:vertAlign w:val="superscript"/>
                    </w:rPr>
                    <w:t>3</w:t>
                  </w:r>
                  <w:r>
                    <w:rPr>
                      <w:rFonts w:hint="eastAsia"/>
                      <w:sz w:val="21"/>
                      <w:szCs w:val="21"/>
                    </w:rPr>
                    <w:t>/a</w:t>
                  </w:r>
                </w:p>
              </w:tc>
              <w:tc>
                <w:tcPr>
                  <w:tcW w:w="4054" w:type="dxa"/>
                  <w:tcBorders>
                    <w:tl2br w:val="nil"/>
                    <w:tr2bl w:val="nil"/>
                  </w:tcBorders>
                  <w:shd w:val="clear" w:color="auto" w:fill="auto"/>
                  <w:vAlign w:val="center"/>
                </w:tcPr>
                <w:p w14:paraId="02A781E0">
                  <w:pPr>
                    <w:spacing w:line="240" w:lineRule="auto"/>
                    <w:ind w:firstLine="0" w:firstLineChars="0"/>
                    <w:jc w:val="center"/>
                    <w:rPr>
                      <w:rFonts w:ascii="Times New Roman" w:hAnsi="Times New Roman" w:eastAsia="宋体" w:cs="Times New Roman"/>
                      <w:color w:val="000000"/>
                      <w:kern w:val="2"/>
                      <w:sz w:val="21"/>
                      <w:szCs w:val="21"/>
                      <w:lang w:val="en-US" w:eastAsia="zh-CN" w:bidi="ar-SA"/>
                    </w:rPr>
                  </w:pPr>
                  <w:r>
                    <w:rPr>
                      <w:bCs/>
                      <w:sz w:val="21"/>
                      <w:szCs w:val="21"/>
                    </w:rPr>
                    <w:t>市政供水</w:t>
                  </w:r>
                </w:p>
              </w:tc>
            </w:tr>
            <w:tr w14:paraId="470E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r2bl w:val="nil"/>
                  </w:tcBorders>
                  <w:vAlign w:val="center"/>
                </w:tcPr>
                <w:p w14:paraId="1E8A3ABD">
                  <w:pPr>
                    <w:numPr>
                      <w:ilvl w:val="0"/>
                      <w:numId w:val="7"/>
                    </w:numPr>
                    <w:adjustRightInd w:val="0"/>
                    <w:snapToGrid w:val="0"/>
                    <w:spacing w:line="240" w:lineRule="auto"/>
                    <w:ind w:firstLine="0" w:firstLineChars="0"/>
                    <w:jc w:val="center"/>
                    <w:rPr>
                      <w:snapToGrid w:val="0"/>
                      <w:kern w:val="0"/>
                      <w:sz w:val="21"/>
                      <w:szCs w:val="21"/>
                    </w:rPr>
                  </w:pPr>
                </w:p>
              </w:tc>
              <w:tc>
                <w:tcPr>
                  <w:tcW w:w="1952" w:type="dxa"/>
                  <w:tcBorders>
                    <w:tl2br w:val="nil"/>
                    <w:tr2bl w:val="nil"/>
                  </w:tcBorders>
                  <w:shd w:val="clear" w:color="auto" w:fill="auto"/>
                  <w:vAlign w:val="center"/>
                </w:tcPr>
                <w:p w14:paraId="041B7BE9">
                  <w:pPr>
                    <w:adjustRightInd w:val="0"/>
                    <w:snapToGrid w:val="0"/>
                    <w:spacing w:line="240" w:lineRule="auto"/>
                    <w:ind w:firstLine="0" w:firstLineChars="0"/>
                    <w:jc w:val="center"/>
                    <w:rPr>
                      <w:rFonts w:ascii="Times New Roman" w:hAnsi="Times New Roman" w:eastAsia="宋体" w:cs="Times New Roman"/>
                      <w:snapToGrid w:val="0"/>
                      <w:kern w:val="0"/>
                      <w:sz w:val="21"/>
                      <w:szCs w:val="21"/>
                      <w:lang w:val="en-US" w:eastAsia="zh-CN" w:bidi="ar-SA"/>
                    </w:rPr>
                  </w:pPr>
                  <w:r>
                    <w:rPr>
                      <w:rFonts w:hint="eastAsia"/>
                      <w:snapToGrid w:val="0"/>
                      <w:kern w:val="0"/>
                      <w:sz w:val="21"/>
                      <w:szCs w:val="21"/>
                    </w:rPr>
                    <w:t>电</w:t>
                  </w:r>
                </w:p>
              </w:tc>
              <w:tc>
                <w:tcPr>
                  <w:tcW w:w="1305" w:type="dxa"/>
                  <w:tcBorders>
                    <w:tl2br w:val="nil"/>
                    <w:tr2bl w:val="nil"/>
                  </w:tcBorders>
                  <w:shd w:val="clear" w:color="auto" w:fill="auto"/>
                  <w:vAlign w:val="center"/>
                </w:tcPr>
                <w:p w14:paraId="74AA792D">
                  <w:pPr>
                    <w:adjustRightInd w:val="0"/>
                    <w:snapToGrid w:val="0"/>
                    <w:spacing w:line="240" w:lineRule="auto"/>
                    <w:ind w:firstLine="0" w:firstLineChars="0"/>
                    <w:jc w:val="center"/>
                    <w:rPr>
                      <w:rFonts w:ascii="Times New Roman" w:hAnsi="Times New Roman" w:eastAsia="宋体" w:cs="Times New Roman"/>
                      <w:snapToGrid w:val="0"/>
                      <w:kern w:val="0"/>
                      <w:sz w:val="21"/>
                      <w:szCs w:val="21"/>
                      <w:lang w:val="en-US" w:eastAsia="zh-CN" w:bidi="ar-SA"/>
                    </w:rPr>
                  </w:pPr>
                  <w:r>
                    <w:rPr>
                      <w:snapToGrid w:val="0"/>
                      <w:kern w:val="0"/>
                      <w:sz w:val="21"/>
                      <w:szCs w:val="21"/>
                    </w:rPr>
                    <w:t>200</w:t>
                  </w:r>
                  <w:r>
                    <w:rPr>
                      <w:rFonts w:hint="eastAsia"/>
                      <w:snapToGrid w:val="0"/>
                      <w:kern w:val="0"/>
                      <w:sz w:val="21"/>
                      <w:szCs w:val="21"/>
                    </w:rPr>
                    <w:t>万</w:t>
                  </w:r>
                  <w:r>
                    <w:rPr>
                      <w:rFonts w:hint="eastAsia"/>
                      <w:sz w:val="21"/>
                      <w:szCs w:val="21"/>
                    </w:rPr>
                    <w:t>kW</w:t>
                  </w:r>
                  <w:r>
                    <w:rPr>
                      <w:sz w:val="21"/>
                      <w:szCs w:val="21"/>
                    </w:rPr>
                    <w:t>·h</w:t>
                  </w:r>
                  <w:r>
                    <w:rPr>
                      <w:rFonts w:hint="eastAsia"/>
                      <w:sz w:val="21"/>
                      <w:szCs w:val="21"/>
                    </w:rPr>
                    <w:t>/a</w:t>
                  </w:r>
                </w:p>
              </w:tc>
              <w:tc>
                <w:tcPr>
                  <w:tcW w:w="4054" w:type="dxa"/>
                  <w:tcBorders>
                    <w:tl2br w:val="nil"/>
                    <w:tr2bl w:val="nil"/>
                  </w:tcBorders>
                  <w:shd w:val="clear" w:color="auto" w:fill="auto"/>
                  <w:vAlign w:val="center"/>
                </w:tcPr>
                <w:p w14:paraId="5409368E">
                  <w:pPr>
                    <w:snapToGrid w:val="0"/>
                    <w:spacing w:line="240" w:lineRule="auto"/>
                    <w:ind w:firstLine="0" w:firstLineChars="0"/>
                    <w:jc w:val="center"/>
                    <w:rPr>
                      <w:rFonts w:ascii="Times New Roman" w:hAnsi="Times New Roman" w:eastAsia="宋体" w:cs="Times New Roman"/>
                      <w:color w:val="000000"/>
                      <w:kern w:val="2"/>
                      <w:sz w:val="21"/>
                      <w:szCs w:val="21"/>
                      <w:lang w:val="en-US" w:eastAsia="zh-CN" w:bidi="ar-SA"/>
                    </w:rPr>
                  </w:pPr>
                  <w:r>
                    <w:rPr>
                      <w:rFonts w:hint="eastAsia"/>
                      <w:color w:val="000000"/>
                      <w:sz w:val="21"/>
                      <w:szCs w:val="21"/>
                    </w:rPr>
                    <w:t>市政供电所供电</w:t>
                  </w:r>
                </w:p>
              </w:tc>
            </w:tr>
          </w:tbl>
          <w:p w14:paraId="08E5F90B">
            <w:pPr>
              <w:adjustRightInd w:val="0"/>
              <w:snapToGrid w:val="0"/>
              <w:spacing w:line="520" w:lineRule="exact"/>
              <w:ind w:firstLine="482"/>
              <w:rPr>
                <w:b/>
                <w:color w:val="000000"/>
                <w:szCs w:val="22"/>
              </w:rPr>
            </w:pPr>
            <w:r>
              <w:rPr>
                <w:b/>
                <w:color w:val="000000"/>
                <w:szCs w:val="22"/>
              </w:rPr>
              <w:t>7、</w:t>
            </w:r>
            <w:r>
              <w:rPr>
                <w:rFonts w:hint="eastAsia"/>
                <w:b/>
                <w:color w:val="000000"/>
                <w:szCs w:val="22"/>
              </w:rPr>
              <w:t>公用工程</w:t>
            </w:r>
          </w:p>
          <w:p w14:paraId="13ABCDF5">
            <w:pPr>
              <w:adjustRightInd w:val="0"/>
              <w:snapToGrid w:val="0"/>
              <w:spacing w:line="520" w:lineRule="exact"/>
              <w:ind w:firstLine="480"/>
              <w:rPr>
                <w:bCs/>
                <w:color w:val="000000"/>
                <w:shd w:val="clear" w:color="auto" w:fill="FFFFFF"/>
              </w:rPr>
            </w:pPr>
            <w:r>
              <w:rPr>
                <w:bCs/>
                <w:color w:val="000000"/>
                <w:shd w:val="clear" w:color="auto" w:fill="FFFFFF"/>
              </w:rPr>
              <w:t>（1）</w:t>
            </w:r>
            <w:r>
              <w:rPr>
                <w:rFonts w:hint="eastAsia"/>
                <w:bCs/>
                <w:color w:val="000000"/>
                <w:shd w:val="clear" w:color="auto" w:fill="FFFFFF"/>
              </w:rPr>
              <w:t>供电</w:t>
            </w:r>
          </w:p>
          <w:p w14:paraId="73E6F28A">
            <w:pPr>
              <w:adjustRightInd w:val="0"/>
              <w:snapToGrid w:val="0"/>
              <w:spacing w:line="520" w:lineRule="exact"/>
              <w:ind w:firstLine="480"/>
              <w:rPr>
                <w:bCs/>
                <w:color w:val="000000"/>
                <w:shd w:val="clear" w:color="auto" w:fill="FFFFFF"/>
              </w:rPr>
            </w:pPr>
            <w:r>
              <w:rPr>
                <w:rFonts w:hint="eastAsia"/>
                <w:bCs/>
                <w:color w:val="000000"/>
                <w:shd w:val="clear" w:color="auto" w:fill="FFFFFF"/>
              </w:rPr>
              <w:t>本项目年用电量为</w:t>
            </w:r>
            <w:r>
              <w:rPr>
                <w:bCs/>
                <w:color w:val="000000"/>
                <w:shd w:val="clear" w:color="auto" w:fill="FFFFFF"/>
              </w:rPr>
              <w:t>200</w:t>
            </w:r>
            <w:r>
              <w:rPr>
                <w:rFonts w:hint="eastAsia"/>
                <w:bCs/>
                <w:color w:val="000000"/>
                <w:shd w:val="clear" w:color="auto" w:fill="FFFFFF"/>
              </w:rPr>
              <w:t>万k</w:t>
            </w:r>
            <w:r>
              <w:rPr>
                <w:bCs/>
                <w:color w:val="000000"/>
                <w:shd w:val="clear" w:color="auto" w:fill="FFFFFF"/>
              </w:rPr>
              <w:t>W·h</w:t>
            </w:r>
            <w:r>
              <w:rPr>
                <w:rFonts w:hint="eastAsia"/>
                <w:bCs/>
                <w:color w:val="000000"/>
                <w:shd w:val="clear" w:color="auto" w:fill="FFFFFF"/>
              </w:rPr>
              <w:t>，项目用电由市政供电电网统一供给，可以满足项目生产需求。</w:t>
            </w:r>
          </w:p>
          <w:p w14:paraId="5A990EBE">
            <w:pPr>
              <w:adjustRightInd w:val="0"/>
              <w:snapToGrid w:val="0"/>
              <w:spacing w:line="520" w:lineRule="exact"/>
              <w:ind w:firstLine="480"/>
              <w:rPr>
                <w:bCs/>
                <w:color w:val="000000"/>
                <w:shd w:val="clear" w:color="auto" w:fill="FFFFFF"/>
              </w:rPr>
            </w:pPr>
            <w:r>
              <w:rPr>
                <w:rFonts w:hint="eastAsia"/>
                <w:bCs/>
                <w:color w:val="000000"/>
                <w:shd w:val="clear" w:color="auto" w:fill="FFFFFF"/>
              </w:rPr>
              <w:t>（2）供</w:t>
            </w:r>
            <w:r>
              <w:rPr>
                <w:bCs/>
                <w:color w:val="000000"/>
                <w:shd w:val="clear" w:color="auto" w:fill="FFFFFF"/>
              </w:rPr>
              <w:t>水</w:t>
            </w:r>
          </w:p>
          <w:p w14:paraId="58DB993C">
            <w:pPr>
              <w:adjustRightInd w:val="0"/>
              <w:snapToGrid w:val="0"/>
              <w:spacing w:line="520" w:lineRule="exact"/>
              <w:ind w:firstLine="480"/>
              <w:rPr>
                <w:rFonts w:hint="default" w:ascii="Times New Roman" w:hAnsi="Times New Roman" w:eastAsia="宋体" w:cs="Times New Roman"/>
              </w:rPr>
            </w:pPr>
            <w:r>
              <w:rPr>
                <w:rFonts w:hint="default" w:ascii="Times New Roman" w:hAnsi="Times New Roman" w:eastAsia="宋体" w:cs="Times New Roman"/>
              </w:rPr>
              <w:t>本项目用水为职工生活用水。</w:t>
            </w:r>
          </w:p>
          <w:p w14:paraId="21E90FF5">
            <w:pPr>
              <w:adjustRightInd w:val="0"/>
              <w:snapToGrid w:val="0"/>
              <w:spacing w:line="520" w:lineRule="exact"/>
              <w:ind w:firstLine="480"/>
              <w:rPr>
                <w:rFonts w:hint="default" w:ascii="Times New Roman" w:hAnsi="Times New Roman" w:eastAsia="宋体" w:cs="Times New Roman"/>
              </w:rPr>
            </w:pPr>
            <w:r>
              <w:rPr>
                <w:rFonts w:hint="default" w:ascii="Times New Roman" w:hAnsi="Times New Roman" w:eastAsia="宋体" w:cs="Times New Roman"/>
              </w:rPr>
              <w:t>本项目职工定员50</w:t>
            </w:r>
            <w:r>
              <w:rPr>
                <w:rFonts w:hint="default" w:ascii="Times New Roman" w:hAnsi="Times New Roman" w:eastAsia="宋体" w:cs="Times New Roman"/>
                <w:color w:val="000000"/>
              </w:rPr>
              <w:t>人，两班生产，年工作300天，均不在厂内食宿，</w:t>
            </w:r>
            <w:r>
              <w:rPr>
                <w:rFonts w:hint="default" w:ascii="Times New Roman" w:hAnsi="Times New Roman" w:eastAsia="宋体" w:cs="Times New Roman"/>
              </w:rPr>
              <w:t>人员用水以30L/人·d</w:t>
            </w:r>
            <w:r>
              <w:rPr>
                <w:rFonts w:hint="default" w:ascii="Times New Roman" w:hAnsi="Times New Roman" w:eastAsia="宋体" w:cs="Times New Roman"/>
                <w:spacing w:val="-6"/>
              </w:rPr>
              <w:t xml:space="preserve"> </w:t>
            </w:r>
            <w:r>
              <w:rPr>
                <w:rFonts w:hint="default" w:ascii="Times New Roman" w:hAnsi="Times New Roman" w:eastAsia="宋体" w:cs="Times New Roman"/>
              </w:rPr>
              <w:t>计，则生活用水量为450m</w:t>
            </w:r>
            <w:r>
              <w:rPr>
                <w:rFonts w:hint="default" w:ascii="Times New Roman" w:hAnsi="Times New Roman" w:eastAsia="宋体" w:cs="Times New Roman"/>
                <w:vertAlign w:val="superscript"/>
              </w:rPr>
              <w:t>3</w:t>
            </w:r>
            <w:r>
              <w:rPr>
                <w:rFonts w:hint="default" w:ascii="Times New Roman" w:hAnsi="Times New Roman" w:eastAsia="宋体" w:cs="Times New Roman"/>
              </w:rPr>
              <w:t>/a（1.5m</w:t>
            </w:r>
            <w:r>
              <w:rPr>
                <w:rFonts w:hint="default" w:ascii="Times New Roman" w:hAnsi="Times New Roman" w:eastAsia="宋体" w:cs="Times New Roman"/>
                <w:vertAlign w:val="superscript"/>
              </w:rPr>
              <w:t>3</w:t>
            </w:r>
            <w:r>
              <w:rPr>
                <w:rFonts w:hint="default" w:ascii="Times New Roman" w:hAnsi="Times New Roman" w:eastAsia="宋体" w:cs="Times New Roman"/>
              </w:rPr>
              <w:t>/d）。</w:t>
            </w:r>
          </w:p>
          <w:p w14:paraId="6AFED7CC">
            <w:pPr>
              <w:adjustRightInd w:val="0"/>
              <w:snapToGrid w:val="0"/>
              <w:spacing w:line="520" w:lineRule="exact"/>
              <w:ind w:firstLine="480"/>
              <w:rPr>
                <w:rFonts w:hint="default" w:ascii="Times New Roman" w:hAnsi="Times New Roman" w:eastAsia="宋体" w:cs="Times New Roman"/>
                <w:bCs/>
                <w:color w:val="000000"/>
                <w:shd w:val="clear" w:color="auto" w:fill="FFFFFF"/>
              </w:rPr>
            </w:pPr>
            <w:r>
              <w:rPr>
                <w:rFonts w:hint="default" w:ascii="Times New Roman" w:hAnsi="Times New Roman" w:eastAsia="宋体" w:cs="Times New Roman"/>
                <w:bCs/>
                <w:color w:val="000000"/>
                <w:shd w:val="clear" w:color="auto" w:fill="FFFFFF"/>
              </w:rPr>
              <w:t>（3）排水</w:t>
            </w:r>
          </w:p>
          <w:p w14:paraId="162AF105">
            <w:pPr>
              <w:pStyle w:val="61"/>
              <w:adjustRightInd w:val="0"/>
              <w:snapToGrid w:val="0"/>
              <w:spacing w:line="520" w:lineRule="exact"/>
              <w:ind w:firstLine="480"/>
              <w:jc w:val="both"/>
              <w:rPr>
                <w:rFonts w:hint="default" w:ascii="Times New Roman" w:hAnsi="Times New Roman" w:eastAsia="宋体" w:cs="Times New Roman"/>
                <w:bCs/>
              </w:rPr>
            </w:pPr>
            <w:r>
              <w:rPr>
                <w:rFonts w:hint="default" w:ascii="Times New Roman" w:hAnsi="Times New Roman" w:eastAsia="宋体" w:cs="Times New Roman"/>
                <w:bCs/>
              </w:rPr>
              <w:t>本项目无生产废水排放，生活污水产生系数按80%计，则生活污水排放量为</w:t>
            </w:r>
            <w:r>
              <w:rPr>
                <w:rFonts w:hint="default" w:ascii="Times New Roman" w:hAnsi="Times New Roman" w:eastAsia="宋体" w:cs="Times New Roman"/>
              </w:rPr>
              <w:t>360m</w:t>
            </w:r>
            <w:r>
              <w:rPr>
                <w:rFonts w:hint="default" w:ascii="Times New Roman" w:hAnsi="Times New Roman" w:eastAsia="宋体" w:cs="Times New Roman"/>
                <w:vertAlign w:val="superscript"/>
              </w:rPr>
              <w:t>3</w:t>
            </w:r>
            <w:r>
              <w:rPr>
                <w:rFonts w:hint="default" w:ascii="Times New Roman" w:hAnsi="Times New Roman" w:eastAsia="宋体" w:cs="Times New Roman"/>
              </w:rPr>
              <w:t>/a（1.2m</w:t>
            </w:r>
            <w:r>
              <w:rPr>
                <w:rFonts w:hint="default" w:ascii="Times New Roman" w:hAnsi="Times New Roman" w:eastAsia="宋体" w:cs="Times New Roman"/>
                <w:vertAlign w:val="superscript"/>
              </w:rPr>
              <w:t>3</w:t>
            </w:r>
            <w:r>
              <w:rPr>
                <w:rFonts w:hint="default" w:ascii="Times New Roman" w:hAnsi="Times New Roman" w:eastAsia="宋体" w:cs="Times New Roman"/>
              </w:rPr>
              <w:t>/d）</w:t>
            </w:r>
            <w:r>
              <w:rPr>
                <w:rFonts w:hint="default" w:ascii="Times New Roman" w:hAnsi="Times New Roman" w:eastAsia="宋体" w:cs="Times New Roman"/>
                <w:bCs/>
              </w:rPr>
              <w:t>，经化粪池处理后排入河南新投水务有限公司（小尚庄污水处理厂）进一步处理。不会对周边地表水造成不利影响。</w:t>
            </w:r>
          </w:p>
          <w:p w14:paraId="7C2B3325">
            <w:pPr>
              <w:pStyle w:val="61"/>
              <w:tabs>
                <w:tab w:val="left" w:pos="6595"/>
                <w:tab w:val="left" w:pos="6666"/>
              </w:tabs>
              <w:snapToGrid w:val="0"/>
              <w:spacing w:line="520" w:lineRule="exact"/>
              <w:ind w:firstLine="482"/>
              <w:jc w:val="both"/>
              <w:rPr>
                <w:rFonts w:ascii="Times New Roman" w:hAnsi="Times New Roman" w:eastAsia="宋体"/>
                <w:b/>
              </w:rPr>
            </w:pPr>
            <w:r>
              <w:rPr>
                <w:rFonts w:hint="eastAsia" w:ascii="Times New Roman" w:hAnsi="Times New Roman" w:eastAsia="宋体"/>
                <w:b/>
              </w:rPr>
              <w:t>8</w:t>
            </w:r>
            <w:r>
              <w:rPr>
                <w:rFonts w:ascii="Times New Roman" w:hAnsi="Times New Roman" w:eastAsia="宋体"/>
                <w:b/>
              </w:rPr>
              <w:t>、工作制度及劳动定员</w:t>
            </w:r>
            <w:r>
              <w:rPr>
                <w:rFonts w:hint="eastAsia" w:ascii="Times New Roman" w:hAnsi="Times New Roman" w:eastAsia="宋体"/>
                <w:b/>
              </w:rPr>
              <w:tab/>
            </w:r>
            <w:r>
              <w:rPr>
                <w:rFonts w:ascii="Times New Roman" w:hAnsi="Times New Roman" w:eastAsia="宋体"/>
                <w:b/>
              </w:rPr>
              <w:tab/>
            </w:r>
          </w:p>
          <w:p w14:paraId="4102F08D">
            <w:pPr>
              <w:snapToGrid w:val="0"/>
              <w:spacing w:line="520" w:lineRule="exact"/>
              <w:ind w:firstLine="480"/>
            </w:pPr>
            <w:r>
              <w:t>（1）工作制度</w:t>
            </w:r>
          </w:p>
          <w:p w14:paraId="1AADE06B">
            <w:pPr>
              <w:snapToGrid w:val="0"/>
              <w:spacing w:line="520" w:lineRule="exact"/>
              <w:ind w:firstLine="470" w:firstLineChars="196"/>
            </w:pPr>
            <w:r>
              <w:t>年工作日：300天/年；</w:t>
            </w:r>
          </w:p>
          <w:p w14:paraId="3D38875F">
            <w:pPr>
              <w:snapToGrid w:val="0"/>
              <w:spacing w:line="520" w:lineRule="exact"/>
              <w:ind w:firstLine="470" w:firstLineChars="196"/>
            </w:pPr>
            <w:r>
              <w:t>生产制度：生产岗位为</w:t>
            </w:r>
            <w:r>
              <w:rPr>
                <w:rFonts w:hint="eastAsia"/>
              </w:rPr>
              <w:t>两</w:t>
            </w:r>
            <w:r>
              <w:t>班制，工作时间为</w:t>
            </w:r>
            <w:r>
              <w:rPr>
                <w:rFonts w:hint="eastAsia"/>
              </w:rPr>
              <w:t>8</w:t>
            </w:r>
            <w:r>
              <w:t>小时。</w:t>
            </w:r>
          </w:p>
          <w:p w14:paraId="3DA5B161">
            <w:pPr>
              <w:snapToGrid w:val="0"/>
              <w:spacing w:line="520" w:lineRule="exact"/>
              <w:ind w:firstLine="480"/>
            </w:pPr>
            <w:r>
              <w:t>（2）劳动定员</w:t>
            </w:r>
          </w:p>
          <w:p w14:paraId="69FE1E86">
            <w:pPr>
              <w:snapToGrid w:val="0"/>
              <w:spacing w:line="520" w:lineRule="exact"/>
              <w:ind w:firstLine="480"/>
            </w:pPr>
            <w:r>
              <w:t>本项目</w:t>
            </w:r>
            <w:r>
              <w:rPr>
                <w:rFonts w:hint="eastAsia"/>
              </w:rPr>
              <w:t>职工定员</w:t>
            </w:r>
            <w:r>
              <w:t>50</w:t>
            </w:r>
            <w:r>
              <w:rPr>
                <w:rFonts w:hint="eastAsia"/>
              </w:rPr>
              <w:t>人</w:t>
            </w:r>
            <w:r>
              <w:t>，均不在厂内食宿。</w:t>
            </w:r>
          </w:p>
          <w:p w14:paraId="18CDE964">
            <w:pPr>
              <w:snapToGrid w:val="0"/>
              <w:spacing w:line="520" w:lineRule="exact"/>
              <w:ind w:firstLine="482"/>
              <w:rPr>
                <w:b/>
              </w:rPr>
            </w:pPr>
            <w:r>
              <w:rPr>
                <w:rFonts w:hint="eastAsia"/>
                <w:b/>
              </w:rPr>
              <w:t>9</w:t>
            </w:r>
            <w:r>
              <w:rPr>
                <w:b/>
              </w:rPr>
              <w:t>、项目选址及平面布置</w:t>
            </w:r>
          </w:p>
          <w:p w14:paraId="68440EF1">
            <w:pPr>
              <w:autoSpaceDE w:val="0"/>
              <w:autoSpaceDN w:val="0"/>
              <w:adjustRightInd w:val="0"/>
              <w:snapToGrid w:val="0"/>
              <w:spacing w:line="520" w:lineRule="exact"/>
              <w:ind w:firstLine="480"/>
              <w:rPr>
                <w:sz w:val="21"/>
                <w:szCs w:val="21"/>
              </w:rPr>
            </w:pPr>
            <w:r>
              <w:t>本项目位于</w:t>
            </w:r>
            <w:r>
              <w:rPr>
                <w:rFonts w:hint="eastAsia"/>
                <w:lang w:eastAsia="zh-CN"/>
              </w:rPr>
              <w:t>新乡市新能源电池专业园区标北路11号3A号厂房</w:t>
            </w:r>
            <w:r>
              <w:t>，</w:t>
            </w:r>
            <w:r>
              <w:rPr>
                <w:rFonts w:hint="eastAsia"/>
              </w:rPr>
              <w:t>租赁新乡市玉润科创产业发展有限公司</w:t>
            </w:r>
            <w:r>
              <w:t>现有</w:t>
            </w:r>
            <w:r>
              <w:rPr>
                <w:rFonts w:hint="eastAsia"/>
              </w:rPr>
              <w:t>闲置</w:t>
            </w:r>
            <w:r>
              <w:t>厂房。</w:t>
            </w:r>
            <w:r>
              <w:rPr>
                <w:rFonts w:hint="eastAsia"/>
              </w:rPr>
              <w:t>项目厂区</w:t>
            </w:r>
            <w:r>
              <w:t>四周环境为：东侧为河南优诺凯轨道交通装备有限公司</w:t>
            </w:r>
            <w:r>
              <w:rPr>
                <w:rFonts w:hint="eastAsia"/>
              </w:rPr>
              <w:t>；南侧为河南讯越设备有限公司；西侧为河南德克威机械设备有限公司；北</w:t>
            </w:r>
            <w:r>
              <w:t>侧为</w:t>
            </w:r>
            <w:r>
              <w:rPr>
                <w:rFonts w:hint="eastAsia"/>
              </w:rPr>
              <w:t>河南一冰冷链科技有限公司，</w:t>
            </w:r>
            <w:r>
              <w:t>本项目周围敏感点为：</w:t>
            </w:r>
            <w:r>
              <w:rPr>
                <w:rFonts w:hint="eastAsia"/>
              </w:rPr>
              <w:t>西北侧420m的南张门村</w:t>
            </w:r>
            <w:r>
              <w:t>（</w:t>
            </w:r>
            <w:r>
              <w:rPr>
                <w:rFonts w:hint="eastAsia"/>
              </w:rPr>
              <w:t>项目周边环境及</w:t>
            </w:r>
            <w:r>
              <w:t>敏感点分布图见附图</w:t>
            </w:r>
            <w:r>
              <w:rPr>
                <w:rFonts w:hint="eastAsia"/>
                <w:lang w:val="en-US" w:eastAsia="zh-CN"/>
              </w:rPr>
              <w:t>5</w:t>
            </w:r>
            <w:r>
              <w:t>）。</w:t>
            </w:r>
          </w:p>
        </w:tc>
      </w:tr>
      <w:tr w14:paraId="0DFC5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817" w:type="dxa"/>
            <w:vAlign w:val="center"/>
          </w:tcPr>
          <w:p w14:paraId="625E301B">
            <w:pPr>
              <w:pStyle w:val="21"/>
              <w:adjustRightInd w:val="0"/>
              <w:snapToGrid w:val="0"/>
              <w:spacing w:before="0" w:beforeAutospacing="0" w:after="0" w:afterAutospacing="0" w:line="240" w:lineRule="auto"/>
              <w:ind w:left="-120" w:leftChars="-50" w:right="-120" w:rightChars="-50" w:firstLine="0" w:firstLineChars="0"/>
              <w:jc w:val="center"/>
              <w:rPr>
                <w:rFonts w:ascii="Times New Roman" w:hAnsi="Times New Roman"/>
                <w:szCs w:val="24"/>
              </w:rPr>
            </w:pPr>
            <w:r>
              <w:rPr>
                <w:rFonts w:ascii="Times New Roman" w:hAnsi="Times New Roman"/>
                <w:b/>
                <w:bCs/>
                <w:szCs w:val="24"/>
              </w:rPr>
              <w:t>工艺流程和产排污环节</w:t>
            </w:r>
          </w:p>
        </w:tc>
        <w:tc>
          <w:tcPr>
            <w:tcW w:w="8243" w:type="dxa"/>
          </w:tcPr>
          <w:p w14:paraId="1D3B4CDB">
            <w:pPr>
              <w:adjustRightInd w:val="0"/>
              <w:snapToGrid w:val="0"/>
              <w:spacing w:line="520" w:lineRule="exact"/>
              <w:ind w:firstLine="494"/>
              <w:rPr>
                <w:b/>
                <w:bCs/>
                <w:spacing w:val="3"/>
              </w:rPr>
            </w:pPr>
            <w:r>
              <w:rPr>
                <w:b/>
                <w:bCs/>
                <w:spacing w:val="3"/>
              </w:rPr>
              <w:t>1、施工期：</w:t>
            </w:r>
          </w:p>
          <w:p w14:paraId="225330B1">
            <w:pPr>
              <w:pStyle w:val="15"/>
              <w:snapToGrid w:val="0"/>
              <w:spacing w:line="520" w:lineRule="exact"/>
              <w:ind w:firstLine="480"/>
              <w:rPr>
                <w:rFonts w:hAnsi="宋体" w:cs="宋体"/>
                <w:spacing w:val="-4"/>
                <w:sz w:val="24"/>
                <w:szCs w:val="24"/>
              </w:rPr>
            </w:pPr>
            <w:r>
              <w:rPr>
                <w:rFonts w:ascii="Times New Roman" w:hAnsi="Times New Roman"/>
                <w:sz w:val="24"/>
              </w:rPr>
              <w:t>本项目</w:t>
            </w:r>
            <w:r>
              <w:rPr>
                <w:rFonts w:hint="eastAsia" w:ascii="Times New Roman" w:hAnsi="Times New Roman"/>
                <w:sz w:val="24"/>
              </w:rPr>
              <w:t>租赁</w:t>
            </w:r>
            <w:r>
              <w:rPr>
                <w:rFonts w:hint="eastAsia" w:ascii="Times New Roman" w:hAnsi="Times New Roman"/>
                <w:sz w:val="24"/>
                <w:lang w:eastAsia="zh-CN"/>
              </w:rPr>
              <w:t>闲置</w:t>
            </w:r>
            <w:r>
              <w:rPr>
                <w:rFonts w:hint="eastAsia" w:ascii="Times New Roman" w:hAnsi="Times New Roman"/>
                <w:sz w:val="24"/>
              </w:rPr>
              <w:t>车间</w:t>
            </w:r>
            <w:r>
              <w:rPr>
                <w:rFonts w:ascii="Times New Roman" w:hAnsi="Times New Roman"/>
                <w:sz w:val="24"/>
              </w:rPr>
              <w:t>生产建设，不涉及土方开挖等土建工程</w:t>
            </w:r>
            <w:r>
              <w:rPr>
                <w:rFonts w:hint="eastAsia" w:ascii="Times New Roman" w:hAnsi="Times New Roman"/>
                <w:sz w:val="24"/>
              </w:rPr>
              <w:t>，故本项目不再进行施工期分析</w:t>
            </w:r>
            <w:r>
              <w:rPr>
                <w:rFonts w:ascii="Times New Roman" w:hAnsi="Times New Roman"/>
                <w:bCs/>
                <w:sz w:val="24"/>
              </w:rPr>
              <w:t>。</w:t>
            </w:r>
          </w:p>
          <w:p w14:paraId="578FC87D">
            <w:pPr>
              <w:adjustRightInd w:val="0"/>
              <w:snapToGrid w:val="0"/>
              <w:spacing w:line="520" w:lineRule="exact"/>
              <w:ind w:firstLine="482"/>
              <w:rPr>
                <w:b/>
              </w:rPr>
            </w:pPr>
            <w:r>
              <w:rPr>
                <w:b/>
              </w:rPr>
              <w:t>2、运营期</w:t>
            </w:r>
          </w:p>
          <w:p w14:paraId="3739D6EE">
            <w:pPr>
              <w:adjustRightInd w:val="0"/>
              <w:snapToGrid w:val="0"/>
              <w:spacing w:line="520" w:lineRule="exact"/>
              <w:ind w:firstLine="480"/>
              <w:rPr>
                <w:bCs/>
              </w:rPr>
            </w:pPr>
            <w:r>
              <w:rPr>
                <w:rFonts w:hint="eastAsia"/>
              </w:rPr>
              <w:t>本项目主要针对外来布料进行印花、压花、压条等工艺操作</w:t>
            </w:r>
            <w:r>
              <w:rPr>
                <w:rFonts w:hint="eastAsia"/>
                <w:bCs/>
              </w:rPr>
              <w:t>，主要生产工艺如下：</w:t>
            </w:r>
          </w:p>
          <w:p w14:paraId="3BD5094D">
            <w:pPr>
              <w:numPr>
                <w:ilvl w:val="0"/>
                <w:numId w:val="8"/>
              </w:numPr>
              <w:adjustRightInd w:val="0"/>
              <w:snapToGrid w:val="0"/>
              <w:spacing w:line="520" w:lineRule="exact"/>
              <w:ind w:firstLine="482"/>
              <w:rPr>
                <w:b/>
              </w:rPr>
            </w:pPr>
            <w:r>
              <w:rPr>
                <w:rFonts w:hint="eastAsia"/>
                <w:b/>
              </w:rPr>
              <w:t>喷墨印花布料</w:t>
            </w:r>
          </w:p>
          <w:p w14:paraId="46B5E65F">
            <w:pPr>
              <w:adjustRightInd w:val="0"/>
              <w:snapToGrid w:val="0"/>
              <w:spacing w:line="520" w:lineRule="exact"/>
              <w:ind w:firstLine="0" w:firstLineChars="0"/>
              <w:rPr>
                <w:b/>
              </w:rPr>
            </w:pPr>
            <w:r>
              <w:rPr>
                <w:bCs/>
              </w:rPr>
              <w:pict>
                <v:shape id="_x0000_s1105" o:spid="_x0000_s1105" o:spt="75" type="#_x0000_t75" style="position:absolute;left:0pt;margin-left:21pt;margin-top:2.4pt;height:211.2pt;width:372.6pt;mso-wrap-distance-bottom:0pt;mso-wrap-distance-left:9pt;mso-wrap-distance-right:9pt;mso-wrap-distance-top:0pt;z-index:251662336;mso-width-relative:page;mso-height-relative:page;" o:ole="t" filled="f" o:preferrelative="t" stroked="t" coordsize="21600,21600">
                  <v:path/>
                  <v:fill on="f" focussize="0,0"/>
                  <v:stroke color="#000000" joinstyle="miter"/>
                  <v:imagedata r:id="rId19" o:title=""/>
                  <o:lock v:ext="edit" aspectratio="f"/>
                  <w10:wrap type="square"/>
                </v:shape>
                <o:OLEObject Type="Embed" ProgID="Visio.Drawing.11" ShapeID="_x0000_s1105" DrawAspect="Content" ObjectID="_1468075725" r:id="rId18">
                  <o:LockedField>false</o:LockedField>
                </o:OLEObject>
              </w:pict>
            </w:r>
            <w:r>
              <w:rPr>
                <w:rFonts w:hint="eastAsia"/>
                <w:bCs/>
              </w:rPr>
              <w:t xml:space="preserve">       </w:t>
            </w:r>
            <w:r>
              <w:rPr>
                <w:rFonts w:eastAsia="黑体"/>
                <w:color w:val="000000"/>
                <w:szCs w:val="22"/>
              </w:rPr>
              <w:t>图</w:t>
            </w:r>
            <w:r>
              <w:rPr>
                <w:rFonts w:hint="eastAsia"/>
                <w:color w:val="000000"/>
                <w:szCs w:val="22"/>
              </w:rPr>
              <w:t>2-</w:t>
            </w:r>
            <w:r>
              <w:rPr>
                <w:color w:val="000000"/>
                <w:szCs w:val="22"/>
              </w:rPr>
              <w:t>1</w:t>
            </w:r>
            <w:r>
              <w:rPr>
                <w:rFonts w:eastAsia="黑体"/>
                <w:color w:val="000000"/>
                <w:szCs w:val="22"/>
              </w:rPr>
              <w:t xml:space="preserve">    </w:t>
            </w:r>
            <w:r>
              <w:rPr>
                <w:rFonts w:hint="eastAsia" w:eastAsia="黑体"/>
                <w:color w:val="000000"/>
                <w:szCs w:val="22"/>
              </w:rPr>
              <w:t>喷</w:t>
            </w:r>
            <w:r>
              <w:rPr>
                <w:rFonts w:eastAsia="黑体"/>
                <w:color w:val="000000"/>
                <w:szCs w:val="22"/>
              </w:rPr>
              <w:t>墨印</w:t>
            </w:r>
            <w:r>
              <w:rPr>
                <w:rFonts w:hint="eastAsia" w:eastAsia="黑体"/>
                <w:color w:val="000000"/>
                <w:szCs w:val="22"/>
              </w:rPr>
              <w:t>花</w:t>
            </w:r>
            <w:r>
              <w:rPr>
                <w:rFonts w:eastAsia="黑体"/>
                <w:color w:val="000000"/>
                <w:szCs w:val="22"/>
              </w:rPr>
              <w:t>布料生产工艺流程及产污环节图</w:t>
            </w:r>
          </w:p>
          <w:p w14:paraId="779F8AB8">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0DB20675">
            <w:pPr>
              <w:adjustRightInd w:val="0"/>
              <w:snapToGrid w:val="0"/>
              <w:spacing w:line="520" w:lineRule="exact"/>
              <w:ind w:firstLine="480"/>
              <w:jc w:val="left"/>
              <w:rPr>
                <w:bCs/>
              </w:rPr>
            </w:pPr>
            <w:r>
              <w:rPr>
                <w:rFonts w:hint="eastAsia"/>
                <w:bCs/>
              </w:rPr>
              <w:t>项目喷墨印花工序的基础布料和花型由商家提供，通过喷墨印刷机完成印花工序，印花工序属于喷墨印花，不属于传统印花工序。</w:t>
            </w:r>
          </w:p>
          <w:p w14:paraId="6DA80189">
            <w:pPr>
              <w:adjustRightInd w:val="0"/>
              <w:snapToGrid w:val="0"/>
              <w:spacing w:line="520" w:lineRule="exact"/>
              <w:ind w:firstLine="482"/>
              <w:jc w:val="left"/>
              <w:rPr>
                <w:bCs/>
                <w:color w:val="000000" w:themeColor="text1"/>
                <w14:textFill>
                  <w14:solidFill>
                    <w14:schemeClr w14:val="tx1"/>
                  </w14:solidFill>
                </w14:textFill>
              </w:rPr>
            </w:pPr>
            <w:r>
              <w:rPr>
                <w:rFonts w:hint="eastAsia"/>
                <w:b/>
              </w:rPr>
              <w:t>油墨</w:t>
            </w:r>
            <w:r>
              <w:rPr>
                <w:rFonts w:hint="eastAsia"/>
                <w:bCs/>
              </w:rPr>
              <w:t>：</w:t>
            </w:r>
            <w:r>
              <w:rPr>
                <w:rFonts w:hint="eastAsia"/>
                <w:bCs/>
                <w:lang w:eastAsia="zh-CN"/>
              </w:rPr>
              <w:t>项目使用</w:t>
            </w:r>
            <w:r>
              <w:rPr>
                <w:rFonts w:hint="eastAsia"/>
                <w:bCs/>
              </w:rPr>
              <w:t>水性丙烯酸酯油墨</w:t>
            </w:r>
            <w:r>
              <w:rPr>
                <w:rFonts w:hint="eastAsia"/>
                <w:bCs/>
                <w:lang w:eastAsia="zh-CN"/>
              </w:rPr>
              <w:t>，</w:t>
            </w:r>
            <w:r>
              <w:rPr>
                <w:rFonts w:hint="eastAsia"/>
                <w:bCs/>
                <w:color w:val="000000" w:themeColor="text1"/>
                <w14:textFill>
                  <w14:solidFill>
                    <w14:schemeClr w14:val="tx1"/>
                  </w14:solidFill>
                </w14:textFill>
              </w:rPr>
              <w:t>水性油墨直接使用不需调配。</w:t>
            </w:r>
          </w:p>
          <w:p w14:paraId="34C89719">
            <w:pPr>
              <w:adjustRightInd w:val="0"/>
              <w:snapToGrid w:val="0"/>
              <w:spacing w:line="520" w:lineRule="exact"/>
              <w:ind w:firstLine="482"/>
              <w:jc w:val="left"/>
              <w:rPr>
                <w:bCs/>
              </w:rPr>
            </w:pPr>
            <w:r>
              <w:rPr>
                <w:rFonts w:hint="eastAsia"/>
                <w:b/>
              </w:rPr>
              <w:t>油墨输送：</w:t>
            </w:r>
            <w:r>
              <w:rPr>
                <w:rFonts w:hint="eastAsia"/>
                <w:bCs/>
              </w:rPr>
              <w:t>喷墨印花机自带自动供墨系统，利用软管自动泵至印花机密闭墨槽。油墨桶密闭盖留有油墨软管的进出口，软管与进出口的间隙会有少量的有机废气逸出，油墨使用过程中会产生废油墨桶。</w:t>
            </w:r>
          </w:p>
          <w:p w14:paraId="4248A12E">
            <w:pPr>
              <w:adjustRightInd w:val="0"/>
              <w:snapToGrid w:val="0"/>
              <w:spacing w:line="520" w:lineRule="exact"/>
              <w:ind w:firstLine="482"/>
              <w:jc w:val="left"/>
              <w:rPr>
                <w:bCs/>
              </w:rPr>
            </w:pPr>
            <w:r>
              <w:rPr>
                <w:rFonts w:hint="eastAsia"/>
                <w:b/>
              </w:rPr>
              <w:t>印花工序：</w:t>
            </w:r>
            <w:r>
              <w:rPr>
                <w:rFonts w:hint="eastAsia"/>
                <w:bCs/>
              </w:rPr>
              <w:t>本项目印花工序采用喷墨印花机，印花机自带喷墨系统，电脑自主排版设计印花底图，自主喷墨，完成花型印</w:t>
            </w:r>
            <w:r>
              <w:rPr>
                <w:rFonts w:hint="eastAsia"/>
                <w:bCs/>
                <w:lang w:eastAsia="zh-CN"/>
              </w:rPr>
              <w:t>花</w:t>
            </w:r>
            <w:r>
              <w:rPr>
                <w:rFonts w:hint="eastAsia"/>
                <w:bCs/>
              </w:rPr>
              <w:t>，印花结束采用</w:t>
            </w:r>
            <w:r>
              <w:rPr>
                <w:rFonts w:hint="eastAsia"/>
                <w:bCs/>
                <w:lang w:eastAsia="zh-CN"/>
              </w:rPr>
              <w:t>湿</w:t>
            </w:r>
            <w:r>
              <w:rPr>
                <w:rFonts w:hint="eastAsia"/>
                <w:bCs/>
              </w:rPr>
              <w:t>抹布对油墨槽体进行擦洗。项目印刷和擦洗过程中会产生挥发性有机废气，擦洗过程产生废抹布。</w:t>
            </w:r>
          </w:p>
          <w:p w14:paraId="3F64C32F">
            <w:pPr>
              <w:adjustRightInd w:val="0"/>
              <w:snapToGrid w:val="0"/>
              <w:spacing w:line="520" w:lineRule="exact"/>
              <w:ind w:firstLine="482"/>
              <w:jc w:val="left"/>
              <w:rPr>
                <w:bCs/>
              </w:rPr>
            </w:pPr>
            <w:r>
              <w:rPr>
                <w:rFonts w:hint="eastAsia"/>
                <w:b/>
                <w:bCs/>
              </w:rPr>
              <w:t>烘干</w:t>
            </w:r>
            <w:r>
              <w:rPr>
                <w:b/>
                <w:bCs/>
              </w:rPr>
              <w:t>：</w:t>
            </w:r>
            <w:r>
              <w:rPr>
                <w:rFonts w:hint="eastAsia"/>
              </w:rPr>
              <w:t>印花完毕后的布料</w:t>
            </w:r>
            <w:r>
              <w:rPr>
                <w:bCs/>
              </w:rPr>
              <w:t>放置在密闭</w:t>
            </w:r>
            <w:r>
              <w:rPr>
                <w:rFonts w:hint="eastAsia"/>
                <w:bCs/>
              </w:rPr>
              <w:t>箱式烘干</w:t>
            </w:r>
            <w:r>
              <w:rPr>
                <w:bCs/>
              </w:rPr>
              <w:t>箱内</w:t>
            </w:r>
            <w:r>
              <w:rPr>
                <w:rFonts w:hint="eastAsia"/>
                <w:bCs/>
              </w:rPr>
              <w:t>烘干</w:t>
            </w:r>
            <w:r>
              <w:rPr>
                <w:bCs/>
              </w:rPr>
              <w:t>，</w:t>
            </w:r>
            <w:r>
              <w:rPr>
                <w:rFonts w:hint="eastAsia"/>
                <w:bCs/>
              </w:rPr>
              <w:t>烘干箱</w:t>
            </w:r>
            <w:r>
              <w:rPr>
                <w:bCs/>
              </w:rPr>
              <w:t>以电为能源，加热温度为</w:t>
            </w:r>
            <w:r>
              <w:rPr>
                <w:rFonts w:hint="eastAsia"/>
                <w:bCs/>
              </w:rPr>
              <w:t>20</w:t>
            </w:r>
            <w:r>
              <w:rPr>
                <w:bCs/>
              </w:rPr>
              <w:t>0°C，常压条件，</w:t>
            </w:r>
            <w:r>
              <w:rPr>
                <w:rFonts w:hint="eastAsia"/>
                <w:bCs/>
              </w:rPr>
              <w:t>烘干</w:t>
            </w:r>
            <w:r>
              <w:rPr>
                <w:bCs/>
              </w:rPr>
              <w:t>时间</w:t>
            </w:r>
            <w:r>
              <w:rPr>
                <w:rFonts w:hint="eastAsia"/>
                <w:bCs/>
              </w:rPr>
              <w:t>15-30min</w:t>
            </w:r>
            <w:r>
              <w:rPr>
                <w:bCs/>
              </w:rPr>
              <w:t>小时，</w:t>
            </w:r>
            <w:r>
              <w:rPr>
                <w:rFonts w:hint="eastAsia"/>
                <w:bCs/>
              </w:rPr>
              <w:t>使油墨中水分快速挥发掉，让图案不粘、不花、不迁移</w:t>
            </w:r>
            <w:r>
              <w:rPr>
                <w:bCs/>
              </w:rPr>
              <w:t>。</w:t>
            </w:r>
            <w:r>
              <w:rPr>
                <w:rFonts w:hint="eastAsia"/>
                <w:bCs/>
              </w:rPr>
              <w:t>烘干过程中会产生挥发性有机废气。</w:t>
            </w:r>
          </w:p>
          <w:p w14:paraId="477E1A57">
            <w:pPr>
              <w:pStyle w:val="6"/>
              <w:spacing w:line="520" w:lineRule="exact"/>
              <w:ind w:firstLine="482"/>
              <w:rPr>
                <w:bCs/>
                <w:sz w:val="24"/>
                <w:szCs w:val="24"/>
              </w:rPr>
            </w:pPr>
            <w:r>
              <w:rPr>
                <w:rFonts w:hint="eastAsia"/>
                <w:b/>
                <w:sz w:val="24"/>
              </w:rPr>
              <w:t>包装、入库</w:t>
            </w:r>
            <w:r>
              <w:rPr>
                <w:b/>
                <w:sz w:val="24"/>
              </w:rPr>
              <w:t>：</w:t>
            </w:r>
            <w:r>
              <w:rPr>
                <w:rFonts w:hint="eastAsia"/>
                <w:bCs/>
                <w:sz w:val="24"/>
              </w:rPr>
              <w:t>烘干后的布料进行包装、入库、待售</w:t>
            </w:r>
            <w:r>
              <w:rPr>
                <w:bCs/>
                <w:sz w:val="24"/>
                <w:szCs w:val="24"/>
              </w:rPr>
              <w:t>。</w:t>
            </w:r>
          </w:p>
          <w:p w14:paraId="68A84776">
            <w:pPr>
              <w:spacing w:line="520" w:lineRule="exact"/>
              <w:ind w:firstLine="482"/>
              <w:rPr>
                <w:b/>
              </w:rPr>
            </w:pPr>
            <w:r>
              <w:rPr>
                <w:rFonts w:hint="eastAsia"/>
                <w:b/>
              </w:rPr>
              <w:t>（2）高周波压花布料</w:t>
            </w:r>
          </w:p>
          <w:p w14:paraId="3A2F8A81">
            <w:pPr>
              <w:bidi w:val="0"/>
              <w:ind w:firstLine="960" w:firstLineChars="400"/>
              <w:rPr>
                <w:rFonts w:hint="eastAsia" w:ascii="Times New Roman" w:hAnsi="Times New Roman" w:eastAsia="黑体" w:cs="Times New Roman"/>
                <w:b w:val="0"/>
                <w:bCs/>
                <w:color w:val="000000"/>
                <w:kern w:val="44"/>
                <w:sz w:val="24"/>
                <w:szCs w:val="24"/>
                <w:lang w:val="en-US" w:eastAsia="zh-CN" w:bidi="ar-SA"/>
              </w:rPr>
            </w:pPr>
            <w:r>
              <w:rPr>
                <w:rFonts w:hint="eastAsia" w:ascii="Times New Roman" w:hAnsi="Times New Roman" w:eastAsia="黑体" w:cs="Times New Roman"/>
                <w:b w:val="0"/>
                <w:bCs/>
                <w:color w:val="000000"/>
                <w:kern w:val="44"/>
                <w:sz w:val="24"/>
                <w:szCs w:val="24"/>
                <w:lang w:val="en-US" w:eastAsia="zh-CN" w:bidi="ar-SA"/>
              </w:rPr>
              <w:pict>
                <v:shape id="_x0000_s1106" o:spid="_x0000_s1106" o:spt="75" type="#_x0000_t75" style="position:absolute;left:0pt;margin-left:-0.05pt;margin-top:3.7pt;height:88.75pt;width:403.9pt;mso-wrap-distance-bottom:0pt;mso-wrap-distance-left:9pt;mso-wrap-distance-right:9pt;mso-wrap-distance-top:0pt;z-index:251663360;mso-width-relative:page;mso-height-relative:page;" o:ole="t" filled="f" o:preferrelative="t" stroked="f" coordsize="21600,21600">
                  <v:path/>
                  <v:fill on="f" focussize="0,0"/>
                  <v:stroke on="f" joinstyle="miter"/>
                  <v:imagedata r:id="rId21" o:title=""/>
                  <o:lock v:ext="edit" aspectratio="f"/>
                  <w10:wrap type="square"/>
                </v:shape>
                <o:OLEObject Type="Embed" ProgID="Visio.Drawing.11" ShapeID="_x0000_s1106" DrawAspect="Content" ObjectID="_1468075726" r:id="rId20">
                  <o:LockedField>false</o:LockedField>
                </o:OLEObject>
              </w:pict>
            </w:r>
            <w:r>
              <w:rPr>
                <w:rFonts w:hint="eastAsia" w:ascii="Times New Roman" w:hAnsi="Times New Roman" w:eastAsia="黑体" w:cs="Times New Roman"/>
                <w:b w:val="0"/>
                <w:bCs/>
                <w:color w:val="000000"/>
                <w:kern w:val="44"/>
                <w:sz w:val="24"/>
                <w:szCs w:val="24"/>
                <w:lang w:val="en-US" w:eastAsia="zh-CN" w:bidi="ar-SA"/>
              </w:rPr>
              <w:t>图2-2    高周波压花布料生产工艺流程及产污环节图</w:t>
            </w:r>
          </w:p>
          <w:p w14:paraId="27B3DD29">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331A6B36">
            <w:pPr>
              <w:adjustRightInd w:val="0"/>
              <w:snapToGrid w:val="0"/>
              <w:spacing w:line="520" w:lineRule="exact"/>
              <w:ind w:firstLine="482"/>
              <w:jc w:val="left"/>
              <w:rPr>
                <w:bCs/>
              </w:rPr>
            </w:pPr>
            <w:r>
              <w:rPr>
                <w:rFonts w:hint="eastAsia"/>
                <w:b/>
              </w:rPr>
              <w:t>外购原料：</w:t>
            </w:r>
            <w:r>
              <w:rPr>
                <w:rFonts w:hint="eastAsia"/>
                <w:bCs/>
              </w:rPr>
              <w:t>项目高周波压花工序的基础布料由商家提供，根据产品订单要求，购买PU膜、魔术贴、离型纸。</w:t>
            </w:r>
          </w:p>
          <w:p w14:paraId="2CEE4937">
            <w:pPr>
              <w:adjustRightInd w:val="0"/>
              <w:snapToGrid w:val="0"/>
              <w:spacing w:line="520" w:lineRule="exact"/>
              <w:ind w:firstLine="482"/>
              <w:jc w:val="left"/>
              <w:rPr>
                <w:bCs/>
              </w:rPr>
            </w:pPr>
            <w:r>
              <w:rPr>
                <w:rFonts w:hint="eastAsia"/>
                <w:b/>
              </w:rPr>
              <w:t>排版定位：</w:t>
            </w:r>
            <w:r>
              <w:rPr>
                <w:rFonts w:hint="eastAsia"/>
                <w:bCs/>
              </w:rPr>
              <w:t>根据产品订单要求，将基材铺在模具上，将基材铺在模具上用治具固定位置，保证图案、熔接位置精准。</w:t>
            </w:r>
          </w:p>
          <w:p w14:paraId="30459614">
            <w:pPr>
              <w:adjustRightInd w:val="0"/>
              <w:snapToGrid w:val="0"/>
              <w:spacing w:line="520" w:lineRule="exact"/>
              <w:ind w:firstLine="482"/>
              <w:jc w:val="left"/>
              <w:rPr>
                <w:bCs/>
              </w:rPr>
            </w:pPr>
            <w:r>
              <w:rPr>
                <w:rFonts w:hint="eastAsia"/>
                <w:b/>
              </w:rPr>
              <w:t>熔接、压花：</w:t>
            </w:r>
            <w:r>
              <w:rPr>
                <w:rFonts w:hint="eastAsia"/>
                <w:bCs/>
              </w:rPr>
              <w:t>利用高频电磁场使材料分子振荡生热在模具压力下完成熔接、压花或封边。高周波熔接机以电为能源，加热温度为</w:t>
            </w:r>
            <w:r>
              <w:rPr>
                <w:bCs/>
              </w:rPr>
              <w:t>1</w:t>
            </w:r>
            <w:r>
              <w:rPr>
                <w:rFonts w:hint="eastAsia"/>
                <w:bCs/>
              </w:rPr>
              <w:t>1</w:t>
            </w:r>
            <w:r>
              <w:rPr>
                <w:bCs/>
              </w:rPr>
              <w:t>0℃-</w:t>
            </w:r>
            <w:r>
              <w:rPr>
                <w:rFonts w:hint="eastAsia"/>
                <w:bCs/>
              </w:rPr>
              <w:t>15</w:t>
            </w:r>
            <w:r>
              <w:rPr>
                <w:bCs/>
              </w:rPr>
              <w:t>0℃，</w:t>
            </w:r>
            <w:r>
              <w:rPr>
                <w:rFonts w:hint="eastAsia"/>
                <w:bCs/>
              </w:rPr>
              <w:t>操作时间为1s，此工序严格控制温度和时间，防止化纤面料烫缩或离型纸变形。熔接、压花过程会产生有机废气、颗粒物。</w:t>
            </w:r>
          </w:p>
          <w:p w14:paraId="185CB44F">
            <w:pPr>
              <w:adjustRightInd w:val="0"/>
              <w:snapToGrid w:val="0"/>
              <w:spacing w:line="520" w:lineRule="exact"/>
              <w:ind w:firstLine="482"/>
              <w:jc w:val="left"/>
              <w:rPr>
                <w:b/>
              </w:rPr>
            </w:pPr>
            <w:r>
              <w:rPr>
                <w:rFonts w:hint="eastAsia"/>
                <w:b/>
              </w:rPr>
              <w:t>冷却定型：</w:t>
            </w:r>
            <w:r>
              <w:rPr>
                <w:rFonts w:hint="eastAsia"/>
                <w:bCs/>
              </w:rPr>
              <w:t>项目熔接、压花后的布料进入风冷隧道，隧道负压吸风，通过空气流动给布料降温。冷却过程产生少量的有机废气。</w:t>
            </w:r>
          </w:p>
          <w:p w14:paraId="27243FCB">
            <w:pPr>
              <w:adjustRightInd w:val="0"/>
              <w:snapToGrid w:val="0"/>
              <w:spacing w:line="520" w:lineRule="exact"/>
              <w:ind w:firstLine="482"/>
              <w:jc w:val="left"/>
              <w:rPr>
                <w:b/>
              </w:rPr>
            </w:pPr>
            <w:r>
              <w:rPr>
                <w:rFonts w:hint="eastAsia"/>
                <w:b/>
              </w:rPr>
              <w:t>修整：</w:t>
            </w:r>
            <w:r>
              <w:rPr>
                <w:rFonts w:hint="eastAsia"/>
                <w:bCs/>
              </w:rPr>
              <w:t>项目利用冲床将多余边角料按照要求进行修边，使产品外观整洁、尺寸达标。</w:t>
            </w:r>
          </w:p>
          <w:p w14:paraId="3A80E570">
            <w:pPr>
              <w:pStyle w:val="6"/>
              <w:spacing w:line="440" w:lineRule="exact"/>
              <w:ind w:firstLine="482"/>
              <w:rPr>
                <w:bCs/>
                <w:sz w:val="24"/>
                <w:szCs w:val="24"/>
              </w:rPr>
            </w:pPr>
            <w:r>
              <w:rPr>
                <w:rFonts w:hint="eastAsia"/>
                <w:b/>
                <w:sz w:val="24"/>
              </w:rPr>
              <w:t>包装、入库</w:t>
            </w:r>
            <w:r>
              <w:rPr>
                <w:b/>
                <w:sz w:val="24"/>
              </w:rPr>
              <w:t>：</w:t>
            </w:r>
            <w:r>
              <w:rPr>
                <w:rFonts w:hint="eastAsia"/>
                <w:bCs/>
                <w:sz w:val="24"/>
              </w:rPr>
              <w:t>修整好的布料进行包装、入库、待售</w:t>
            </w:r>
            <w:r>
              <w:rPr>
                <w:bCs/>
                <w:sz w:val="24"/>
                <w:szCs w:val="24"/>
              </w:rPr>
              <w:t>。</w:t>
            </w:r>
          </w:p>
          <w:p w14:paraId="63A1B21B">
            <w:pPr>
              <w:spacing w:line="440" w:lineRule="exact"/>
              <w:ind w:firstLine="482"/>
              <w:rPr>
                <w:b/>
              </w:rPr>
            </w:pPr>
            <w:r>
              <w:rPr>
                <w:rFonts w:hint="eastAsia"/>
                <w:b/>
              </w:rPr>
              <w:t>（3）镭射雕花布料</w:t>
            </w:r>
          </w:p>
          <w:p w14:paraId="21814034">
            <w:pPr>
              <w:pStyle w:val="2"/>
              <w:adjustRightInd w:val="0"/>
              <w:spacing w:before="0" w:after="0" w:line="520" w:lineRule="exact"/>
              <w:ind w:firstLine="960" w:firstLineChars="400"/>
              <w:jc w:val="left"/>
              <w:rPr>
                <w:rFonts w:eastAsia="宋体"/>
                <w:bCs w:val="0"/>
                <w:color w:val="auto"/>
                <w:sz w:val="24"/>
                <w:szCs w:val="24"/>
              </w:rPr>
            </w:pPr>
            <w:r>
              <w:rPr>
                <w:b w:val="0"/>
                <w:sz w:val="24"/>
                <w:szCs w:val="24"/>
              </w:rPr>
              <w:t>图</w:t>
            </w:r>
            <w:r>
              <w:rPr>
                <w:rFonts w:hint="eastAsia"/>
                <w:b w:val="0"/>
                <w:sz w:val="24"/>
                <w:szCs w:val="24"/>
              </w:rPr>
              <w:t>2-</w:t>
            </w:r>
            <w:r>
              <w:rPr>
                <w:b w:val="0"/>
                <w:sz w:val="24"/>
                <w:szCs w:val="24"/>
              </w:rPr>
              <w:t xml:space="preserve">3    </w:t>
            </w:r>
            <w:r>
              <w:rPr>
                <w:rFonts w:hint="eastAsia"/>
                <w:b w:val="0"/>
                <w:sz w:val="24"/>
                <w:szCs w:val="24"/>
              </w:rPr>
              <w:t>镭射雕花</w:t>
            </w:r>
            <w:r>
              <w:rPr>
                <w:b w:val="0"/>
                <w:sz w:val="24"/>
                <w:szCs w:val="24"/>
              </w:rPr>
              <w:t>布料生产工艺流程及产污环节图</w:t>
            </w:r>
            <w:r>
              <w:rPr>
                <w:rFonts w:eastAsia="宋体"/>
                <w:bCs w:val="0"/>
                <w:color w:val="auto"/>
                <w:sz w:val="24"/>
                <w:szCs w:val="24"/>
              </w:rPr>
              <w:pict>
                <v:shape id="_x0000_s1107" o:spid="_x0000_s1107" o:spt="75" type="#_x0000_t75" style="position:absolute;left:0pt;margin-left:-0.1pt;margin-top:2.6pt;height:88.75pt;width:403.9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23" o:title=""/>
                  <o:lock v:ext="edit" aspectratio="f"/>
                  <w10:wrap type="square"/>
                </v:shape>
                <o:OLEObject Type="Embed" ProgID="Visio.Drawing.11" ShapeID="_x0000_s1107" DrawAspect="Content" ObjectID="_1468075727" r:id="rId22">
                  <o:LockedField>false</o:LockedField>
                </o:OLEObject>
              </w:pict>
            </w:r>
          </w:p>
          <w:p w14:paraId="3AD9FF66">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14B9DED6">
            <w:pPr>
              <w:adjustRightInd w:val="0"/>
              <w:snapToGrid w:val="0"/>
              <w:spacing w:line="520" w:lineRule="exact"/>
              <w:ind w:firstLine="482"/>
              <w:jc w:val="left"/>
              <w:rPr>
                <w:bCs/>
              </w:rPr>
            </w:pPr>
            <w:r>
              <w:rPr>
                <w:rFonts w:hint="eastAsia"/>
                <w:b/>
              </w:rPr>
              <w:t>原料：</w:t>
            </w:r>
            <w:r>
              <w:rPr>
                <w:rFonts w:hint="eastAsia"/>
                <w:bCs/>
              </w:rPr>
              <w:t>项目镭射雕花工序的基础布料和花型由商家提供。</w:t>
            </w:r>
          </w:p>
          <w:p w14:paraId="755DF921">
            <w:pPr>
              <w:adjustRightInd w:val="0"/>
              <w:snapToGrid w:val="0"/>
              <w:spacing w:line="520" w:lineRule="exact"/>
              <w:ind w:firstLine="482"/>
              <w:jc w:val="left"/>
              <w:rPr>
                <w:bCs/>
              </w:rPr>
            </w:pPr>
            <w:r>
              <w:rPr>
                <w:rFonts w:hint="eastAsia"/>
                <w:b/>
              </w:rPr>
              <w:t>排版定位：</w:t>
            </w:r>
            <w:r>
              <w:rPr>
                <w:rFonts w:hint="eastAsia"/>
                <w:bCs/>
              </w:rPr>
              <w:t>根据产品订单要求，在电脑中导入设计图将基础布料铺在工作平台通过CCD视觉或治具精确定位。</w:t>
            </w:r>
          </w:p>
          <w:p w14:paraId="43973096">
            <w:pPr>
              <w:adjustRightInd w:val="0"/>
              <w:snapToGrid w:val="0"/>
              <w:spacing w:line="520" w:lineRule="exact"/>
              <w:ind w:firstLine="482"/>
              <w:jc w:val="left"/>
              <w:rPr>
                <w:bCs/>
              </w:rPr>
            </w:pPr>
            <w:r>
              <w:rPr>
                <w:rFonts w:hint="eastAsia"/>
                <w:b/>
              </w:rPr>
              <w:t>镭射雕花：</w:t>
            </w:r>
            <w:r>
              <w:rPr>
                <w:rFonts w:hint="eastAsia"/>
                <w:bCs/>
              </w:rPr>
              <w:t>利用高能量激光束对基材进行雕刻图案、文字或形状加工。雕刻温度为150</w:t>
            </w:r>
            <w:r>
              <w:rPr>
                <w:bCs/>
              </w:rPr>
              <w:t xml:space="preserve">℃- </w:t>
            </w:r>
            <w:r>
              <w:rPr>
                <w:rFonts w:hint="eastAsia"/>
                <w:bCs/>
                <w:lang w:val="en-US" w:eastAsia="zh-CN"/>
              </w:rPr>
              <w:t>18</w:t>
            </w:r>
            <w:r>
              <w:rPr>
                <w:bCs/>
              </w:rPr>
              <w:t>0℃</w:t>
            </w:r>
            <w:r>
              <w:rPr>
                <w:rFonts w:hint="eastAsia"/>
                <w:bCs/>
              </w:rPr>
              <w:t>，雕刻过程会产生颗粒物、有机废气。</w:t>
            </w:r>
          </w:p>
          <w:p w14:paraId="0662A269">
            <w:pPr>
              <w:adjustRightInd w:val="0"/>
              <w:snapToGrid w:val="0"/>
              <w:spacing w:line="520" w:lineRule="exact"/>
              <w:ind w:firstLine="482"/>
              <w:jc w:val="left"/>
              <w:rPr>
                <w:bCs/>
              </w:rPr>
            </w:pPr>
            <w:r>
              <w:rPr>
                <w:rFonts w:hint="eastAsia"/>
                <w:b/>
              </w:rPr>
              <w:t>清理：</w:t>
            </w:r>
            <w:r>
              <w:rPr>
                <w:rFonts w:hint="eastAsia"/>
                <w:bCs/>
              </w:rPr>
              <w:t>雕刻后结束后，人工采用毛吸尘器清除布料表面的激光碎屑或丝线，清理过程会产生固体废物和颗粒物。</w:t>
            </w:r>
          </w:p>
          <w:p w14:paraId="07FAAF04">
            <w:pPr>
              <w:adjustRightInd w:val="0"/>
              <w:snapToGrid w:val="0"/>
              <w:spacing w:line="520" w:lineRule="exact"/>
              <w:ind w:firstLine="482"/>
              <w:jc w:val="left"/>
              <w:rPr>
                <w:b/>
              </w:rPr>
            </w:pPr>
            <w:r>
              <w:rPr>
                <w:rFonts w:hint="eastAsia"/>
                <w:b/>
              </w:rPr>
              <w:t>修整：</w:t>
            </w:r>
            <w:r>
              <w:rPr>
                <w:rFonts w:hint="eastAsia"/>
                <w:bCs/>
              </w:rPr>
              <w:t>项目利用冲床将多余边角料按照要求进行修边，使产品外观整洁、尺寸达标。</w:t>
            </w:r>
          </w:p>
          <w:p w14:paraId="296F3DBB">
            <w:pPr>
              <w:pStyle w:val="6"/>
              <w:spacing w:line="520" w:lineRule="exact"/>
              <w:ind w:firstLine="482"/>
              <w:rPr>
                <w:bCs/>
                <w:sz w:val="24"/>
                <w:szCs w:val="24"/>
              </w:rPr>
            </w:pPr>
            <w:r>
              <w:rPr>
                <w:rFonts w:hint="eastAsia"/>
                <w:b/>
                <w:sz w:val="24"/>
              </w:rPr>
              <w:t>包装、入库</w:t>
            </w:r>
            <w:r>
              <w:rPr>
                <w:b/>
                <w:sz w:val="24"/>
              </w:rPr>
              <w:t>：</w:t>
            </w:r>
            <w:r>
              <w:rPr>
                <w:rFonts w:hint="eastAsia"/>
                <w:bCs/>
                <w:sz w:val="24"/>
              </w:rPr>
              <w:t>修整好的布料进行包装、入库、待售</w:t>
            </w:r>
            <w:r>
              <w:rPr>
                <w:bCs/>
                <w:sz w:val="24"/>
                <w:szCs w:val="24"/>
              </w:rPr>
              <w:t>。</w:t>
            </w:r>
          </w:p>
          <w:p w14:paraId="0CD432F8">
            <w:pPr>
              <w:spacing w:line="520" w:lineRule="exact"/>
              <w:ind w:firstLine="482"/>
              <w:rPr>
                <w:b/>
              </w:rPr>
            </w:pPr>
            <w:r>
              <w:rPr>
                <w:rFonts w:hint="eastAsia"/>
                <w:b/>
              </w:rPr>
              <w:t>（4）压条布料</w:t>
            </w:r>
          </w:p>
          <w:p w14:paraId="7BCDA7A3">
            <w:pPr>
              <w:pStyle w:val="2"/>
              <w:adjustRightInd w:val="0"/>
              <w:spacing w:before="0" w:after="0" w:line="520" w:lineRule="exact"/>
              <w:ind w:firstLine="1440" w:firstLineChars="600"/>
              <w:jc w:val="left"/>
              <w:rPr>
                <w:rFonts w:eastAsia="宋体"/>
                <w:bCs w:val="0"/>
                <w:color w:val="auto"/>
                <w:sz w:val="24"/>
                <w:szCs w:val="24"/>
              </w:rPr>
            </w:pPr>
            <w:r>
              <w:rPr>
                <w:b w:val="0"/>
                <w:sz w:val="24"/>
                <w:szCs w:val="24"/>
              </w:rPr>
              <w:t>图</w:t>
            </w:r>
            <w:r>
              <w:rPr>
                <w:rFonts w:hint="eastAsia"/>
                <w:b w:val="0"/>
                <w:sz w:val="24"/>
                <w:szCs w:val="24"/>
              </w:rPr>
              <w:t>2-</w:t>
            </w:r>
            <w:r>
              <w:rPr>
                <w:b w:val="0"/>
                <w:sz w:val="24"/>
                <w:szCs w:val="24"/>
              </w:rPr>
              <w:t xml:space="preserve">4    </w:t>
            </w:r>
            <w:r>
              <w:rPr>
                <w:rFonts w:hint="eastAsia"/>
                <w:b w:val="0"/>
                <w:sz w:val="24"/>
                <w:szCs w:val="24"/>
              </w:rPr>
              <w:t>压条</w:t>
            </w:r>
            <w:r>
              <w:rPr>
                <w:b w:val="0"/>
                <w:sz w:val="24"/>
                <w:szCs w:val="24"/>
              </w:rPr>
              <w:t>布料生产工艺流程及产污环节图</w:t>
            </w:r>
            <w:r>
              <w:rPr>
                <w:b w:val="0"/>
                <w:kern w:val="2"/>
                <w:sz w:val="24"/>
                <w:szCs w:val="24"/>
              </w:rPr>
              <w:pict>
                <v:shape id="_x0000_s1108" o:spid="_x0000_s1108" o:spt="75" type="#_x0000_t75" style="position:absolute;left:0pt;margin-left:5.6pt;margin-top:4.6pt;height:88.75pt;width:403.9pt;mso-wrap-distance-bottom:0pt;mso-wrap-distance-left:9pt;mso-wrap-distance-right:9pt;mso-wrap-distance-top:0pt;z-index:251665408;mso-width-relative:page;mso-height-relative:page;" o:ole="t" filled="f" o:preferrelative="t" stroked="f" coordsize="21600,21600">
                  <v:path/>
                  <v:fill on="f" focussize="0,0"/>
                  <v:stroke on="f" joinstyle="miter"/>
                  <v:imagedata r:id="rId25" o:title=""/>
                  <o:lock v:ext="edit" aspectratio="f"/>
                  <w10:wrap type="square"/>
                </v:shape>
                <o:OLEObject Type="Embed" ProgID="Visio.Drawing.11" ShapeID="_x0000_s1108" DrawAspect="Content" ObjectID="_1468075728" r:id="rId24">
                  <o:LockedField>false</o:LockedField>
                </o:OLEObject>
              </w:pict>
            </w:r>
          </w:p>
          <w:p w14:paraId="0A0CE408">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60D8DEA7">
            <w:pPr>
              <w:adjustRightInd w:val="0"/>
              <w:snapToGrid w:val="0"/>
              <w:spacing w:line="520" w:lineRule="exact"/>
              <w:ind w:firstLine="482"/>
              <w:jc w:val="left"/>
              <w:rPr>
                <w:bCs/>
              </w:rPr>
            </w:pPr>
            <w:r>
              <w:rPr>
                <w:rFonts w:hint="eastAsia"/>
                <w:b/>
              </w:rPr>
              <w:t>原料：</w:t>
            </w:r>
            <w:r>
              <w:rPr>
                <w:rFonts w:hint="eastAsia"/>
                <w:bCs/>
              </w:rPr>
              <w:t>项目压条工序的基础布料和花型由商家提供。</w:t>
            </w:r>
          </w:p>
          <w:p w14:paraId="1023D41B">
            <w:pPr>
              <w:adjustRightInd w:val="0"/>
              <w:snapToGrid w:val="0"/>
              <w:spacing w:line="520" w:lineRule="exact"/>
              <w:ind w:firstLine="482"/>
              <w:jc w:val="left"/>
              <w:rPr>
                <w:bCs/>
              </w:rPr>
            </w:pPr>
            <w:r>
              <w:rPr>
                <w:rFonts w:hint="eastAsia"/>
                <w:b/>
              </w:rPr>
              <w:t>复合：</w:t>
            </w:r>
            <w:r>
              <w:rPr>
                <w:rFonts w:hint="eastAsia"/>
                <w:bCs/>
              </w:rPr>
              <w:t>项目复合工序利用粘合机将压条贴合在基础布料上。粘合机自带喷胶系统。项目使用水性丙烯酸胶浆，胶浆直接使用不需要调配。胶桶密闭盖留有软管的进出口，软管与进出口的间隙会有少量的有机废气逸出，胶浆使用过程中会产生废胶桶。</w:t>
            </w:r>
          </w:p>
          <w:p w14:paraId="2A9C684D">
            <w:pPr>
              <w:adjustRightInd w:val="0"/>
              <w:snapToGrid w:val="0"/>
              <w:spacing w:line="520" w:lineRule="exact"/>
              <w:ind w:firstLine="480"/>
              <w:jc w:val="left"/>
              <w:rPr>
                <w:bCs/>
              </w:rPr>
            </w:pPr>
            <w:r>
              <w:rPr>
                <w:rFonts w:hint="eastAsia"/>
                <w:bCs/>
              </w:rPr>
              <w:t>喷胶系统在压条复合部位自动喷胶，粘合机冷压将压条粘合，复合过程会有少量的有机废气。</w:t>
            </w:r>
          </w:p>
          <w:p w14:paraId="3D9B1602">
            <w:pPr>
              <w:pStyle w:val="6"/>
              <w:spacing w:line="520" w:lineRule="exact"/>
              <w:ind w:firstLine="482"/>
              <w:rPr>
                <w:bCs/>
                <w:sz w:val="24"/>
                <w:szCs w:val="24"/>
              </w:rPr>
            </w:pPr>
            <w:r>
              <w:rPr>
                <w:rFonts w:hint="eastAsia"/>
                <w:b/>
                <w:sz w:val="24"/>
              </w:rPr>
              <w:t>收卷、包装、入库</w:t>
            </w:r>
            <w:r>
              <w:rPr>
                <w:b/>
                <w:sz w:val="24"/>
              </w:rPr>
              <w:t>：</w:t>
            </w:r>
            <w:r>
              <w:rPr>
                <w:rFonts w:hint="eastAsia"/>
                <w:bCs/>
                <w:sz w:val="24"/>
              </w:rPr>
              <w:t>复合结束后布料自动收卷，包装、入库、待售</w:t>
            </w:r>
            <w:r>
              <w:rPr>
                <w:bCs/>
                <w:sz w:val="24"/>
                <w:szCs w:val="24"/>
              </w:rPr>
              <w:t>。</w:t>
            </w:r>
          </w:p>
          <w:p w14:paraId="6E092161">
            <w:pPr>
              <w:spacing w:line="520" w:lineRule="exact"/>
              <w:ind w:firstLine="482"/>
              <w:rPr>
                <w:b/>
              </w:rPr>
            </w:pPr>
            <w:r>
              <w:rPr>
                <w:rFonts w:hint="eastAsia"/>
                <w:b/>
              </w:rPr>
              <w:t>（5）口袋加装布料</w:t>
            </w:r>
          </w:p>
          <w:p w14:paraId="411B1F66">
            <w:pPr>
              <w:pStyle w:val="2"/>
              <w:adjustRightInd w:val="0"/>
              <w:spacing w:before="0" w:after="0" w:line="520" w:lineRule="exact"/>
              <w:ind w:firstLine="1200" w:firstLineChars="500"/>
              <w:jc w:val="left"/>
              <w:rPr>
                <w:rFonts w:eastAsia="宋体"/>
                <w:bCs w:val="0"/>
                <w:color w:val="auto"/>
                <w:sz w:val="24"/>
                <w:szCs w:val="24"/>
              </w:rPr>
            </w:pPr>
            <w:r>
              <w:rPr>
                <w:b w:val="0"/>
                <w:sz w:val="24"/>
                <w:szCs w:val="24"/>
              </w:rPr>
              <w:t>图</w:t>
            </w:r>
            <w:r>
              <w:rPr>
                <w:rFonts w:hint="eastAsia"/>
                <w:b w:val="0"/>
                <w:sz w:val="24"/>
                <w:szCs w:val="24"/>
              </w:rPr>
              <w:t>2-</w:t>
            </w:r>
            <w:r>
              <w:rPr>
                <w:b w:val="0"/>
                <w:sz w:val="24"/>
                <w:szCs w:val="24"/>
              </w:rPr>
              <w:t xml:space="preserve">5    </w:t>
            </w:r>
            <w:r>
              <w:rPr>
                <w:rFonts w:hint="eastAsia"/>
                <w:b w:val="0"/>
                <w:sz w:val="24"/>
                <w:szCs w:val="24"/>
              </w:rPr>
              <w:t>口袋加装</w:t>
            </w:r>
            <w:r>
              <w:rPr>
                <w:b w:val="0"/>
                <w:sz w:val="24"/>
                <w:szCs w:val="24"/>
              </w:rPr>
              <w:t>布料生产工艺流程及产污环节图</w:t>
            </w:r>
            <w:r>
              <w:rPr>
                <w:b w:val="0"/>
                <w:kern w:val="2"/>
                <w:sz w:val="24"/>
                <w:szCs w:val="24"/>
              </w:rPr>
              <w:pict>
                <v:shape id="_x0000_s1109" o:spid="_x0000_s1109" o:spt="75" type="#_x0000_t75" style="position:absolute;left:0pt;margin-left:0.75pt;margin-top:4.25pt;height:88.75pt;width:403.9pt;mso-wrap-distance-bottom:0pt;mso-wrap-distance-left:9pt;mso-wrap-distance-right:9pt;mso-wrap-distance-top:0pt;z-index:251666432;mso-width-relative:page;mso-height-relative:page;" o:ole="t" filled="f" o:preferrelative="t" stroked="f" coordsize="21600,21600">
                  <v:path/>
                  <v:fill on="f" focussize="0,0"/>
                  <v:stroke on="f" joinstyle="miter"/>
                  <v:imagedata r:id="rId27" o:title=""/>
                  <o:lock v:ext="edit" aspectratio="f"/>
                  <w10:wrap type="square"/>
                </v:shape>
                <o:OLEObject Type="Embed" ProgID="Visio.Drawing.11" ShapeID="_x0000_s1109" DrawAspect="Content" ObjectID="_1468075729" r:id="rId26">
                  <o:LockedField>false</o:LockedField>
                </o:OLEObject>
              </w:pict>
            </w:r>
          </w:p>
          <w:p w14:paraId="18624986">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65A48598">
            <w:pPr>
              <w:adjustRightInd w:val="0"/>
              <w:snapToGrid w:val="0"/>
              <w:spacing w:line="520" w:lineRule="exact"/>
              <w:ind w:firstLine="482"/>
              <w:jc w:val="left"/>
              <w:rPr>
                <w:bCs/>
              </w:rPr>
            </w:pPr>
            <w:r>
              <w:rPr>
                <w:rFonts w:hint="eastAsia"/>
                <w:b/>
              </w:rPr>
              <w:t>原料：</w:t>
            </w:r>
            <w:r>
              <w:rPr>
                <w:rFonts w:hint="eastAsia"/>
                <w:bCs/>
              </w:rPr>
              <w:t>项目口袋加装工序的基础布料由商家提供。</w:t>
            </w:r>
          </w:p>
          <w:p w14:paraId="23926C21">
            <w:pPr>
              <w:adjustRightInd w:val="0"/>
              <w:snapToGrid w:val="0"/>
              <w:spacing w:line="520" w:lineRule="exact"/>
              <w:ind w:firstLine="482"/>
              <w:jc w:val="left"/>
              <w:rPr>
                <w:bCs/>
              </w:rPr>
            </w:pPr>
            <w:r>
              <w:rPr>
                <w:rFonts w:hint="eastAsia"/>
                <w:b/>
              </w:rPr>
              <w:t>排版定位：</w:t>
            </w:r>
            <w:r>
              <w:rPr>
                <w:rFonts w:hint="eastAsia"/>
                <w:bCs/>
              </w:rPr>
              <w:t>根据产品订单要求，在电脑中导入设计图将基础布料铺在工作平台通过CCD视觉或治具精确定位。</w:t>
            </w:r>
          </w:p>
          <w:p w14:paraId="2B750C7E">
            <w:pPr>
              <w:adjustRightInd w:val="0"/>
              <w:snapToGrid w:val="0"/>
              <w:spacing w:line="520" w:lineRule="exact"/>
              <w:ind w:firstLine="482"/>
              <w:jc w:val="left"/>
              <w:rPr>
                <w:bCs/>
              </w:rPr>
            </w:pPr>
            <w:r>
              <w:rPr>
                <w:rFonts w:hint="eastAsia"/>
                <w:b/>
              </w:rPr>
              <w:t>激光开口：</w:t>
            </w:r>
            <w:r>
              <w:rPr>
                <w:rFonts w:hint="eastAsia"/>
                <w:bCs/>
              </w:rPr>
              <w:t>利用高能量激光束将布料进行开口，开口温度为</w:t>
            </w:r>
            <w:r>
              <w:rPr>
                <w:bCs/>
              </w:rPr>
              <w:t>2</w:t>
            </w:r>
            <w:r>
              <w:rPr>
                <w:rFonts w:hint="eastAsia"/>
                <w:bCs/>
              </w:rPr>
              <w:t>0</w:t>
            </w:r>
            <w:r>
              <w:rPr>
                <w:bCs/>
              </w:rPr>
              <w:t>0℃</w:t>
            </w:r>
            <w:r>
              <w:rPr>
                <w:rFonts w:hint="eastAsia"/>
                <w:bCs/>
              </w:rPr>
              <w:t>开口过程会产生少量粉尘、有机废气。</w:t>
            </w:r>
          </w:p>
          <w:p w14:paraId="722B679A">
            <w:pPr>
              <w:adjustRightInd w:val="0"/>
              <w:snapToGrid w:val="0"/>
              <w:spacing w:line="520" w:lineRule="exact"/>
              <w:ind w:firstLine="482"/>
              <w:jc w:val="left"/>
              <w:rPr>
                <w:bCs/>
              </w:rPr>
            </w:pPr>
            <w:r>
              <w:rPr>
                <w:rFonts w:hint="eastAsia"/>
                <w:b/>
              </w:rPr>
              <w:t>加装拉链：</w:t>
            </w:r>
            <w:r>
              <w:rPr>
                <w:rFonts w:hint="eastAsia"/>
                <w:bCs/>
              </w:rPr>
              <w:t>根据产品订单要求加装合适的拉链。</w:t>
            </w:r>
          </w:p>
          <w:p w14:paraId="62001689">
            <w:pPr>
              <w:pStyle w:val="6"/>
              <w:spacing w:line="520" w:lineRule="exact"/>
              <w:ind w:firstLine="482"/>
              <w:rPr>
                <w:b/>
                <w:sz w:val="24"/>
              </w:rPr>
            </w:pPr>
            <w:r>
              <w:rPr>
                <w:rFonts w:hint="eastAsia"/>
                <w:b/>
                <w:sz w:val="24"/>
              </w:rPr>
              <w:t>熨烫：</w:t>
            </w:r>
            <w:r>
              <w:rPr>
                <w:rFonts w:hint="eastAsia"/>
                <w:bCs/>
                <w:sz w:val="24"/>
              </w:rPr>
              <w:t>加装好的布料人工熨烫压平，熨烫机以电为能源。</w:t>
            </w:r>
          </w:p>
          <w:p w14:paraId="20AA8102">
            <w:pPr>
              <w:pStyle w:val="6"/>
              <w:spacing w:line="520" w:lineRule="exact"/>
              <w:ind w:firstLine="482"/>
              <w:rPr>
                <w:bCs/>
                <w:sz w:val="24"/>
                <w:szCs w:val="24"/>
              </w:rPr>
            </w:pPr>
            <w:r>
              <w:rPr>
                <w:rFonts w:hint="eastAsia"/>
                <w:b/>
                <w:sz w:val="24"/>
              </w:rPr>
              <w:t>包装、入库</w:t>
            </w:r>
            <w:r>
              <w:rPr>
                <w:b/>
                <w:sz w:val="24"/>
              </w:rPr>
              <w:t>：</w:t>
            </w:r>
            <w:r>
              <w:rPr>
                <w:rFonts w:hint="eastAsia"/>
                <w:bCs/>
                <w:sz w:val="24"/>
              </w:rPr>
              <w:t>整理好的布料进行包装、入库、待售</w:t>
            </w:r>
            <w:r>
              <w:rPr>
                <w:bCs/>
                <w:sz w:val="24"/>
                <w:szCs w:val="24"/>
              </w:rPr>
              <w:t>。</w:t>
            </w:r>
          </w:p>
          <w:p w14:paraId="7654C266">
            <w:pPr>
              <w:spacing w:line="440" w:lineRule="exact"/>
              <w:ind w:firstLine="482"/>
              <w:rPr>
                <w:b/>
              </w:rPr>
            </w:pPr>
            <w:r>
              <w:rPr>
                <w:rFonts w:hint="eastAsia"/>
                <w:b/>
              </w:rPr>
              <w:t>（6）绣花布料</w:t>
            </w:r>
          </w:p>
          <w:p w14:paraId="3E507133">
            <w:pPr>
              <w:pStyle w:val="2"/>
              <w:adjustRightInd w:val="0"/>
              <w:spacing w:before="0" w:after="0" w:line="520" w:lineRule="exact"/>
              <w:ind w:firstLine="960" w:firstLineChars="400"/>
              <w:jc w:val="left"/>
              <w:rPr>
                <w:rFonts w:hint="eastAsia" w:eastAsia="宋体"/>
                <w:bCs w:val="0"/>
                <w:color w:val="auto"/>
                <w:sz w:val="24"/>
                <w:szCs w:val="24"/>
              </w:rPr>
            </w:pPr>
            <w:r>
              <w:rPr>
                <w:rFonts w:hint="eastAsia" w:ascii="Times New Roman" w:hAnsi="Times New Roman" w:cs="Times New Roman"/>
                <w:b w:val="0"/>
                <w:bCs/>
                <w:kern w:val="2"/>
                <w:sz w:val="24"/>
                <w:szCs w:val="24"/>
                <w:highlight w:val="none"/>
                <w:lang w:val="en-US" w:eastAsia="zh-CN" w:bidi="ar-SA"/>
              </w:rPr>
              <w:pict>
                <v:shape id="_x0000_s1113" o:spid="_x0000_s1113" o:spt="75" type="#_x0000_t75" style="position:absolute;left:0pt;margin-left:-0.85pt;margin-top:10.25pt;height:88.75pt;width:403.9pt;mso-wrap-distance-bottom:0pt;mso-wrap-distance-left:9pt;mso-wrap-distance-right:9pt;mso-wrap-distance-top:0pt;z-index:251667456;mso-width-relative:page;mso-height-relative:page;" o:ole="t" filled="f" o:preferrelative="t" stroked="f" coordsize="21600,21600">
                  <v:path/>
                  <v:fill on="f" focussize="0,0"/>
                  <v:stroke on="f"/>
                  <v:imagedata r:id="rId29" o:title=""/>
                  <o:lock v:ext="edit" aspectratio="f"/>
                  <w10:wrap type="square"/>
                </v:shape>
                <o:OLEObject Type="Embed" ProgID="Visio.Drawing.11" ShapeID="_x0000_s1113" DrawAspect="Content" ObjectID="_1468075730" r:id="rId28">
                  <o:LockedField>false</o:LockedField>
                </o:OLEObject>
              </w:pict>
            </w:r>
            <w:r>
              <w:rPr>
                <w:b w:val="0"/>
                <w:sz w:val="24"/>
                <w:szCs w:val="24"/>
              </w:rPr>
              <w:t>图</w:t>
            </w:r>
            <w:r>
              <w:rPr>
                <w:rFonts w:hint="eastAsia"/>
                <w:b w:val="0"/>
                <w:sz w:val="24"/>
                <w:szCs w:val="24"/>
              </w:rPr>
              <w:t>2-</w:t>
            </w:r>
            <w:r>
              <w:rPr>
                <w:b w:val="0"/>
                <w:sz w:val="24"/>
                <w:szCs w:val="24"/>
              </w:rPr>
              <w:t xml:space="preserve">6    </w:t>
            </w:r>
            <w:r>
              <w:rPr>
                <w:rFonts w:hint="eastAsia"/>
                <w:b w:val="0"/>
                <w:sz w:val="24"/>
                <w:szCs w:val="24"/>
              </w:rPr>
              <w:t>绣花</w:t>
            </w:r>
            <w:r>
              <w:rPr>
                <w:b w:val="0"/>
                <w:sz w:val="24"/>
                <w:szCs w:val="24"/>
              </w:rPr>
              <w:t>布料生产工艺流程及产污环节图</w:t>
            </w:r>
          </w:p>
          <w:p w14:paraId="0FAC0546">
            <w:pPr>
              <w:pStyle w:val="2"/>
              <w:adjustRightInd w:val="0"/>
              <w:spacing w:before="0" w:after="0" w:line="520" w:lineRule="exact"/>
              <w:ind w:firstLine="482" w:firstLineChars="200"/>
              <w:jc w:val="left"/>
              <w:rPr>
                <w:rFonts w:eastAsia="宋体"/>
                <w:bCs w:val="0"/>
                <w:color w:val="auto"/>
                <w:sz w:val="24"/>
                <w:szCs w:val="24"/>
              </w:rPr>
            </w:pPr>
            <w:r>
              <w:rPr>
                <w:rFonts w:eastAsia="宋体"/>
                <w:bCs w:val="0"/>
                <w:color w:val="auto"/>
                <w:sz w:val="24"/>
                <w:szCs w:val="24"/>
              </w:rPr>
              <w:t>生产工艺流程简述：</w:t>
            </w:r>
          </w:p>
          <w:p w14:paraId="51509F1E">
            <w:pPr>
              <w:adjustRightInd w:val="0"/>
              <w:snapToGrid w:val="0"/>
              <w:spacing w:line="520" w:lineRule="exact"/>
              <w:ind w:firstLine="482"/>
              <w:jc w:val="left"/>
              <w:rPr>
                <w:bCs/>
              </w:rPr>
            </w:pPr>
            <w:r>
              <w:rPr>
                <w:rFonts w:hint="eastAsia"/>
                <w:b/>
              </w:rPr>
              <w:t>原料：</w:t>
            </w:r>
            <w:r>
              <w:rPr>
                <w:rFonts w:hint="eastAsia"/>
                <w:bCs/>
              </w:rPr>
              <w:t>项目口袋加装工序的基础布料由商家提供。</w:t>
            </w:r>
          </w:p>
          <w:p w14:paraId="2EF6D828">
            <w:pPr>
              <w:adjustRightInd w:val="0"/>
              <w:snapToGrid w:val="0"/>
              <w:spacing w:line="520" w:lineRule="exact"/>
              <w:ind w:firstLine="482"/>
              <w:jc w:val="left"/>
              <w:rPr>
                <w:bCs/>
              </w:rPr>
            </w:pPr>
            <w:r>
              <w:rPr>
                <w:rFonts w:hint="eastAsia"/>
                <w:b/>
              </w:rPr>
              <w:t>排版定位：</w:t>
            </w:r>
            <w:r>
              <w:rPr>
                <w:rFonts w:hint="eastAsia"/>
                <w:bCs/>
              </w:rPr>
              <w:t>根据产品订单要求，将基础布料铺在工作平台上。</w:t>
            </w:r>
          </w:p>
          <w:p w14:paraId="15AB962B">
            <w:pPr>
              <w:adjustRightInd w:val="0"/>
              <w:snapToGrid w:val="0"/>
              <w:spacing w:line="520" w:lineRule="exact"/>
              <w:ind w:firstLine="482"/>
              <w:jc w:val="left"/>
              <w:rPr>
                <w:bCs/>
              </w:rPr>
            </w:pPr>
            <w:r>
              <w:rPr>
                <w:rFonts w:hint="eastAsia"/>
                <w:b/>
              </w:rPr>
              <w:t>绣花：</w:t>
            </w:r>
            <w:r>
              <w:rPr>
                <w:rFonts w:hint="eastAsia"/>
                <w:bCs/>
              </w:rPr>
              <w:t>利用绣花机进行绣花。</w:t>
            </w:r>
          </w:p>
          <w:p w14:paraId="6B7795F5">
            <w:pPr>
              <w:pStyle w:val="6"/>
              <w:spacing w:line="520" w:lineRule="exact"/>
              <w:ind w:firstLine="482"/>
              <w:rPr>
                <w:b/>
                <w:sz w:val="24"/>
              </w:rPr>
            </w:pPr>
            <w:r>
              <w:rPr>
                <w:rFonts w:hint="eastAsia"/>
                <w:b/>
                <w:sz w:val="24"/>
              </w:rPr>
              <w:t>熨烫：</w:t>
            </w:r>
            <w:r>
              <w:rPr>
                <w:rFonts w:hint="eastAsia"/>
                <w:bCs/>
                <w:sz w:val="24"/>
              </w:rPr>
              <w:t>绣花</w:t>
            </w:r>
            <w:r>
              <w:rPr>
                <w:rFonts w:hint="eastAsia"/>
                <w:bCs/>
                <w:sz w:val="24"/>
                <w:lang w:eastAsia="zh-CN"/>
              </w:rPr>
              <w:t>后</w:t>
            </w:r>
            <w:r>
              <w:rPr>
                <w:rFonts w:hint="eastAsia"/>
                <w:bCs/>
                <w:sz w:val="24"/>
              </w:rPr>
              <w:t>的布料人工熨烫压平，熨烫机以电为能源。</w:t>
            </w:r>
          </w:p>
          <w:p w14:paraId="3098FF88">
            <w:pPr>
              <w:pStyle w:val="6"/>
              <w:spacing w:line="520" w:lineRule="exact"/>
              <w:ind w:firstLine="482"/>
              <w:rPr>
                <w:bCs/>
                <w:sz w:val="24"/>
                <w:szCs w:val="24"/>
              </w:rPr>
            </w:pPr>
            <w:r>
              <w:rPr>
                <w:rFonts w:hint="eastAsia"/>
                <w:b/>
                <w:sz w:val="24"/>
              </w:rPr>
              <w:t>包装、入库</w:t>
            </w:r>
            <w:r>
              <w:rPr>
                <w:b/>
                <w:sz w:val="24"/>
              </w:rPr>
              <w:t>：</w:t>
            </w:r>
            <w:r>
              <w:rPr>
                <w:rFonts w:hint="eastAsia"/>
                <w:bCs/>
                <w:sz w:val="24"/>
              </w:rPr>
              <w:t>整理好的布料进行包装、入库、待售</w:t>
            </w:r>
            <w:r>
              <w:rPr>
                <w:bCs/>
                <w:sz w:val="24"/>
                <w:szCs w:val="24"/>
              </w:rPr>
              <w:t>。</w:t>
            </w:r>
          </w:p>
          <w:p w14:paraId="3D687A3C">
            <w:pPr>
              <w:keepLines w:val="0"/>
              <w:pageBreakBefore w:val="0"/>
              <w:widowControl w:val="0"/>
              <w:kinsoku/>
              <w:wordWrap/>
              <w:overflowPunct/>
              <w:topLinePunct w:val="0"/>
              <w:autoSpaceDE/>
              <w:autoSpaceDN/>
              <w:bidi w:val="0"/>
              <w:adjustRightInd/>
              <w:snapToGrid/>
              <w:spacing w:line="480" w:lineRule="exact"/>
              <w:ind w:firstLine="482"/>
              <w:textAlignment w:val="auto"/>
              <w:rPr>
                <w:b/>
              </w:rPr>
            </w:pPr>
            <w:r>
              <w:rPr>
                <w:rFonts w:hint="eastAsia"/>
                <w:b/>
              </w:rPr>
              <w:t>3、</w:t>
            </w:r>
            <w:r>
              <w:rPr>
                <w:b/>
              </w:rPr>
              <w:t>主要产污</w:t>
            </w:r>
            <w:r>
              <w:rPr>
                <w:rFonts w:hint="eastAsia"/>
                <w:b/>
              </w:rPr>
              <w:t>环节</w:t>
            </w:r>
            <w:r>
              <w:rPr>
                <w:b/>
              </w:rPr>
              <w:t>分析</w:t>
            </w:r>
          </w:p>
          <w:p w14:paraId="37BE30E5">
            <w:pPr>
              <w:keepLines w:val="0"/>
              <w:pageBreakBefore w:val="0"/>
              <w:widowControl w:val="0"/>
              <w:kinsoku/>
              <w:wordWrap/>
              <w:overflowPunct/>
              <w:topLinePunct w:val="0"/>
              <w:autoSpaceDE/>
              <w:autoSpaceDN/>
              <w:bidi w:val="0"/>
              <w:adjustRightInd/>
              <w:snapToGrid/>
              <w:spacing w:line="480" w:lineRule="exact"/>
              <w:ind w:firstLine="480"/>
              <w:textAlignment w:val="auto"/>
              <w:rPr>
                <w:rFonts w:eastAsia="黑体"/>
              </w:rPr>
            </w:pPr>
            <w:r>
              <w:t>项目营期主要产污情况详见下表：</w:t>
            </w:r>
          </w:p>
          <w:p w14:paraId="43CFEDCE">
            <w:pPr>
              <w:pStyle w:val="7"/>
              <w:keepNext/>
              <w:keepLines w:val="0"/>
              <w:pageBreakBefore w:val="0"/>
              <w:widowControl w:val="0"/>
              <w:kinsoku/>
              <w:wordWrap/>
              <w:overflowPunct/>
              <w:topLinePunct w:val="0"/>
              <w:autoSpaceDE/>
              <w:autoSpaceDN/>
              <w:bidi w:val="0"/>
              <w:adjustRightInd/>
              <w:snapToGrid/>
              <w:spacing w:line="480" w:lineRule="exact"/>
              <w:ind w:firstLine="1440" w:firstLineChars="600"/>
              <w:jc w:val="both"/>
              <w:textAlignment w:val="auto"/>
              <w:rPr>
                <w:szCs w:val="24"/>
              </w:rPr>
            </w:pPr>
            <w:r>
              <w:rPr>
                <w:szCs w:val="24"/>
              </w:rPr>
              <w:t>表2-</w:t>
            </w:r>
            <w:r>
              <w:rPr>
                <w:rFonts w:hint="eastAsia"/>
                <w:szCs w:val="24"/>
              </w:rPr>
              <w:t>6</w:t>
            </w:r>
            <w:r>
              <w:rPr>
                <w:szCs w:val="24"/>
              </w:rPr>
              <w:t xml:space="preserve">         本项目运营期主要产污情况汇总表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76"/>
              <w:gridCol w:w="1023"/>
              <w:gridCol w:w="1552"/>
              <w:gridCol w:w="1424"/>
              <w:gridCol w:w="1251"/>
              <w:gridCol w:w="1252"/>
            </w:tblGrid>
            <w:tr w14:paraId="225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vAlign w:val="center"/>
                </w:tcPr>
                <w:p w14:paraId="03E278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b/>
                      <w:bCs/>
                      <w:sz w:val="21"/>
                      <w:szCs w:val="21"/>
                    </w:rPr>
                    <w:t>序号</w:t>
                  </w:r>
                </w:p>
              </w:tc>
              <w:tc>
                <w:tcPr>
                  <w:tcW w:w="546" w:type="pct"/>
                  <w:tcBorders>
                    <w:tl2br w:val="nil"/>
                    <w:tr2bl w:val="nil"/>
                  </w:tcBorders>
                  <w:vAlign w:val="center"/>
                </w:tcPr>
                <w:p w14:paraId="214620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b/>
                      <w:bCs/>
                      <w:sz w:val="21"/>
                      <w:szCs w:val="21"/>
                    </w:rPr>
                    <w:t>污染物</w:t>
                  </w:r>
                </w:p>
              </w:tc>
              <w:tc>
                <w:tcPr>
                  <w:tcW w:w="1605" w:type="pct"/>
                  <w:gridSpan w:val="2"/>
                  <w:tcBorders>
                    <w:tl2br w:val="nil"/>
                    <w:tr2bl w:val="nil"/>
                  </w:tcBorders>
                  <w:vAlign w:val="center"/>
                </w:tcPr>
                <w:p w14:paraId="296EC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b/>
                      <w:bCs/>
                      <w:sz w:val="21"/>
                      <w:szCs w:val="21"/>
                    </w:rPr>
                    <w:t>产污环节</w:t>
                  </w:r>
                </w:p>
              </w:tc>
              <w:tc>
                <w:tcPr>
                  <w:tcW w:w="888" w:type="pct"/>
                  <w:tcBorders>
                    <w:tl2br w:val="nil"/>
                    <w:tr2bl w:val="nil"/>
                  </w:tcBorders>
                  <w:vAlign w:val="center"/>
                </w:tcPr>
                <w:p w14:paraId="7F0E3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b/>
                      <w:bCs/>
                      <w:sz w:val="21"/>
                      <w:szCs w:val="21"/>
                    </w:rPr>
                    <w:t>污染因子</w:t>
                  </w:r>
                </w:p>
              </w:tc>
              <w:tc>
                <w:tcPr>
                  <w:tcW w:w="1561" w:type="pct"/>
                  <w:gridSpan w:val="2"/>
                  <w:tcBorders>
                    <w:tl2br w:val="nil"/>
                    <w:tr2bl w:val="nil"/>
                  </w:tcBorders>
                  <w:vAlign w:val="center"/>
                </w:tcPr>
                <w:p w14:paraId="7B76B7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b/>
                      <w:bCs/>
                      <w:sz w:val="21"/>
                      <w:szCs w:val="21"/>
                    </w:rPr>
                    <w:t>治理措施</w:t>
                  </w:r>
                </w:p>
              </w:tc>
            </w:tr>
            <w:tr w14:paraId="434B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restart"/>
                  <w:tcBorders>
                    <w:tl2br w:val="nil"/>
                    <w:tr2bl w:val="nil"/>
                  </w:tcBorders>
                  <w:vAlign w:val="center"/>
                </w:tcPr>
                <w:p w14:paraId="39C1A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1</w:t>
                  </w:r>
                </w:p>
              </w:tc>
              <w:tc>
                <w:tcPr>
                  <w:tcW w:w="546" w:type="pct"/>
                  <w:vMerge w:val="restart"/>
                  <w:tcBorders>
                    <w:tl2br w:val="nil"/>
                    <w:tr2bl w:val="nil"/>
                  </w:tcBorders>
                  <w:vAlign w:val="center"/>
                </w:tcPr>
                <w:p w14:paraId="37314E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废气</w:t>
                  </w:r>
                </w:p>
              </w:tc>
              <w:tc>
                <w:tcPr>
                  <w:tcW w:w="638" w:type="pct"/>
                  <w:vMerge w:val="restart"/>
                  <w:tcBorders>
                    <w:tl2br w:val="nil"/>
                    <w:tr2bl w:val="nil"/>
                  </w:tcBorders>
                  <w:shd w:val="clear" w:color="auto" w:fill="auto"/>
                  <w:vAlign w:val="center"/>
                </w:tcPr>
                <w:p w14:paraId="38A2E1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喷墨</w:t>
                  </w:r>
                  <w:r>
                    <w:rPr>
                      <w:bCs/>
                      <w:sz w:val="21"/>
                      <w:szCs w:val="21"/>
                    </w:rPr>
                    <w:t>印花生产线</w:t>
                  </w:r>
                </w:p>
              </w:tc>
              <w:tc>
                <w:tcPr>
                  <w:tcW w:w="967" w:type="pct"/>
                  <w:tcBorders>
                    <w:tl2br w:val="nil"/>
                    <w:tr2bl w:val="nil"/>
                  </w:tcBorders>
                  <w:shd w:val="clear" w:color="auto" w:fill="auto"/>
                  <w:vAlign w:val="center"/>
                </w:tcPr>
                <w:p w14:paraId="2E961A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kern w:val="2"/>
                      <w:sz w:val="21"/>
                      <w:szCs w:val="21"/>
                      <w:lang w:val="en-US" w:eastAsia="zh-CN" w:bidi="ar-SA"/>
                    </w:rPr>
                  </w:pPr>
                  <w:r>
                    <w:rPr>
                      <w:bCs/>
                      <w:sz w:val="21"/>
                      <w:szCs w:val="21"/>
                    </w:rPr>
                    <w:t>印花工序</w:t>
                  </w:r>
                </w:p>
              </w:tc>
              <w:tc>
                <w:tcPr>
                  <w:tcW w:w="888" w:type="pct"/>
                  <w:tcBorders>
                    <w:tl2br w:val="nil"/>
                    <w:tr2bl w:val="nil"/>
                  </w:tcBorders>
                  <w:shd w:val="clear" w:color="auto" w:fill="auto"/>
                  <w:vAlign w:val="center"/>
                </w:tcPr>
                <w:p w14:paraId="760C8F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sz w:val="21"/>
                      <w:szCs w:val="21"/>
                    </w:rPr>
                    <w:t>非甲烷总烃</w:t>
                  </w:r>
                </w:p>
              </w:tc>
              <w:tc>
                <w:tcPr>
                  <w:tcW w:w="780" w:type="pct"/>
                  <w:vMerge w:val="restart"/>
                  <w:tcBorders>
                    <w:tl2br w:val="nil"/>
                    <w:tr2bl w:val="nil"/>
                  </w:tcBorders>
                  <w:shd w:val="clear" w:color="auto" w:fill="auto"/>
                  <w:vAlign w:val="center"/>
                </w:tcPr>
                <w:p w14:paraId="6C0E8B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Cs/>
                      <w:color w:val="000000"/>
                      <w:sz w:val="21"/>
                      <w:szCs w:val="21"/>
                      <w:lang w:val="en-US" w:eastAsia="zh-CN"/>
                    </w:rPr>
                  </w:pPr>
                  <w:r>
                    <w:rPr>
                      <w:rFonts w:hint="eastAsia"/>
                      <w:bCs/>
                      <w:color w:val="000000"/>
                      <w:sz w:val="21"/>
                      <w:szCs w:val="21"/>
                      <w:lang w:val="en-US" w:eastAsia="zh-CN"/>
                    </w:rPr>
                    <w:t>/</w:t>
                  </w:r>
                </w:p>
              </w:tc>
              <w:tc>
                <w:tcPr>
                  <w:tcW w:w="780" w:type="pct"/>
                  <w:vMerge w:val="restart"/>
                  <w:tcBorders>
                    <w:tl2br w:val="nil"/>
                    <w:tr2bl w:val="nil"/>
                  </w:tcBorders>
                  <w:shd w:val="clear" w:color="auto" w:fill="auto"/>
                  <w:vAlign w:val="center"/>
                </w:tcPr>
                <w:p w14:paraId="133C6C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bCs/>
                      <w:color w:val="000000"/>
                      <w:sz w:val="21"/>
                      <w:szCs w:val="21"/>
                    </w:rPr>
                    <w:t>活性炭吸附/脱附-催化燃烧装置</w:t>
                  </w:r>
                  <w:r>
                    <w:rPr>
                      <w:rFonts w:hint="eastAsia"/>
                      <w:sz w:val="21"/>
                      <w:szCs w:val="21"/>
                    </w:rPr>
                    <w:t>（TA001）</w:t>
                  </w:r>
                  <w:r>
                    <w:rPr>
                      <w:bCs/>
                      <w:color w:val="000000"/>
                      <w:sz w:val="21"/>
                      <w:szCs w:val="21"/>
                    </w:rPr>
                    <w:t>处理</w:t>
                  </w:r>
                  <w:r>
                    <w:rPr>
                      <w:bCs/>
                      <w:color w:val="000000" w:themeColor="text1"/>
                      <w:sz w:val="21"/>
                      <w:szCs w:val="21"/>
                      <w14:textFill>
                        <w14:solidFill>
                          <w14:schemeClr w14:val="tx1"/>
                        </w14:solidFill>
                      </w14:textFill>
                    </w:rPr>
                    <w:t>，</w:t>
                  </w:r>
                  <w:r>
                    <w:rPr>
                      <w:sz w:val="21"/>
                      <w:szCs w:val="21"/>
                    </w:rPr>
                    <w:t>尾气经15m高排气筒</w:t>
                  </w:r>
                  <w:r>
                    <w:rPr>
                      <w:rFonts w:hint="eastAsia"/>
                      <w:sz w:val="21"/>
                      <w:szCs w:val="21"/>
                    </w:rPr>
                    <w:t>（DA001）</w:t>
                  </w:r>
                  <w:r>
                    <w:rPr>
                      <w:sz w:val="21"/>
                      <w:szCs w:val="21"/>
                    </w:rPr>
                    <w:t>排放。</w:t>
                  </w:r>
                </w:p>
              </w:tc>
            </w:tr>
            <w:tr w14:paraId="7339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34487F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46" w:type="pct"/>
                  <w:vMerge w:val="continue"/>
                  <w:tcBorders>
                    <w:tl2br w:val="nil"/>
                    <w:tr2bl w:val="nil"/>
                  </w:tcBorders>
                  <w:vAlign w:val="center"/>
                </w:tcPr>
                <w:p w14:paraId="6B5EB7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638" w:type="pct"/>
                  <w:vMerge w:val="continue"/>
                  <w:tcBorders>
                    <w:tl2br w:val="nil"/>
                    <w:tr2bl w:val="nil"/>
                  </w:tcBorders>
                  <w:shd w:val="clear" w:color="auto" w:fill="auto"/>
                  <w:vAlign w:val="center"/>
                </w:tcPr>
                <w:p w14:paraId="6FBE66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967" w:type="pct"/>
                  <w:tcBorders>
                    <w:tl2br w:val="nil"/>
                    <w:tr2bl w:val="nil"/>
                  </w:tcBorders>
                  <w:shd w:val="clear" w:color="auto" w:fill="auto"/>
                  <w:vAlign w:val="center"/>
                </w:tcPr>
                <w:p w14:paraId="5CEA6B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擦洗工序</w:t>
                  </w:r>
                </w:p>
              </w:tc>
              <w:tc>
                <w:tcPr>
                  <w:tcW w:w="888" w:type="pct"/>
                  <w:tcBorders>
                    <w:tl2br w:val="nil"/>
                    <w:tr2bl w:val="nil"/>
                  </w:tcBorders>
                  <w:shd w:val="clear" w:color="auto" w:fill="auto"/>
                  <w:vAlign w:val="center"/>
                </w:tcPr>
                <w:p w14:paraId="7B4ED3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sz w:val="21"/>
                      <w:szCs w:val="21"/>
                    </w:rPr>
                    <w:t>非甲烷总烃</w:t>
                  </w:r>
                </w:p>
              </w:tc>
              <w:tc>
                <w:tcPr>
                  <w:tcW w:w="780" w:type="pct"/>
                  <w:vMerge w:val="continue"/>
                  <w:tcBorders>
                    <w:tl2br w:val="nil"/>
                    <w:tr2bl w:val="nil"/>
                  </w:tcBorders>
                  <w:shd w:val="clear" w:color="auto" w:fill="auto"/>
                  <w:vAlign w:val="center"/>
                </w:tcPr>
                <w:p w14:paraId="0E27E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shd w:val="clear" w:color="auto" w:fill="auto"/>
                  <w:vAlign w:val="center"/>
                </w:tcPr>
                <w:p w14:paraId="3CE76A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27AF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4BB70E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546" w:type="pct"/>
                  <w:vMerge w:val="continue"/>
                  <w:tcBorders>
                    <w:tl2br w:val="nil"/>
                    <w:tr2bl w:val="nil"/>
                  </w:tcBorders>
                  <w:vAlign w:val="center"/>
                </w:tcPr>
                <w:p w14:paraId="3ABAB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638" w:type="pct"/>
                  <w:vMerge w:val="continue"/>
                  <w:tcBorders>
                    <w:tl2br w:val="nil"/>
                    <w:tr2bl w:val="nil"/>
                  </w:tcBorders>
                  <w:shd w:val="clear" w:color="auto" w:fill="auto"/>
                  <w:vAlign w:val="center"/>
                </w:tcPr>
                <w:p w14:paraId="31F878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967" w:type="pct"/>
                  <w:tcBorders>
                    <w:tl2br w:val="nil"/>
                    <w:tr2bl w:val="nil"/>
                  </w:tcBorders>
                  <w:shd w:val="clear" w:color="auto" w:fill="auto"/>
                  <w:vAlign w:val="center"/>
                </w:tcPr>
                <w:p w14:paraId="06911E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烘干工序</w:t>
                  </w:r>
                </w:p>
              </w:tc>
              <w:tc>
                <w:tcPr>
                  <w:tcW w:w="888" w:type="pct"/>
                  <w:tcBorders>
                    <w:tl2br w:val="nil"/>
                    <w:tr2bl w:val="nil"/>
                  </w:tcBorders>
                  <w:shd w:val="clear" w:color="auto" w:fill="auto"/>
                  <w:vAlign w:val="center"/>
                </w:tcPr>
                <w:p w14:paraId="6C9A0F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sz w:val="21"/>
                      <w:szCs w:val="21"/>
                    </w:rPr>
                    <w:t>非甲烷总烃</w:t>
                  </w:r>
                </w:p>
              </w:tc>
              <w:tc>
                <w:tcPr>
                  <w:tcW w:w="780" w:type="pct"/>
                  <w:vMerge w:val="continue"/>
                  <w:tcBorders>
                    <w:tl2br w:val="nil"/>
                    <w:tr2bl w:val="nil"/>
                  </w:tcBorders>
                  <w:shd w:val="clear" w:color="auto" w:fill="auto"/>
                  <w:vAlign w:val="center"/>
                </w:tcPr>
                <w:p w14:paraId="3529CD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shd w:val="clear" w:color="auto" w:fill="auto"/>
                  <w:vAlign w:val="center"/>
                </w:tcPr>
                <w:p w14:paraId="7A03E1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6777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193E1D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546" w:type="pct"/>
                  <w:vMerge w:val="continue"/>
                  <w:tcBorders>
                    <w:tl2br w:val="nil"/>
                    <w:tr2bl w:val="nil"/>
                  </w:tcBorders>
                  <w:vAlign w:val="center"/>
                </w:tcPr>
                <w:p w14:paraId="234B38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638" w:type="pct"/>
                  <w:tcBorders>
                    <w:tl2br w:val="nil"/>
                    <w:tr2bl w:val="nil"/>
                  </w:tcBorders>
                  <w:shd w:val="clear" w:color="auto" w:fill="auto"/>
                  <w:vAlign w:val="center"/>
                </w:tcPr>
                <w:p w14:paraId="28D7FB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压条生产线</w:t>
                  </w:r>
                </w:p>
              </w:tc>
              <w:tc>
                <w:tcPr>
                  <w:tcW w:w="967" w:type="pct"/>
                  <w:tcBorders>
                    <w:tl2br w:val="nil"/>
                    <w:tr2bl w:val="nil"/>
                  </w:tcBorders>
                  <w:shd w:val="clear" w:color="auto" w:fill="auto"/>
                  <w:vAlign w:val="center"/>
                </w:tcPr>
                <w:p w14:paraId="713359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复合工序</w:t>
                  </w:r>
                </w:p>
              </w:tc>
              <w:tc>
                <w:tcPr>
                  <w:tcW w:w="888" w:type="pct"/>
                  <w:tcBorders>
                    <w:tl2br w:val="nil"/>
                    <w:tr2bl w:val="nil"/>
                  </w:tcBorders>
                  <w:shd w:val="clear" w:color="auto" w:fill="auto"/>
                  <w:vAlign w:val="center"/>
                </w:tcPr>
                <w:p w14:paraId="5DA512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sz w:val="21"/>
                      <w:szCs w:val="21"/>
                    </w:rPr>
                    <w:t>非甲烷总烃</w:t>
                  </w:r>
                </w:p>
              </w:tc>
              <w:tc>
                <w:tcPr>
                  <w:tcW w:w="780" w:type="pct"/>
                  <w:vMerge w:val="continue"/>
                  <w:tcBorders>
                    <w:tl2br w:val="nil"/>
                    <w:tr2bl w:val="nil"/>
                  </w:tcBorders>
                  <w:shd w:val="clear" w:color="auto" w:fill="auto"/>
                  <w:vAlign w:val="center"/>
                </w:tcPr>
                <w:p w14:paraId="2502ED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shd w:val="clear" w:color="auto" w:fill="auto"/>
                  <w:vAlign w:val="center"/>
                </w:tcPr>
                <w:p w14:paraId="460787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1CA6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398" w:type="pct"/>
                  <w:vMerge w:val="continue"/>
                  <w:tcBorders>
                    <w:tl2br w:val="nil"/>
                    <w:tr2bl w:val="nil"/>
                  </w:tcBorders>
                  <w:vAlign w:val="center"/>
                </w:tcPr>
                <w:p w14:paraId="741CF7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7C3507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638" w:type="pct"/>
                  <w:vMerge w:val="restart"/>
                  <w:tcBorders>
                    <w:tl2br w:val="nil"/>
                    <w:tr2bl w:val="nil"/>
                  </w:tcBorders>
                  <w:vAlign w:val="center"/>
                </w:tcPr>
                <w:p w14:paraId="70EDAF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高周波压花生产线</w:t>
                  </w:r>
                </w:p>
              </w:tc>
              <w:tc>
                <w:tcPr>
                  <w:tcW w:w="967" w:type="pct"/>
                  <w:tcBorders>
                    <w:tl2br w:val="nil"/>
                    <w:tr2bl w:val="nil"/>
                  </w:tcBorders>
                  <w:vAlign w:val="center"/>
                </w:tcPr>
                <w:p w14:paraId="057A9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压花工序</w:t>
                  </w:r>
                </w:p>
              </w:tc>
              <w:tc>
                <w:tcPr>
                  <w:tcW w:w="888" w:type="pct"/>
                  <w:tcBorders>
                    <w:tl2br w:val="nil"/>
                    <w:tr2bl w:val="nil"/>
                  </w:tcBorders>
                  <w:vAlign w:val="center"/>
                </w:tcPr>
                <w:p w14:paraId="0FCDEE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非甲烷总烃</w:t>
                  </w:r>
                  <w:r>
                    <w:rPr>
                      <w:rFonts w:hint="eastAsia"/>
                      <w:sz w:val="21"/>
                      <w:szCs w:val="21"/>
                    </w:rPr>
                    <w:t>颗粒物</w:t>
                  </w:r>
                </w:p>
              </w:tc>
              <w:tc>
                <w:tcPr>
                  <w:tcW w:w="780" w:type="pct"/>
                  <w:vMerge w:val="restart"/>
                  <w:tcBorders>
                    <w:tl2br w:val="nil"/>
                    <w:tr2bl w:val="nil"/>
                  </w:tcBorders>
                  <w:vAlign w:val="center"/>
                </w:tcPr>
                <w:p w14:paraId="46155D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eastAsia="zh-CN"/>
                    </w:rPr>
                    <w:t>袋式除尘器</w:t>
                  </w:r>
                  <w:r>
                    <w:rPr>
                      <w:rFonts w:hint="eastAsia"/>
                      <w:sz w:val="21"/>
                      <w:szCs w:val="21"/>
                    </w:rPr>
                    <w:t>预处理（TA002）</w:t>
                  </w:r>
                </w:p>
              </w:tc>
              <w:tc>
                <w:tcPr>
                  <w:tcW w:w="780" w:type="pct"/>
                  <w:vMerge w:val="continue"/>
                  <w:tcBorders>
                    <w:tl2br w:val="nil"/>
                    <w:tr2bl w:val="nil"/>
                  </w:tcBorders>
                  <w:vAlign w:val="center"/>
                </w:tcPr>
                <w:p w14:paraId="72B03A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25F2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398" w:type="pct"/>
                  <w:vMerge w:val="continue"/>
                  <w:tcBorders>
                    <w:tl2br w:val="nil"/>
                    <w:tr2bl w:val="nil"/>
                  </w:tcBorders>
                  <w:vAlign w:val="center"/>
                </w:tcPr>
                <w:p w14:paraId="5C8D4E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46" w:type="pct"/>
                  <w:vMerge w:val="continue"/>
                  <w:tcBorders>
                    <w:tl2br w:val="nil"/>
                    <w:tr2bl w:val="nil"/>
                  </w:tcBorders>
                  <w:vAlign w:val="center"/>
                </w:tcPr>
                <w:p w14:paraId="17A66E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638" w:type="pct"/>
                  <w:vMerge w:val="continue"/>
                  <w:tcBorders>
                    <w:tl2br w:val="nil"/>
                    <w:tr2bl w:val="nil"/>
                  </w:tcBorders>
                  <w:vAlign w:val="center"/>
                </w:tcPr>
                <w:p w14:paraId="53EEF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967" w:type="pct"/>
                  <w:tcBorders>
                    <w:tl2br w:val="nil"/>
                    <w:tr2bl w:val="nil"/>
                  </w:tcBorders>
                  <w:vAlign w:val="center"/>
                </w:tcPr>
                <w:p w14:paraId="1607B9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冷却定型工序</w:t>
                  </w:r>
                </w:p>
              </w:tc>
              <w:tc>
                <w:tcPr>
                  <w:tcW w:w="888" w:type="pct"/>
                  <w:tcBorders>
                    <w:tl2br w:val="nil"/>
                    <w:tr2bl w:val="nil"/>
                  </w:tcBorders>
                  <w:vAlign w:val="center"/>
                </w:tcPr>
                <w:p w14:paraId="28C5C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sz w:val="21"/>
                      <w:szCs w:val="21"/>
                    </w:rPr>
                    <w:t>非甲烷总烃</w:t>
                  </w:r>
                </w:p>
              </w:tc>
              <w:tc>
                <w:tcPr>
                  <w:tcW w:w="780" w:type="pct"/>
                  <w:vMerge w:val="continue"/>
                  <w:tcBorders>
                    <w:tl2br w:val="nil"/>
                    <w:tr2bl w:val="nil"/>
                  </w:tcBorders>
                  <w:vAlign w:val="center"/>
                </w:tcPr>
                <w:p w14:paraId="43796F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vAlign w:val="center"/>
                </w:tcPr>
                <w:p w14:paraId="3C2051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2828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8" w:type="pct"/>
                  <w:vMerge w:val="continue"/>
                  <w:tcBorders>
                    <w:tl2br w:val="nil"/>
                    <w:tr2bl w:val="nil"/>
                  </w:tcBorders>
                  <w:vAlign w:val="center"/>
                </w:tcPr>
                <w:p w14:paraId="1F2D88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46" w:type="pct"/>
                  <w:vMerge w:val="continue"/>
                  <w:tcBorders>
                    <w:tl2br w:val="nil"/>
                    <w:tr2bl w:val="nil"/>
                  </w:tcBorders>
                  <w:vAlign w:val="center"/>
                </w:tcPr>
                <w:p w14:paraId="0C44C2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638" w:type="pct"/>
                  <w:vMerge w:val="restart"/>
                  <w:tcBorders>
                    <w:tl2br w:val="nil"/>
                    <w:tr2bl w:val="nil"/>
                  </w:tcBorders>
                  <w:vAlign w:val="center"/>
                </w:tcPr>
                <w:p w14:paraId="6B8A2C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r>
                    <w:rPr>
                      <w:bCs/>
                      <w:sz w:val="21"/>
                      <w:szCs w:val="21"/>
                    </w:rPr>
                    <w:t>镭射</w:t>
                  </w:r>
                  <w:r>
                    <w:rPr>
                      <w:rFonts w:hint="eastAsia"/>
                      <w:bCs/>
                      <w:sz w:val="21"/>
                      <w:szCs w:val="21"/>
                    </w:rPr>
                    <w:t>雕花生产线</w:t>
                  </w:r>
                </w:p>
              </w:tc>
              <w:tc>
                <w:tcPr>
                  <w:tcW w:w="967" w:type="pct"/>
                  <w:tcBorders>
                    <w:tl2br w:val="nil"/>
                    <w:tr2bl w:val="nil"/>
                  </w:tcBorders>
                  <w:vAlign w:val="center"/>
                </w:tcPr>
                <w:p w14:paraId="0CF4D5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镭射雕花工序</w:t>
                  </w:r>
                </w:p>
              </w:tc>
              <w:tc>
                <w:tcPr>
                  <w:tcW w:w="888" w:type="pct"/>
                  <w:tcBorders>
                    <w:tl2br w:val="nil"/>
                    <w:tr2bl w:val="nil"/>
                  </w:tcBorders>
                  <w:vAlign w:val="center"/>
                </w:tcPr>
                <w:p w14:paraId="2B39A5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非甲烷总烃颗粒物</w:t>
                  </w:r>
                </w:p>
              </w:tc>
              <w:tc>
                <w:tcPr>
                  <w:tcW w:w="780" w:type="pct"/>
                  <w:vMerge w:val="continue"/>
                  <w:tcBorders>
                    <w:tl2br w:val="nil"/>
                    <w:tr2bl w:val="nil"/>
                  </w:tcBorders>
                  <w:vAlign w:val="center"/>
                </w:tcPr>
                <w:p w14:paraId="1238D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vAlign w:val="center"/>
                </w:tcPr>
                <w:p w14:paraId="4E619D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3E86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8" w:type="pct"/>
                  <w:vMerge w:val="continue"/>
                  <w:tcBorders>
                    <w:tl2br w:val="nil"/>
                    <w:tr2bl w:val="nil"/>
                  </w:tcBorders>
                  <w:vAlign w:val="center"/>
                </w:tcPr>
                <w:p w14:paraId="16D0BD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46" w:type="pct"/>
                  <w:vMerge w:val="continue"/>
                  <w:tcBorders>
                    <w:tl2br w:val="nil"/>
                    <w:tr2bl w:val="nil"/>
                  </w:tcBorders>
                  <w:vAlign w:val="center"/>
                </w:tcPr>
                <w:p w14:paraId="0E263F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638" w:type="pct"/>
                  <w:vMerge w:val="continue"/>
                  <w:tcBorders>
                    <w:tl2br w:val="nil"/>
                    <w:tr2bl w:val="nil"/>
                  </w:tcBorders>
                  <w:vAlign w:val="center"/>
                </w:tcPr>
                <w:p w14:paraId="62A021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967" w:type="pct"/>
                  <w:tcBorders>
                    <w:tl2br w:val="nil"/>
                    <w:tr2bl w:val="nil"/>
                  </w:tcBorders>
                  <w:vAlign w:val="center"/>
                </w:tcPr>
                <w:p w14:paraId="06D256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清理工序</w:t>
                  </w:r>
                </w:p>
              </w:tc>
              <w:tc>
                <w:tcPr>
                  <w:tcW w:w="888" w:type="pct"/>
                  <w:tcBorders>
                    <w:tl2br w:val="nil"/>
                    <w:tr2bl w:val="nil"/>
                  </w:tcBorders>
                  <w:vAlign w:val="center"/>
                </w:tcPr>
                <w:p w14:paraId="57BACA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bCs/>
                      <w:sz w:val="21"/>
                      <w:szCs w:val="21"/>
                    </w:rPr>
                  </w:pPr>
                  <w:r>
                    <w:rPr>
                      <w:rFonts w:hint="eastAsia"/>
                      <w:sz w:val="21"/>
                      <w:szCs w:val="21"/>
                    </w:rPr>
                    <w:t>颗粒物</w:t>
                  </w:r>
                </w:p>
              </w:tc>
              <w:tc>
                <w:tcPr>
                  <w:tcW w:w="780" w:type="pct"/>
                  <w:vMerge w:val="continue"/>
                  <w:tcBorders>
                    <w:tl2br w:val="nil"/>
                    <w:tr2bl w:val="nil"/>
                  </w:tcBorders>
                  <w:vAlign w:val="center"/>
                </w:tcPr>
                <w:p w14:paraId="0C74E8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780" w:type="pct"/>
                  <w:vMerge w:val="continue"/>
                  <w:tcBorders>
                    <w:tl2br w:val="nil"/>
                    <w:tr2bl w:val="nil"/>
                  </w:tcBorders>
                  <w:vAlign w:val="center"/>
                </w:tcPr>
                <w:p w14:paraId="6B8958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7909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98" w:type="pct"/>
                  <w:vMerge w:val="continue"/>
                  <w:tcBorders>
                    <w:tl2br w:val="nil"/>
                    <w:tr2bl w:val="nil"/>
                  </w:tcBorders>
                  <w:vAlign w:val="center"/>
                </w:tcPr>
                <w:p w14:paraId="2BACFC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546" w:type="pct"/>
                  <w:vMerge w:val="continue"/>
                  <w:tcBorders>
                    <w:tl2br w:val="nil"/>
                    <w:tr2bl w:val="nil"/>
                  </w:tcBorders>
                  <w:vAlign w:val="center"/>
                </w:tcPr>
                <w:p w14:paraId="6799B4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pPr>
                </w:p>
              </w:tc>
              <w:tc>
                <w:tcPr>
                  <w:tcW w:w="638" w:type="pct"/>
                  <w:tcBorders>
                    <w:tl2br w:val="nil"/>
                    <w:tr2bl w:val="nil"/>
                  </w:tcBorders>
                  <w:shd w:val="clear" w:color="auto" w:fill="auto"/>
                  <w:vAlign w:val="center"/>
                </w:tcPr>
                <w:p w14:paraId="7539F1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口袋加装生产线</w:t>
                  </w:r>
                </w:p>
              </w:tc>
              <w:tc>
                <w:tcPr>
                  <w:tcW w:w="967" w:type="pct"/>
                  <w:tcBorders>
                    <w:tl2br w:val="nil"/>
                    <w:tr2bl w:val="nil"/>
                  </w:tcBorders>
                  <w:shd w:val="clear" w:color="auto" w:fill="auto"/>
                  <w:vAlign w:val="center"/>
                </w:tcPr>
                <w:p w14:paraId="55C9FD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激光开口工序</w:t>
                  </w:r>
                </w:p>
              </w:tc>
              <w:tc>
                <w:tcPr>
                  <w:tcW w:w="888" w:type="pct"/>
                  <w:tcBorders>
                    <w:tl2br w:val="nil"/>
                    <w:tr2bl w:val="nil"/>
                  </w:tcBorders>
                  <w:vAlign w:val="center"/>
                </w:tcPr>
                <w:p w14:paraId="37FE80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sz w:val="21"/>
                      <w:szCs w:val="21"/>
                    </w:rPr>
                    <w:t>非甲烷总烃颗粒物</w:t>
                  </w:r>
                </w:p>
              </w:tc>
              <w:tc>
                <w:tcPr>
                  <w:tcW w:w="780" w:type="pct"/>
                  <w:vMerge w:val="continue"/>
                  <w:tcBorders>
                    <w:tl2br w:val="nil"/>
                    <w:tr2bl w:val="nil"/>
                  </w:tcBorders>
                  <w:vAlign w:val="center"/>
                </w:tcPr>
                <w:p w14:paraId="205A66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c>
                <w:tcPr>
                  <w:tcW w:w="780" w:type="pct"/>
                  <w:vMerge w:val="continue"/>
                  <w:tcBorders>
                    <w:tl2br w:val="nil"/>
                    <w:tr2bl w:val="nil"/>
                  </w:tcBorders>
                  <w:vAlign w:val="center"/>
                </w:tcPr>
                <w:p w14:paraId="4BA8FC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p>
              </w:tc>
            </w:tr>
            <w:tr w14:paraId="32E1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vAlign w:val="center"/>
                </w:tcPr>
                <w:p w14:paraId="03C3E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w:t>
                  </w:r>
                </w:p>
              </w:tc>
              <w:tc>
                <w:tcPr>
                  <w:tcW w:w="546" w:type="pct"/>
                  <w:tcBorders>
                    <w:tl2br w:val="nil"/>
                    <w:tr2bl w:val="nil"/>
                  </w:tcBorders>
                  <w:vAlign w:val="center"/>
                </w:tcPr>
                <w:p w14:paraId="17AEDD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废水</w:t>
                  </w:r>
                </w:p>
              </w:tc>
              <w:tc>
                <w:tcPr>
                  <w:tcW w:w="1605" w:type="pct"/>
                  <w:gridSpan w:val="2"/>
                  <w:tcBorders>
                    <w:tl2br w:val="nil"/>
                    <w:tr2bl w:val="nil"/>
                  </w:tcBorders>
                  <w:vAlign w:val="center"/>
                </w:tcPr>
                <w:p w14:paraId="213C05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kern w:val="0"/>
                      <w:sz w:val="21"/>
                      <w:szCs w:val="21"/>
                    </w:rPr>
                  </w:pPr>
                  <w:r>
                    <w:rPr>
                      <w:kern w:val="0"/>
                      <w:sz w:val="21"/>
                      <w:szCs w:val="21"/>
                    </w:rPr>
                    <w:t>生活污水</w:t>
                  </w:r>
                </w:p>
              </w:tc>
              <w:tc>
                <w:tcPr>
                  <w:tcW w:w="888" w:type="pct"/>
                  <w:tcBorders>
                    <w:tl2br w:val="nil"/>
                    <w:tr2bl w:val="nil"/>
                  </w:tcBorders>
                  <w:vAlign w:val="center"/>
                </w:tcPr>
                <w:p w14:paraId="3A541CE0">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sz w:val="21"/>
                      <w:szCs w:val="21"/>
                    </w:rPr>
                  </w:pPr>
                  <w:r>
                    <w:rPr>
                      <w:sz w:val="21"/>
                      <w:szCs w:val="21"/>
                    </w:rPr>
                    <w:t>COD、SS、NH</w:t>
                  </w:r>
                  <w:r>
                    <w:rPr>
                      <w:sz w:val="21"/>
                      <w:szCs w:val="21"/>
                      <w:vertAlign w:val="subscript"/>
                    </w:rPr>
                    <w:t>3</w:t>
                  </w:r>
                  <w:r>
                    <w:rPr>
                      <w:sz w:val="21"/>
                      <w:szCs w:val="21"/>
                    </w:rPr>
                    <w:t>-N、TP、TN</w:t>
                  </w:r>
                </w:p>
              </w:tc>
              <w:tc>
                <w:tcPr>
                  <w:tcW w:w="1561" w:type="pct"/>
                  <w:gridSpan w:val="2"/>
                  <w:tcBorders>
                    <w:tl2br w:val="nil"/>
                    <w:tr2bl w:val="nil"/>
                  </w:tcBorders>
                  <w:vAlign w:val="center"/>
                </w:tcPr>
                <w:p w14:paraId="7276D5E4">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sz w:val="21"/>
                      <w:szCs w:val="21"/>
                    </w:rPr>
                  </w:pPr>
                  <w:r>
                    <w:rPr>
                      <w:sz w:val="21"/>
                      <w:szCs w:val="21"/>
                    </w:rPr>
                    <w:t>经化粪池处理后排入</w:t>
                  </w:r>
                  <w:r>
                    <w:rPr>
                      <w:rFonts w:hint="eastAsia"/>
                      <w:sz w:val="21"/>
                      <w:szCs w:val="21"/>
                    </w:rPr>
                    <w:t>河南新投水务有限公司（小尚庄污水处理厂）</w:t>
                  </w:r>
                  <w:r>
                    <w:rPr>
                      <w:sz w:val="21"/>
                      <w:szCs w:val="21"/>
                    </w:rPr>
                    <w:t>进一步处理。</w:t>
                  </w:r>
                </w:p>
              </w:tc>
            </w:tr>
            <w:tr w14:paraId="580A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tcBorders>
                    <w:tl2br w:val="nil"/>
                    <w:tr2bl w:val="nil"/>
                  </w:tcBorders>
                  <w:vAlign w:val="center"/>
                </w:tcPr>
                <w:p w14:paraId="4F3652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3</w:t>
                  </w:r>
                </w:p>
              </w:tc>
              <w:tc>
                <w:tcPr>
                  <w:tcW w:w="546" w:type="pct"/>
                  <w:tcBorders>
                    <w:tl2br w:val="nil"/>
                    <w:tr2bl w:val="nil"/>
                  </w:tcBorders>
                  <w:vAlign w:val="center"/>
                </w:tcPr>
                <w:p w14:paraId="5D503E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噪声</w:t>
                  </w:r>
                </w:p>
              </w:tc>
              <w:tc>
                <w:tcPr>
                  <w:tcW w:w="2494" w:type="pct"/>
                  <w:gridSpan w:val="3"/>
                  <w:tcBorders>
                    <w:tl2br w:val="nil"/>
                    <w:tr2bl w:val="nil"/>
                  </w:tcBorders>
                  <w:vAlign w:val="center"/>
                </w:tcPr>
                <w:p w14:paraId="18B51C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主要为</w:t>
                  </w:r>
                  <w:r>
                    <w:rPr>
                      <w:rFonts w:hint="eastAsia"/>
                      <w:sz w:val="21"/>
                      <w:szCs w:val="21"/>
                    </w:rPr>
                    <w:t>喷墨印刷机</w:t>
                  </w:r>
                  <w:r>
                    <w:rPr>
                      <w:sz w:val="21"/>
                      <w:szCs w:val="21"/>
                    </w:rPr>
                    <w:t>、</w:t>
                  </w:r>
                  <w:r>
                    <w:rPr>
                      <w:rFonts w:hint="eastAsia"/>
                      <w:sz w:val="21"/>
                      <w:szCs w:val="21"/>
                    </w:rPr>
                    <w:t>镭射</w:t>
                  </w:r>
                  <w:r>
                    <w:rPr>
                      <w:sz w:val="21"/>
                      <w:szCs w:val="21"/>
                    </w:rPr>
                    <w:t>机等设备运行时产生的噪声，其噪声源值在70~85dB(A)</w:t>
                  </w:r>
                </w:p>
              </w:tc>
              <w:tc>
                <w:tcPr>
                  <w:tcW w:w="1561" w:type="pct"/>
                  <w:gridSpan w:val="2"/>
                  <w:tcBorders>
                    <w:tl2br w:val="nil"/>
                    <w:tr2bl w:val="nil"/>
                  </w:tcBorders>
                  <w:vAlign w:val="center"/>
                </w:tcPr>
                <w:p w14:paraId="166E96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基础减振、车间隔声、合理布局</w:t>
                  </w:r>
                </w:p>
              </w:tc>
            </w:tr>
            <w:tr w14:paraId="294F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restart"/>
                  <w:tcBorders>
                    <w:tl2br w:val="nil"/>
                    <w:tr2bl w:val="nil"/>
                  </w:tcBorders>
                  <w:vAlign w:val="center"/>
                </w:tcPr>
                <w:p w14:paraId="31D910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4</w:t>
                  </w:r>
                </w:p>
              </w:tc>
              <w:tc>
                <w:tcPr>
                  <w:tcW w:w="546" w:type="pct"/>
                  <w:vMerge w:val="restart"/>
                  <w:tcBorders>
                    <w:tl2br w:val="nil"/>
                    <w:tr2bl w:val="nil"/>
                  </w:tcBorders>
                  <w:vAlign w:val="center"/>
                </w:tcPr>
                <w:p w14:paraId="26EFA0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固废</w:t>
                  </w:r>
                </w:p>
              </w:tc>
              <w:tc>
                <w:tcPr>
                  <w:tcW w:w="1605" w:type="pct"/>
                  <w:gridSpan w:val="2"/>
                  <w:tcBorders>
                    <w:tl2br w:val="nil"/>
                    <w:tr2bl w:val="nil"/>
                  </w:tcBorders>
                  <w:vAlign w:val="center"/>
                </w:tcPr>
                <w:p w14:paraId="43E3D4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修整</w:t>
                  </w:r>
                  <w:r>
                    <w:rPr>
                      <w:sz w:val="21"/>
                      <w:szCs w:val="21"/>
                    </w:rPr>
                    <w:t>工序</w:t>
                  </w:r>
                </w:p>
              </w:tc>
              <w:tc>
                <w:tcPr>
                  <w:tcW w:w="888" w:type="pct"/>
                  <w:tcBorders>
                    <w:tl2br w:val="nil"/>
                    <w:tr2bl w:val="nil"/>
                  </w:tcBorders>
                  <w:vAlign w:val="center"/>
                </w:tcPr>
                <w:p w14:paraId="538C76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废边角料</w:t>
                  </w:r>
                </w:p>
              </w:tc>
              <w:tc>
                <w:tcPr>
                  <w:tcW w:w="1561" w:type="pct"/>
                  <w:gridSpan w:val="2"/>
                  <w:vMerge w:val="restart"/>
                  <w:tcBorders>
                    <w:tl2br w:val="nil"/>
                    <w:tr2bl w:val="nil"/>
                  </w:tcBorders>
                  <w:vAlign w:val="center"/>
                </w:tcPr>
                <w:p w14:paraId="5F6A5B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集中收集后暂存于一般固废暂存间，定期外售。</w:t>
                  </w:r>
                </w:p>
              </w:tc>
            </w:tr>
            <w:tr w14:paraId="19EF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57946A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18042E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605" w:type="pct"/>
                  <w:gridSpan w:val="2"/>
                  <w:tcBorders>
                    <w:tl2br w:val="nil"/>
                    <w:tr2bl w:val="nil"/>
                  </w:tcBorders>
                  <w:shd w:val="clear" w:color="auto" w:fill="auto"/>
                  <w:vAlign w:val="center"/>
                </w:tcPr>
                <w:p w14:paraId="7B2B9A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sz w:val="21"/>
                      <w:szCs w:val="21"/>
                    </w:rPr>
                    <w:t>废气治理</w:t>
                  </w:r>
                </w:p>
              </w:tc>
              <w:tc>
                <w:tcPr>
                  <w:tcW w:w="888" w:type="pct"/>
                  <w:tcBorders>
                    <w:tl2br w:val="nil"/>
                    <w:tr2bl w:val="nil"/>
                  </w:tcBorders>
                  <w:shd w:val="clear" w:color="auto" w:fill="auto"/>
                  <w:vAlign w:val="center"/>
                </w:tcPr>
                <w:p w14:paraId="1A9D55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rFonts w:hint="eastAsia"/>
                      <w:sz w:val="21"/>
                      <w:szCs w:val="21"/>
                      <w:lang w:eastAsia="zh-CN"/>
                    </w:rPr>
                    <w:t>袋式除尘器</w:t>
                  </w:r>
                  <w:r>
                    <w:rPr>
                      <w:sz w:val="21"/>
                      <w:szCs w:val="21"/>
                    </w:rPr>
                    <w:t>收集粉尘</w:t>
                  </w:r>
                </w:p>
              </w:tc>
              <w:tc>
                <w:tcPr>
                  <w:tcW w:w="1561" w:type="pct"/>
                  <w:gridSpan w:val="2"/>
                  <w:vMerge w:val="continue"/>
                  <w:tcBorders>
                    <w:tl2br w:val="nil"/>
                    <w:tr2bl w:val="nil"/>
                  </w:tcBorders>
                  <w:vAlign w:val="center"/>
                </w:tcPr>
                <w:p w14:paraId="16E985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58B3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72670D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7F8993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605" w:type="pct"/>
                  <w:gridSpan w:val="2"/>
                  <w:tcBorders>
                    <w:tl2br w:val="nil"/>
                    <w:tr2bl w:val="nil"/>
                  </w:tcBorders>
                  <w:vAlign w:val="center"/>
                </w:tcPr>
                <w:p w14:paraId="2BAF4D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油墨、胶浆</w:t>
                  </w:r>
                  <w:r>
                    <w:rPr>
                      <w:sz w:val="21"/>
                      <w:szCs w:val="21"/>
                    </w:rPr>
                    <w:t>原料使用</w:t>
                  </w:r>
                </w:p>
              </w:tc>
              <w:tc>
                <w:tcPr>
                  <w:tcW w:w="888" w:type="pct"/>
                  <w:tcBorders>
                    <w:tl2br w:val="nil"/>
                    <w:tr2bl w:val="nil"/>
                  </w:tcBorders>
                  <w:vAlign w:val="center"/>
                </w:tcPr>
                <w:p w14:paraId="516A36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废</w:t>
                  </w:r>
                  <w:r>
                    <w:rPr>
                      <w:sz w:val="21"/>
                      <w:szCs w:val="21"/>
                    </w:rPr>
                    <w:t>包装</w:t>
                  </w:r>
                  <w:r>
                    <w:rPr>
                      <w:rFonts w:hint="eastAsia"/>
                      <w:sz w:val="21"/>
                      <w:szCs w:val="21"/>
                    </w:rPr>
                    <w:t>桶</w:t>
                  </w:r>
                </w:p>
              </w:tc>
              <w:tc>
                <w:tcPr>
                  <w:tcW w:w="1561" w:type="pct"/>
                  <w:gridSpan w:val="2"/>
                  <w:vMerge w:val="restart"/>
                  <w:tcBorders>
                    <w:tl2br w:val="nil"/>
                    <w:tr2bl w:val="nil"/>
                  </w:tcBorders>
                  <w:vAlign w:val="center"/>
                </w:tcPr>
                <w:p w14:paraId="56552FDC">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sz w:val="21"/>
                      <w:szCs w:val="21"/>
                    </w:rPr>
                  </w:pPr>
                  <w:r>
                    <w:rPr>
                      <w:color w:val="000000"/>
                      <w:sz w:val="21"/>
                      <w:szCs w:val="21"/>
                    </w:rPr>
                    <w:t>分类集中收集，暂存于危险废物暂存间内，定期委托有相应危废处置资质的单位处置</w:t>
                  </w:r>
                </w:p>
              </w:tc>
            </w:tr>
            <w:tr w14:paraId="2F4B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7A576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2D43ED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605" w:type="pct"/>
                  <w:gridSpan w:val="2"/>
                  <w:tcBorders>
                    <w:tl2br w:val="nil"/>
                    <w:tr2bl w:val="nil"/>
                  </w:tcBorders>
                  <w:vAlign w:val="center"/>
                </w:tcPr>
                <w:p w14:paraId="4D458E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eastAsia="zh-CN"/>
                    </w:rPr>
                    <w:t>油墨擦洗</w:t>
                  </w:r>
                </w:p>
              </w:tc>
              <w:tc>
                <w:tcPr>
                  <w:tcW w:w="888" w:type="pct"/>
                  <w:tcBorders>
                    <w:tl2br w:val="nil"/>
                    <w:tr2bl w:val="nil"/>
                  </w:tcBorders>
                  <w:vAlign w:val="center"/>
                </w:tcPr>
                <w:p w14:paraId="75F1A9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eastAsia="zh-CN"/>
                    </w:rPr>
                    <w:t>废抹布</w:t>
                  </w:r>
                </w:p>
              </w:tc>
              <w:tc>
                <w:tcPr>
                  <w:tcW w:w="1561" w:type="pct"/>
                  <w:gridSpan w:val="2"/>
                  <w:vMerge w:val="continue"/>
                  <w:tcBorders>
                    <w:tl2br w:val="nil"/>
                    <w:tr2bl w:val="nil"/>
                  </w:tcBorders>
                  <w:vAlign w:val="center"/>
                </w:tcPr>
                <w:p w14:paraId="37929057">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color w:val="000000"/>
                      <w:sz w:val="21"/>
                      <w:szCs w:val="21"/>
                    </w:rPr>
                  </w:pPr>
                </w:p>
              </w:tc>
            </w:tr>
            <w:tr w14:paraId="6785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75F8B6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7DB755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605" w:type="pct"/>
                  <w:gridSpan w:val="2"/>
                  <w:vMerge w:val="restart"/>
                  <w:tcBorders>
                    <w:tl2br w:val="nil"/>
                    <w:tr2bl w:val="nil"/>
                  </w:tcBorders>
                  <w:vAlign w:val="center"/>
                </w:tcPr>
                <w:p w14:paraId="1E6A4D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废气治理</w:t>
                  </w:r>
                </w:p>
              </w:tc>
              <w:tc>
                <w:tcPr>
                  <w:tcW w:w="888" w:type="pct"/>
                  <w:tcBorders>
                    <w:tl2br w:val="nil"/>
                    <w:tr2bl w:val="nil"/>
                  </w:tcBorders>
                  <w:vAlign w:val="center"/>
                </w:tcPr>
                <w:p w14:paraId="24E5E1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废催化剂</w:t>
                  </w:r>
                </w:p>
              </w:tc>
              <w:tc>
                <w:tcPr>
                  <w:tcW w:w="1561" w:type="pct"/>
                  <w:gridSpan w:val="2"/>
                  <w:vMerge w:val="continue"/>
                  <w:tcBorders>
                    <w:tl2br w:val="nil"/>
                    <w:tr2bl w:val="nil"/>
                  </w:tcBorders>
                  <w:vAlign w:val="center"/>
                </w:tcPr>
                <w:p w14:paraId="49C36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58C1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8" w:type="pct"/>
                  <w:vMerge w:val="continue"/>
                  <w:tcBorders>
                    <w:tl2br w:val="nil"/>
                    <w:tr2bl w:val="nil"/>
                  </w:tcBorders>
                  <w:vAlign w:val="center"/>
                </w:tcPr>
                <w:p w14:paraId="7F7400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546" w:type="pct"/>
                  <w:vMerge w:val="continue"/>
                  <w:tcBorders>
                    <w:tl2br w:val="nil"/>
                    <w:tr2bl w:val="nil"/>
                  </w:tcBorders>
                  <w:vAlign w:val="center"/>
                </w:tcPr>
                <w:p w14:paraId="186B7C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605" w:type="pct"/>
                  <w:gridSpan w:val="2"/>
                  <w:vMerge w:val="continue"/>
                  <w:tcBorders>
                    <w:tl2br w:val="nil"/>
                    <w:tr2bl w:val="nil"/>
                  </w:tcBorders>
                  <w:vAlign w:val="center"/>
                </w:tcPr>
                <w:p w14:paraId="18CD38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tcBorders>
                    <w:tl2br w:val="nil"/>
                    <w:tr2bl w:val="nil"/>
                  </w:tcBorders>
                  <w:vAlign w:val="center"/>
                </w:tcPr>
                <w:p w14:paraId="690EC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废活性炭</w:t>
                  </w:r>
                </w:p>
              </w:tc>
              <w:tc>
                <w:tcPr>
                  <w:tcW w:w="1561" w:type="pct"/>
                  <w:gridSpan w:val="2"/>
                  <w:vMerge w:val="continue"/>
                  <w:tcBorders>
                    <w:tl2br w:val="nil"/>
                    <w:tr2bl w:val="nil"/>
                  </w:tcBorders>
                  <w:vAlign w:val="center"/>
                </w:tcPr>
                <w:p w14:paraId="39B631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bl>
          <w:p w14:paraId="4F6D0266">
            <w:pPr>
              <w:adjustRightInd w:val="0"/>
              <w:snapToGrid w:val="0"/>
              <w:ind w:firstLine="0" w:firstLineChars="0"/>
              <w:jc w:val="left"/>
              <w:rPr>
                <w:b/>
              </w:rPr>
            </w:pPr>
          </w:p>
        </w:tc>
      </w:tr>
      <w:tr w14:paraId="18E476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817" w:type="dxa"/>
            <w:vAlign w:val="center"/>
          </w:tcPr>
          <w:p w14:paraId="10384043">
            <w:pPr>
              <w:pStyle w:val="21"/>
              <w:adjustRightInd w:val="0"/>
              <w:snapToGrid w:val="0"/>
              <w:spacing w:before="0" w:beforeAutospacing="0" w:after="0" w:afterAutospacing="0" w:line="240" w:lineRule="auto"/>
              <w:ind w:left="-72" w:leftChars="-30" w:right="-72" w:rightChars="-30" w:firstLine="0" w:firstLineChars="0"/>
              <w:jc w:val="center"/>
              <w:rPr>
                <w:rFonts w:ascii="Times New Roman" w:hAnsi="Times New Roman"/>
                <w:szCs w:val="24"/>
              </w:rPr>
            </w:pPr>
            <w:r>
              <w:rPr>
                <w:rFonts w:ascii="Times New Roman" w:hAnsi="Times New Roman"/>
                <w:b/>
                <w:kern w:val="2"/>
                <w:szCs w:val="24"/>
              </w:rPr>
              <w:t>与项目有关的原有环境污染问题</w:t>
            </w:r>
          </w:p>
        </w:tc>
        <w:tc>
          <w:tcPr>
            <w:tcW w:w="8243" w:type="dxa"/>
            <w:vAlign w:val="center"/>
          </w:tcPr>
          <w:p w14:paraId="65842EC0">
            <w:pPr>
              <w:adjustRightInd w:val="0"/>
              <w:snapToGrid w:val="0"/>
              <w:spacing w:line="520" w:lineRule="atLeast"/>
              <w:ind w:firstLine="480"/>
              <w:rPr>
                <w:rFonts w:hint="eastAsia"/>
              </w:rPr>
            </w:pPr>
            <w:r>
              <w:rPr>
                <w:rFonts w:hint="eastAsia"/>
                <w:bCs/>
                <w:kern w:val="0"/>
                <w:szCs w:val="20"/>
              </w:rPr>
              <w:t>本项目为新建项目，不存在与本项目有关的原有环境污染问题</w:t>
            </w:r>
            <w:r>
              <w:rPr>
                <w:rFonts w:hint="eastAsia"/>
              </w:rPr>
              <w:t>。</w:t>
            </w:r>
          </w:p>
          <w:p w14:paraId="19616F08">
            <w:pPr>
              <w:adjustRightInd w:val="0"/>
              <w:snapToGrid w:val="0"/>
              <w:spacing w:line="520" w:lineRule="atLeast"/>
              <w:ind w:firstLine="480"/>
              <w:rPr>
                <w:rFonts w:hint="eastAsia"/>
              </w:rPr>
            </w:pPr>
          </w:p>
          <w:p w14:paraId="2B2193DB">
            <w:pPr>
              <w:adjustRightInd w:val="0"/>
              <w:snapToGrid w:val="0"/>
              <w:spacing w:line="520" w:lineRule="atLeast"/>
              <w:ind w:firstLine="480"/>
              <w:rPr>
                <w:rFonts w:hint="eastAsia"/>
              </w:rPr>
            </w:pPr>
          </w:p>
          <w:p w14:paraId="2FB30A3C">
            <w:pPr>
              <w:adjustRightInd w:val="0"/>
              <w:snapToGrid w:val="0"/>
              <w:spacing w:line="520" w:lineRule="atLeast"/>
              <w:ind w:firstLine="480"/>
              <w:rPr>
                <w:rFonts w:hint="eastAsia"/>
              </w:rPr>
            </w:pPr>
          </w:p>
          <w:p w14:paraId="28902A0C">
            <w:pPr>
              <w:adjustRightInd w:val="0"/>
              <w:snapToGrid w:val="0"/>
              <w:spacing w:line="520" w:lineRule="atLeast"/>
              <w:ind w:firstLine="480"/>
              <w:rPr>
                <w:rFonts w:hint="eastAsia"/>
              </w:rPr>
            </w:pPr>
          </w:p>
          <w:p w14:paraId="1A937E9A">
            <w:pPr>
              <w:adjustRightInd w:val="0"/>
              <w:snapToGrid w:val="0"/>
              <w:spacing w:line="520" w:lineRule="atLeast"/>
              <w:ind w:firstLine="480"/>
              <w:rPr>
                <w:rFonts w:hint="eastAsia"/>
              </w:rPr>
            </w:pPr>
          </w:p>
          <w:p w14:paraId="4C6E90B3">
            <w:pPr>
              <w:adjustRightInd w:val="0"/>
              <w:snapToGrid w:val="0"/>
              <w:spacing w:line="520" w:lineRule="atLeast"/>
              <w:ind w:firstLine="480"/>
              <w:rPr>
                <w:rFonts w:hint="eastAsia"/>
              </w:rPr>
            </w:pPr>
          </w:p>
          <w:p w14:paraId="7EFADA32">
            <w:pPr>
              <w:adjustRightInd w:val="0"/>
              <w:snapToGrid w:val="0"/>
              <w:spacing w:line="520" w:lineRule="atLeast"/>
              <w:ind w:firstLine="480"/>
              <w:rPr>
                <w:rFonts w:hint="eastAsia"/>
              </w:rPr>
            </w:pPr>
          </w:p>
          <w:p w14:paraId="00047D6B">
            <w:pPr>
              <w:adjustRightInd w:val="0"/>
              <w:snapToGrid w:val="0"/>
              <w:spacing w:line="520" w:lineRule="atLeast"/>
              <w:ind w:firstLine="480"/>
              <w:rPr>
                <w:rFonts w:hint="eastAsia"/>
              </w:rPr>
            </w:pPr>
          </w:p>
          <w:p w14:paraId="135BBCC7">
            <w:pPr>
              <w:adjustRightInd w:val="0"/>
              <w:snapToGrid w:val="0"/>
              <w:spacing w:line="520" w:lineRule="atLeast"/>
              <w:ind w:firstLine="480"/>
              <w:rPr>
                <w:rFonts w:hint="eastAsia"/>
              </w:rPr>
            </w:pPr>
          </w:p>
          <w:p w14:paraId="3377AEB1">
            <w:pPr>
              <w:adjustRightInd w:val="0"/>
              <w:snapToGrid w:val="0"/>
              <w:spacing w:line="520" w:lineRule="atLeast"/>
              <w:ind w:firstLine="480"/>
              <w:rPr>
                <w:rFonts w:hint="eastAsia"/>
              </w:rPr>
            </w:pPr>
          </w:p>
          <w:p w14:paraId="2E19F98F">
            <w:pPr>
              <w:adjustRightInd w:val="0"/>
              <w:snapToGrid w:val="0"/>
              <w:spacing w:line="520" w:lineRule="atLeast"/>
              <w:ind w:firstLine="480"/>
              <w:rPr>
                <w:rFonts w:hint="eastAsia"/>
              </w:rPr>
            </w:pPr>
          </w:p>
          <w:p w14:paraId="6EC14190">
            <w:pPr>
              <w:adjustRightInd w:val="0"/>
              <w:snapToGrid w:val="0"/>
              <w:spacing w:line="520" w:lineRule="atLeast"/>
              <w:ind w:firstLine="480"/>
              <w:rPr>
                <w:rFonts w:hint="eastAsia"/>
              </w:rPr>
            </w:pPr>
          </w:p>
          <w:p w14:paraId="7E83EE3F">
            <w:pPr>
              <w:adjustRightInd w:val="0"/>
              <w:snapToGrid w:val="0"/>
              <w:spacing w:line="520" w:lineRule="atLeast"/>
              <w:ind w:firstLine="480"/>
              <w:rPr>
                <w:rFonts w:hint="eastAsia"/>
              </w:rPr>
            </w:pPr>
          </w:p>
          <w:p w14:paraId="3ADF563F">
            <w:pPr>
              <w:adjustRightInd w:val="0"/>
              <w:snapToGrid w:val="0"/>
              <w:spacing w:line="520" w:lineRule="atLeast"/>
              <w:ind w:firstLine="480"/>
              <w:rPr>
                <w:rFonts w:hint="eastAsia"/>
              </w:rPr>
            </w:pPr>
          </w:p>
        </w:tc>
      </w:tr>
    </w:tbl>
    <w:p w14:paraId="2787DF98">
      <w:pPr>
        <w:pStyle w:val="2"/>
      </w:pPr>
      <w:r>
        <w:t>三、区域环境质量现状、环保护目标及评价标准</w:t>
      </w:r>
    </w:p>
    <w:tbl>
      <w:tblPr>
        <w:tblStyle w:val="26"/>
        <w:tblW w:w="9061" w:type="dxa"/>
        <w:tblInd w:w="16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44"/>
      </w:tblGrid>
      <w:tr w14:paraId="0D3D6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92" w:hRule="atLeast"/>
        </w:trPr>
        <w:tc>
          <w:tcPr>
            <w:tcW w:w="817" w:type="dxa"/>
            <w:vAlign w:val="center"/>
          </w:tcPr>
          <w:p w14:paraId="52C80E25">
            <w:pPr>
              <w:adjustRightInd w:val="0"/>
              <w:snapToGrid w:val="0"/>
              <w:spacing w:line="240" w:lineRule="auto"/>
              <w:ind w:firstLine="0" w:firstLineChars="0"/>
              <w:jc w:val="center"/>
              <w:rPr>
                <w:b/>
                <w:bCs/>
                <w:kern w:val="0"/>
              </w:rPr>
            </w:pPr>
            <w:r>
              <w:rPr>
                <w:b/>
                <w:bCs/>
                <w:kern w:val="0"/>
              </w:rPr>
              <w:t>区域</w:t>
            </w:r>
          </w:p>
          <w:p w14:paraId="17949340">
            <w:pPr>
              <w:adjustRightInd w:val="0"/>
              <w:snapToGrid w:val="0"/>
              <w:spacing w:line="240" w:lineRule="auto"/>
              <w:ind w:firstLine="0" w:firstLineChars="0"/>
              <w:jc w:val="center"/>
              <w:rPr>
                <w:b/>
                <w:bCs/>
                <w:kern w:val="0"/>
              </w:rPr>
            </w:pPr>
            <w:r>
              <w:rPr>
                <w:b/>
                <w:bCs/>
                <w:kern w:val="0"/>
              </w:rPr>
              <w:t>环境</w:t>
            </w:r>
          </w:p>
          <w:p w14:paraId="3BAA4E83">
            <w:pPr>
              <w:adjustRightInd w:val="0"/>
              <w:snapToGrid w:val="0"/>
              <w:spacing w:line="240" w:lineRule="auto"/>
              <w:ind w:firstLine="0" w:firstLineChars="0"/>
              <w:jc w:val="center"/>
              <w:rPr>
                <w:b/>
                <w:bCs/>
                <w:kern w:val="0"/>
              </w:rPr>
            </w:pPr>
            <w:r>
              <w:rPr>
                <w:b/>
                <w:bCs/>
                <w:kern w:val="0"/>
              </w:rPr>
              <w:t>质量</w:t>
            </w:r>
          </w:p>
          <w:p w14:paraId="575CD41E">
            <w:pPr>
              <w:adjustRightInd w:val="0"/>
              <w:snapToGrid w:val="0"/>
              <w:spacing w:line="240" w:lineRule="auto"/>
              <w:ind w:firstLine="0" w:firstLineChars="0"/>
              <w:jc w:val="center"/>
              <w:rPr>
                <w:kern w:val="0"/>
                <w:sz w:val="21"/>
                <w:szCs w:val="21"/>
              </w:rPr>
            </w:pPr>
            <w:r>
              <w:rPr>
                <w:b/>
                <w:bCs/>
                <w:kern w:val="0"/>
              </w:rPr>
              <w:t>现状</w:t>
            </w:r>
          </w:p>
        </w:tc>
        <w:tc>
          <w:tcPr>
            <w:tcW w:w="8244" w:type="dxa"/>
            <w:vAlign w:val="center"/>
          </w:tcPr>
          <w:p w14:paraId="2F6DF4A4">
            <w:pPr>
              <w:adjustRightInd w:val="0"/>
              <w:snapToGrid w:val="0"/>
              <w:spacing w:line="520" w:lineRule="exact"/>
              <w:ind w:firstLine="482"/>
              <w:jc w:val="left"/>
              <w:rPr>
                <w:b/>
                <w:bCs/>
              </w:rPr>
            </w:pPr>
            <w:r>
              <w:rPr>
                <w:b/>
                <w:bCs/>
              </w:rPr>
              <w:t>1、环境空气质量现状</w:t>
            </w:r>
          </w:p>
          <w:p w14:paraId="79E23FA5">
            <w:pPr>
              <w:adjustRightInd w:val="0"/>
              <w:snapToGrid w:val="0"/>
              <w:spacing w:line="520" w:lineRule="exact"/>
              <w:ind w:firstLine="480"/>
              <w:rPr>
                <w:color w:val="000000"/>
              </w:rPr>
            </w:pPr>
            <w:r>
              <w:rPr>
                <w:color w:val="000000"/>
              </w:rPr>
              <w:t>根据大气功能区划分原则，建设项目所在地为二类功能区，</w:t>
            </w:r>
            <w:r>
              <w:rPr>
                <w:rFonts w:hint="eastAsia"/>
                <w:color w:val="000000"/>
              </w:rPr>
              <w:t>目前处于过渡时间段内，</w:t>
            </w:r>
            <w:r>
              <w:rPr>
                <w:color w:val="000000"/>
              </w:rPr>
              <w:t>环境空气质量应执行《环境空气质量标准》（GB3095-20</w:t>
            </w:r>
            <w:r>
              <w:rPr>
                <w:rFonts w:hint="eastAsia"/>
                <w:color w:val="000000"/>
              </w:rPr>
              <w:t>26</w:t>
            </w:r>
            <w:r>
              <w:rPr>
                <w:color w:val="000000"/>
              </w:rPr>
              <w:t>）</w:t>
            </w:r>
            <w:r>
              <w:rPr>
                <w:rFonts w:hint="eastAsia"/>
                <w:color w:val="000000"/>
              </w:rPr>
              <w:t>过渡阶段浓度限值</w:t>
            </w:r>
            <w:r>
              <w:rPr>
                <w:color w:val="000000"/>
              </w:rPr>
              <w:t>二级标准。</w:t>
            </w:r>
            <w:r>
              <w:rPr>
                <w:rFonts w:hint="eastAsia"/>
                <w:color w:val="000000"/>
              </w:rPr>
              <w:t>本次评价选取2024年作为评价基准年，新乡市生态环境局发布的《新乡市202</w:t>
            </w:r>
            <w:r>
              <w:rPr>
                <w:rFonts w:hint="eastAsia"/>
                <w:color w:val="000000"/>
                <w:lang w:val="en-US" w:eastAsia="zh-CN"/>
              </w:rPr>
              <w:t>4</w:t>
            </w:r>
            <w:r>
              <w:rPr>
                <w:rFonts w:hint="eastAsia"/>
                <w:color w:val="000000"/>
              </w:rPr>
              <w:t>年环境质量年报》，区域空气质量现状数据如下表所示。</w:t>
            </w:r>
          </w:p>
          <w:p w14:paraId="25A7F755">
            <w:pPr>
              <w:adjustRightInd w:val="0"/>
              <w:snapToGrid w:val="0"/>
              <w:spacing w:line="460" w:lineRule="exact"/>
              <w:ind w:firstLine="960" w:firstLineChars="400"/>
              <w:rPr>
                <w:rFonts w:eastAsia="黑体"/>
              </w:rPr>
            </w:pPr>
            <w:r>
              <w:rPr>
                <w:rFonts w:eastAsia="黑体"/>
              </w:rPr>
              <w:t>表</w:t>
            </w:r>
            <w:r>
              <w:rPr>
                <w:rFonts w:hint="eastAsia" w:eastAsia="黑体"/>
              </w:rPr>
              <w:t>3-1</w:t>
            </w:r>
            <w:r>
              <w:rPr>
                <w:rFonts w:eastAsia="黑体"/>
              </w:rPr>
              <w:t xml:space="preserve">              区域空气质量现状评价表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9"/>
              <w:gridCol w:w="1070"/>
              <w:gridCol w:w="1008"/>
              <w:gridCol w:w="931"/>
              <w:gridCol w:w="841"/>
              <w:gridCol w:w="856"/>
              <w:gridCol w:w="931"/>
              <w:gridCol w:w="788"/>
              <w:gridCol w:w="944"/>
            </w:tblGrid>
            <w:tr w14:paraId="18A5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vMerge w:val="restart"/>
                  <w:tcMar>
                    <w:top w:w="0" w:type="dxa"/>
                    <w:left w:w="28" w:type="dxa"/>
                    <w:bottom w:w="0" w:type="dxa"/>
                    <w:right w:w="28" w:type="dxa"/>
                  </w:tcMar>
                  <w:vAlign w:val="center"/>
                </w:tcPr>
                <w:p w14:paraId="588B3D3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污染物</w:t>
                  </w:r>
                </w:p>
              </w:tc>
              <w:tc>
                <w:tcPr>
                  <w:tcW w:w="1156" w:type="dxa"/>
                  <w:vMerge w:val="restart"/>
                  <w:tcMar>
                    <w:top w:w="0" w:type="dxa"/>
                    <w:left w:w="28" w:type="dxa"/>
                    <w:bottom w:w="0" w:type="dxa"/>
                    <w:right w:w="28" w:type="dxa"/>
                  </w:tcMar>
                  <w:vAlign w:val="center"/>
                </w:tcPr>
                <w:p w14:paraId="73DD23F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年评价指标</w:t>
                  </w:r>
                </w:p>
              </w:tc>
              <w:tc>
                <w:tcPr>
                  <w:tcW w:w="1089" w:type="dxa"/>
                  <w:vMerge w:val="restart"/>
                  <w:tcMar>
                    <w:top w:w="0" w:type="dxa"/>
                    <w:left w:w="28" w:type="dxa"/>
                    <w:bottom w:w="0" w:type="dxa"/>
                    <w:right w:w="28" w:type="dxa"/>
                  </w:tcMar>
                  <w:vAlign w:val="center"/>
                </w:tcPr>
                <w:p w14:paraId="4090A844">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现状浓度/（μg/m</w:t>
                  </w:r>
                  <w:r>
                    <w:rPr>
                      <w:b/>
                      <w:sz w:val="21"/>
                      <w:szCs w:val="21"/>
                      <w:vertAlign w:val="superscript"/>
                    </w:rPr>
                    <w:t>3</w:t>
                  </w:r>
                  <w:r>
                    <w:rPr>
                      <w:b/>
                      <w:sz w:val="21"/>
                      <w:szCs w:val="21"/>
                    </w:rPr>
                    <w:t>）</w:t>
                  </w:r>
                </w:p>
              </w:tc>
              <w:tc>
                <w:tcPr>
                  <w:tcW w:w="2836" w:type="dxa"/>
                  <w:gridSpan w:val="3"/>
                  <w:tcMar>
                    <w:top w:w="0" w:type="dxa"/>
                    <w:left w:w="28" w:type="dxa"/>
                    <w:bottom w:w="0" w:type="dxa"/>
                    <w:right w:w="28" w:type="dxa"/>
                  </w:tcMar>
                  <w:vAlign w:val="center"/>
                </w:tcPr>
                <w:p w14:paraId="188E69EB">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rFonts w:hint="eastAsia"/>
                      <w:b/>
                      <w:sz w:val="21"/>
                      <w:szCs w:val="21"/>
                    </w:rPr>
                    <w:t>（GB3095-2012）及修订单</w:t>
                  </w:r>
                </w:p>
              </w:tc>
              <w:tc>
                <w:tcPr>
                  <w:tcW w:w="2874" w:type="dxa"/>
                  <w:gridSpan w:val="3"/>
                  <w:vAlign w:val="center"/>
                </w:tcPr>
                <w:p w14:paraId="783CE077">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rFonts w:hint="eastAsia"/>
                      <w:b/>
                      <w:sz w:val="21"/>
                      <w:szCs w:val="21"/>
                    </w:rPr>
                    <w:t>（GB3095-2026）（过渡阶段）</w:t>
                  </w:r>
                </w:p>
              </w:tc>
            </w:tr>
            <w:tr w14:paraId="3556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vMerge w:val="continue"/>
                  <w:tcMar>
                    <w:top w:w="0" w:type="dxa"/>
                    <w:left w:w="28" w:type="dxa"/>
                    <w:bottom w:w="0" w:type="dxa"/>
                    <w:right w:w="28" w:type="dxa"/>
                  </w:tcMar>
                  <w:vAlign w:val="center"/>
                </w:tcPr>
                <w:p w14:paraId="18B9B093">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p>
              </w:tc>
              <w:tc>
                <w:tcPr>
                  <w:tcW w:w="1156" w:type="dxa"/>
                  <w:vMerge w:val="continue"/>
                  <w:tcMar>
                    <w:top w:w="0" w:type="dxa"/>
                    <w:left w:w="28" w:type="dxa"/>
                    <w:bottom w:w="0" w:type="dxa"/>
                    <w:right w:w="28" w:type="dxa"/>
                  </w:tcMar>
                  <w:vAlign w:val="center"/>
                </w:tcPr>
                <w:p w14:paraId="5023406F">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p>
              </w:tc>
              <w:tc>
                <w:tcPr>
                  <w:tcW w:w="1089" w:type="dxa"/>
                  <w:vMerge w:val="continue"/>
                  <w:tcMar>
                    <w:top w:w="0" w:type="dxa"/>
                    <w:left w:w="28" w:type="dxa"/>
                    <w:bottom w:w="0" w:type="dxa"/>
                    <w:right w:w="28" w:type="dxa"/>
                  </w:tcMar>
                  <w:vAlign w:val="center"/>
                </w:tcPr>
                <w:p w14:paraId="36CFE576">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p>
              </w:tc>
              <w:tc>
                <w:tcPr>
                  <w:tcW w:w="1005" w:type="dxa"/>
                  <w:tcMar>
                    <w:top w:w="0" w:type="dxa"/>
                    <w:left w:w="28" w:type="dxa"/>
                    <w:bottom w:w="0" w:type="dxa"/>
                    <w:right w:w="28" w:type="dxa"/>
                  </w:tcMar>
                  <w:vAlign w:val="center"/>
                </w:tcPr>
                <w:p w14:paraId="74956CB5">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bookmarkStart w:id="3" w:name="OLE_LINK42"/>
                  <w:r>
                    <w:rPr>
                      <w:b/>
                      <w:sz w:val="21"/>
                      <w:szCs w:val="21"/>
                    </w:rPr>
                    <w:t>标准值</w:t>
                  </w:r>
                  <w:bookmarkEnd w:id="3"/>
                  <w:r>
                    <w:rPr>
                      <w:b/>
                      <w:sz w:val="21"/>
                      <w:szCs w:val="21"/>
                    </w:rPr>
                    <w:t>/（μg/m</w:t>
                  </w:r>
                  <w:r>
                    <w:rPr>
                      <w:b/>
                      <w:sz w:val="21"/>
                      <w:szCs w:val="21"/>
                      <w:vertAlign w:val="superscript"/>
                    </w:rPr>
                    <w:t>3</w:t>
                  </w:r>
                  <w:r>
                    <w:rPr>
                      <w:b/>
                      <w:sz w:val="21"/>
                      <w:szCs w:val="21"/>
                    </w:rPr>
                    <w:t>）</w:t>
                  </w:r>
                </w:p>
              </w:tc>
              <w:tc>
                <w:tcPr>
                  <w:tcW w:w="907" w:type="dxa"/>
                  <w:vAlign w:val="center"/>
                </w:tcPr>
                <w:p w14:paraId="76E0048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占标率/%</w:t>
                  </w:r>
                </w:p>
              </w:tc>
              <w:tc>
                <w:tcPr>
                  <w:tcW w:w="924" w:type="dxa"/>
                  <w:tcMar>
                    <w:top w:w="0" w:type="dxa"/>
                    <w:left w:w="28" w:type="dxa"/>
                    <w:bottom w:w="0" w:type="dxa"/>
                    <w:right w:w="28" w:type="dxa"/>
                  </w:tcMar>
                  <w:vAlign w:val="center"/>
                </w:tcPr>
                <w:p w14:paraId="60BB6CC8">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达标情况</w:t>
                  </w:r>
                </w:p>
              </w:tc>
              <w:tc>
                <w:tcPr>
                  <w:tcW w:w="1005" w:type="dxa"/>
                  <w:vAlign w:val="center"/>
                </w:tcPr>
                <w:p w14:paraId="4E17347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标准值/（μg/m</w:t>
                  </w:r>
                  <w:r>
                    <w:rPr>
                      <w:b/>
                      <w:sz w:val="21"/>
                      <w:szCs w:val="21"/>
                      <w:vertAlign w:val="superscript"/>
                    </w:rPr>
                    <w:t>3</w:t>
                  </w:r>
                  <w:r>
                    <w:rPr>
                      <w:b/>
                      <w:sz w:val="21"/>
                      <w:szCs w:val="21"/>
                    </w:rPr>
                    <w:t>）</w:t>
                  </w:r>
                </w:p>
              </w:tc>
              <w:tc>
                <w:tcPr>
                  <w:tcW w:w="850" w:type="dxa"/>
                  <w:vAlign w:val="center"/>
                </w:tcPr>
                <w:p w14:paraId="5CCDE8EE">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占标率/%</w:t>
                  </w:r>
                </w:p>
              </w:tc>
              <w:tc>
                <w:tcPr>
                  <w:tcW w:w="1019" w:type="dxa"/>
                  <w:tcMar>
                    <w:top w:w="0" w:type="dxa"/>
                    <w:left w:w="28" w:type="dxa"/>
                    <w:bottom w:w="0" w:type="dxa"/>
                    <w:right w:w="28" w:type="dxa"/>
                  </w:tcMar>
                  <w:vAlign w:val="center"/>
                </w:tcPr>
                <w:p w14:paraId="34D24797">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
                      <w:sz w:val="21"/>
                      <w:szCs w:val="21"/>
                    </w:rPr>
                  </w:pPr>
                  <w:r>
                    <w:rPr>
                      <w:b/>
                      <w:sz w:val="21"/>
                      <w:szCs w:val="21"/>
                    </w:rPr>
                    <w:t>达标情况</w:t>
                  </w:r>
                </w:p>
              </w:tc>
            </w:tr>
            <w:tr w14:paraId="35AB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45001BDD">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PM</w:t>
                  </w:r>
                  <w:r>
                    <w:rPr>
                      <w:bCs/>
                      <w:sz w:val="21"/>
                      <w:szCs w:val="21"/>
                      <w:vertAlign w:val="subscript"/>
                    </w:rPr>
                    <w:t>10</w:t>
                  </w:r>
                </w:p>
              </w:tc>
              <w:tc>
                <w:tcPr>
                  <w:tcW w:w="1156" w:type="dxa"/>
                  <w:tcMar>
                    <w:top w:w="0" w:type="dxa"/>
                    <w:left w:w="28" w:type="dxa"/>
                    <w:bottom w:w="0" w:type="dxa"/>
                    <w:right w:w="28" w:type="dxa"/>
                  </w:tcMar>
                  <w:vAlign w:val="center"/>
                </w:tcPr>
                <w:p w14:paraId="3E335E50">
                  <w:pPr>
                    <w:keepNext w:val="0"/>
                    <w:keepLines w:val="0"/>
                    <w:pageBreakBefore w:val="0"/>
                    <w:kinsoku/>
                    <w:wordWrap/>
                    <w:overflowPunct w:val="0"/>
                    <w:topLinePunct w:val="0"/>
                    <w:autoSpaceDE w:val="0"/>
                    <w:autoSpaceDN w:val="0"/>
                    <w:bidi w:val="0"/>
                    <w:adjustRightInd w:val="0"/>
                    <w:spacing w:line="240" w:lineRule="auto"/>
                    <w:ind w:firstLine="0" w:firstLineChars="0"/>
                    <w:contextualSpacing/>
                    <w:jc w:val="center"/>
                    <w:textAlignment w:val="auto"/>
                    <w:rPr>
                      <w:bCs/>
                      <w:sz w:val="21"/>
                      <w:szCs w:val="21"/>
                    </w:rPr>
                  </w:pPr>
                  <w:r>
                    <w:rPr>
                      <w:bCs/>
                      <w:sz w:val="21"/>
                      <w:szCs w:val="21"/>
                    </w:rPr>
                    <w:t>年平均质量浓度</w:t>
                  </w:r>
                </w:p>
              </w:tc>
              <w:tc>
                <w:tcPr>
                  <w:tcW w:w="1089" w:type="dxa"/>
                  <w:tcMar>
                    <w:top w:w="0" w:type="dxa"/>
                    <w:left w:w="28" w:type="dxa"/>
                    <w:bottom w:w="0" w:type="dxa"/>
                    <w:right w:w="28" w:type="dxa"/>
                  </w:tcMar>
                  <w:vAlign w:val="center"/>
                </w:tcPr>
                <w:p w14:paraId="13088D98">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82</w:t>
                  </w:r>
                </w:p>
              </w:tc>
              <w:tc>
                <w:tcPr>
                  <w:tcW w:w="1005" w:type="dxa"/>
                  <w:tcMar>
                    <w:top w:w="0" w:type="dxa"/>
                    <w:left w:w="28" w:type="dxa"/>
                    <w:bottom w:w="0" w:type="dxa"/>
                    <w:right w:w="28" w:type="dxa"/>
                  </w:tcMar>
                  <w:vAlign w:val="center"/>
                </w:tcPr>
                <w:p w14:paraId="26630B00">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lang w:val="en-US" w:eastAsia="zh-CN"/>
                    </w:rPr>
                    <w:t>60</w:t>
                  </w:r>
                </w:p>
              </w:tc>
              <w:tc>
                <w:tcPr>
                  <w:tcW w:w="907" w:type="dxa"/>
                  <w:vAlign w:val="center"/>
                </w:tcPr>
                <w:p w14:paraId="1627867A">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1</w:t>
                  </w:r>
                  <w:r>
                    <w:rPr>
                      <w:rFonts w:hint="eastAsia"/>
                      <w:color w:val="auto"/>
                      <w:sz w:val="21"/>
                      <w:szCs w:val="21"/>
                      <w:lang w:val="en-US" w:eastAsia="zh-CN"/>
                    </w:rPr>
                    <w:t>3</w:t>
                  </w:r>
                  <w:r>
                    <w:rPr>
                      <w:rFonts w:hint="eastAsia"/>
                      <w:color w:val="auto"/>
                      <w:sz w:val="21"/>
                      <w:szCs w:val="21"/>
                    </w:rPr>
                    <w:t>7</w:t>
                  </w:r>
                </w:p>
              </w:tc>
              <w:tc>
                <w:tcPr>
                  <w:tcW w:w="924" w:type="dxa"/>
                  <w:tcMar>
                    <w:top w:w="0" w:type="dxa"/>
                    <w:left w:w="28" w:type="dxa"/>
                    <w:bottom w:w="0" w:type="dxa"/>
                    <w:right w:w="28" w:type="dxa"/>
                  </w:tcMar>
                  <w:vAlign w:val="center"/>
                </w:tcPr>
                <w:p w14:paraId="2B22E36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c>
                <w:tcPr>
                  <w:tcW w:w="1005" w:type="dxa"/>
                  <w:vAlign w:val="center"/>
                </w:tcPr>
                <w:p w14:paraId="423BF0E8">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60</w:t>
                  </w:r>
                </w:p>
              </w:tc>
              <w:tc>
                <w:tcPr>
                  <w:tcW w:w="850" w:type="dxa"/>
                  <w:vAlign w:val="center"/>
                </w:tcPr>
                <w:p w14:paraId="4F955583">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1</w:t>
                  </w:r>
                  <w:r>
                    <w:rPr>
                      <w:rFonts w:hint="eastAsia"/>
                      <w:color w:val="auto"/>
                      <w:sz w:val="21"/>
                      <w:szCs w:val="21"/>
                      <w:lang w:val="en-US" w:eastAsia="zh-CN"/>
                    </w:rPr>
                    <w:t>3</w:t>
                  </w:r>
                  <w:r>
                    <w:rPr>
                      <w:rFonts w:hint="eastAsia"/>
                      <w:color w:val="auto"/>
                      <w:sz w:val="21"/>
                      <w:szCs w:val="21"/>
                    </w:rPr>
                    <w:t>7</w:t>
                  </w:r>
                </w:p>
              </w:tc>
              <w:tc>
                <w:tcPr>
                  <w:tcW w:w="1019" w:type="dxa"/>
                  <w:tcMar>
                    <w:top w:w="0" w:type="dxa"/>
                    <w:left w:w="28" w:type="dxa"/>
                    <w:bottom w:w="0" w:type="dxa"/>
                    <w:right w:w="28" w:type="dxa"/>
                  </w:tcMar>
                  <w:vAlign w:val="center"/>
                </w:tcPr>
                <w:p w14:paraId="213AEB3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r>
            <w:tr w14:paraId="2304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48434953">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PM</w:t>
                  </w:r>
                  <w:r>
                    <w:rPr>
                      <w:bCs/>
                      <w:sz w:val="21"/>
                      <w:szCs w:val="21"/>
                      <w:vertAlign w:val="subscript"/>
                    </w:rPr>
                    <w:t>2.5</w:t>
                  </w:r>
                </w:p>
              </w:tc>
              <w:tc>
                <w:tcPr>
                  <w:tcW w:w="1156" w:type="dxa"/>
                  <w:tcMar>
                    <w:top w:w="0" w:type="dxa"/>
                    <w:left w:w="28" w:type="dxa"/>
                    <w:bottom w:w="0" w:type="dxa"/>
                    <w:right w:w="28" w:type="dxa"/>
                  </w:tcMar>
                  <w:vAlign w:val="center"/>
                </w:tcPr>
                <w:p w14:paraId="48ABC26C">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年平均质量浓度</w:t>
                  </w:r>
                </w:p>
              </w:tc>
              <w:tc>
                <w:tcPr>
                  <w:tcW w:w="1089" w:type="dxa"/>
                  <w:tcMar>
                    <w:top w:w="0" w:type="dxa"/>
                    <w:left w:w="28" w:type="dxa"/>
                    <w:bottom w:w="0" w:type="dxa"/>
                    <w:right w:w="28" w:type="dxa"/>
                  </w:tcMar>
                  <w:vAlign w:val="center"/>
                </w:tcPr>
                <w:p w14:paraId="2D1B532A">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49</w:t>
                  </w:r>
                </w:p>
              </w:tc>
              <w:tc>
                <w:tcPr>
                  <w:tcW w:w="1005" w:type="dxa"/>
                  <w:tcMar>
                    <w:top w:w="0" w:type="dxa"/>
                    <w:left w:w="28" w:type="dxa"/>
                    <w:bottom w:w="0" w:type="dxa"/>
                    <w:right w:w="28" w:type="dxa"/>
                  </w:tcMar>
                  <w:vAlign w:val="center"/>
                </w:tcPr>
                <w:p w14:paraId="024645E5">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lang w:val="en-US" w:eastAsia="zh-CN"/>
                    </w:rPr>
                    <w:t>30</w:t>
                  </w:r>
                </w:p>
              </w:tc>
              <w:tc>
                <w:tcPr>
                  <w:tcW w:w="907" w:type="dxa"/>
                  <w:vAlign w:val="center"/>
                </w:tcPr>
                <w:p w14:paraId="253EA6D3">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1</w:t>
                  </w:r>
                  <w:r>
                    <w:rPr>
                      <w:rFonts w:hint="eastAsia"/>
                      <w:color w:val="auto"/>
                      <w:sz w:val="21"/>
                      <w:szCs w:val="21"/>
                      <w:lang w:val="en-US" w:eastAsia="zh-CN"/>
                    </w:rPr>
                    <w:t>63</w:t>
                  </w:r>
                </w:p>
              </w:tc>
              <w:tc>
                <w:tcPr>
                  <w:tcW w:w="924" w:type="dxa"/>
                  <w:tcMar>
                    <w:top w:w="0" w:type="dxa"/>
                    <w:left w:w="28" w:type="dxa"/>
                    <w:bottom w:w="0" w:type="dxa"/>
                    <w:right w:w="28" w:type="dxa"/>
                  </w:tcMar>
                  <w:vAlign w:val="center"/>
                </w:tcPr>
                <w:p w14:paraId="0F8502B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c>
                <w:tcPr>
                  <w:tcW w:w="1005" w:type="dxa"/>
                  <w:vAlign w:val="center"/>
                </w:tcPr>
                <w:p w14:paraId="774BDBE8">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30</w:t>
                  </w:r>
                </w:p>
              </w:tc>
              <w:tc>
                <w:tcPr>
                  <w:tcW w:w="850" w:type="dxa"/>
                  <w:vAlign w:val="center"/>
                </w:tcPr>
                <w:p w14:paraId="23511140">
                  <w:pPr>
                    <w:keepNext w:val="0"/>
                    <w:keepLines w:val="0"/>
                    <w:pageBreakBefore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color w:val="auto"/>
                      <w:sz w:val="21"/>
                      <w:szCs w:val="21"/>
                    </w:rPr>
                    <w:t>1</w:t>
                  </w:r>
                  <w:r>
                    <w:rPr>
                      <w:rFonts w:hint="eastAsia"/>
                      <w:color w:val="auto"/>
                      <w:sz w:val="21"/>
                      <w:szCs w:val="21"/>
                      <w:lang w:val="en-US" w:eastAsia="zh-CN"/>
                    </w:rPr>
                    <w:t>63</w:t>
                  </w:r>
                </w:p>
              </w:tc>
              <w:tc>
                <w:tcPr>
                  <w:tcW w:w="1019" w:type="dxa"/>
                  <w:tcMar>
                    <w:top w:w="0" w:type="dxa"/>
                    <w:left w:w="28" w:type="dxa"/>
                    <w:bottom w:w="0" w:type="dxa"/>
                    <w:right w:w="28" w:type="dxa"/>
                  </w:tcMar>
                  <w:vAlign w:val="center"/>
                </w:tcPr>
                <w:p w14:paraId="6941DA1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r>
            <w:tr w14:paraId="118E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6E8A03EF">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SO</w:t>
                  </w:r>
                  <w:r>
                    <w:rPr>
                      <w:bCs/>
                      <w:sz w:val="21"/>
                      <w:szCs w:val="21"/>
                      <w:vertAlign w:val="subscript"/>
                    </w:rPr>
                    <w:t>2</w:t>
                  </w:r>
                </w:p>
              </w:tc>
              <w:tc>
                <w:tcPr>
                  <w:tcW w:w="1156" w:type="dxa"/>
                  <w:tcMar>
                    <w:top w:w="0" w:type="dxa"/>
                    <w:left w:w="28" w:type="dxa"/>
                    <w:bottom w:w="0" w:type="dxa"/>
                    <w:right w:w="28" w:type="dxa"/>
                  </w:tcMar>
                  <w:vAlign w:val="center"/>
                </w:tcPr>
                <w:p w14:paraId="4D166E69">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年平均质量浓度</w:t>
                  </w:r>
                </w:p>
              </w:tc>
              <w:tc>
                <w:tcPr>
                  <w:tcW w:w="1089" w:type="dxa"/>
                  <w:tcMar>
                    <w:top w:w="0" w:type="dxa"/>
                    <w:left w:w="28" w:type="dxa"/>
                    <w:bottom w:w="0" w:type="dxa"/>
                    <w:right w:w="28" w:type="dxa"/>
                  </w:tcMar>
                  <w:vAlign w:val="center"/>
                </w:tcPr>
                <w:p w14:paraId="0C5D5271">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rFonts w:hint="eastAsia"/>
                      <w:sz w:val="21"/>
                      <w:szCs w:val="21"/>
                      <w:lang w:val="en-US" w:eastAsia="zh-CN"/>
                    </w:rPr>
                    <w:t>8</w:t>
                  </w:r>
                </w:p>
              </w:tc>
              <w:tc>
                <w:tcPr>
                  <w:tcW w:w="1005" w:type="dxa"/>
                  <w:tcMar>
                    <w:top w:w="0" w:type="dxa"/>
                    <w:left w:w="28" w:type="dxa"/>
                    <w:bottom w:w="0" w:type="dxa"/>
                    <w:right w:w="28" w:type="dxa"/>
                  </w:tcMar>
                  <w:vAlign w:val="center"/>
                </w:tcPr>
                <w:p w14:paraId="475262D8">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sz w:val="21"/>
                      <w:szCs w:val="21"/>
                    </w:rPr>
                    <w:t>60</w:t>
                  </w:r>
                </w:p>
              </w:tc>
              <w:tc>
                <w:tcPr>
                  <w:tcW w:w="907" w:type="dxa"/>
                  <w:vAlign w:val="center"/>
                </w:tcPr>
                <w:p w14:paraId="602CBF7E">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color w:val="000000"/>
                      <w:kern w:val="0"/>
                      <w:sz w:val="21"/>
                      <w:szCs w:val="21"/>
                      <w:lang w:bidi="ar"/>
                    </w:rPr>
                    <w:t>1</w:t>
                  </w:r>
                  <w:r>
                    <w:rPr>
                      <w:rFonts w:hint="eastAsia"/>
                      <w:color w:val="000000"/>
                      <w:kern w:val="0"/>
                      <w:sz w:val="21"/>
                      <w:szCs w:val="21"/>
                      <w:lang w:val="en-US" w:eastAsia="zh-CN" w:bidi="ar"/>
                    </w:rPr>
                    <w:t>3</w:t>
                  </w:r>
                  <w:r>
                    <w:rPr>
                      <w:color w:val="000000"/>
                      <w:kern w:val="0"/>
                      <w:sz w:val="21"/>
                      <w:szCs w:val="21"/>
                      <w:lang w:bidi="ar"/>
                    </w:rPr>
                    <w:t xml:space="preserve"> </w:t>
                  </w:r>
                </w:p>
              </w:tc>
              <w:tc>
                <w:tcPr>
                  <w:tcW w:w="924" w:type="dxa"/>
                  <w:tcMar>
                    <w:top w:w="0" w:type="dxa"/>
                    <w:left w:w="28" w:type="dxa"/>
                    <w:bottom w:w="0" w:type="dxa"/>
                    <w:right w:w="28" w:type="dxa"/>
                  </w:tcMar>
                  <w:vAlign w:val="center"/>
                </w:tcPr>
                <w:p w14:paraId="5C972B5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c>
                <w:tcPr>
                  <w:tcW w:w="1005" w:type="dxa"/>
                  <w:vAlign w:val="center"/>
                </w:tcPr>
                <w:p w14:paraId="5910C09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60</w:t>
                  </w:r>
                </w:p>
              </w:tc>
              <w:tc>
                <w:tcPr>
                  <w:tcW w:w="850" w:type="dxa"/>
                  <w:vAlign w:val="center"/>
                </w:tcPr>
                <w:p w14:paraId="27655109">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color w:val="000000"/>
                      <w:kern w:val="0"/>
                      <w:sz w:val="21"/>
                      <w:szCs w:val="21"/>
                      <w:lang w:bidi="ar"/>
                    </w:rPr>
                    <w:t>1</w:t>
                  </w:r>
                  <w:r>
                    <w:rPr>
                      <w:rFonts w:hint="eastAsia"/>
                      <w:color w:val="000000"/>
                      <w:kern w:val="0"/>
                      <w:sz w:val="21"/>
                      <w:szCs w:val="21"/>
                      <w:lang w:val="en-US" w:eastAsia="zh-CN" w:bidi="ar"/>
                    </w:rPr>
                    <w:t>3</w:t>
                  </w:r>
                  <w:r>
                    <w:rPr>
                      <w:color w:val="000000"/>
                      <w:kern w:val="0"/>
                      <w:sz w:val="21"/>
                      <w:szCs w:val="21"/>
                      <w:lang w:bidi="ar"/>
                    </w:rPr>
                    <w:t xml:space="preserve"> </w:t>
                  </w:r>
                </w:p>
              </w:tc>
              <w:tc>
                <w:tcPr>
                  <w:tcW w:w="1019" w:type="dxa"/>
                  <w:tcMar>
                    <w:top w:w="0" w:type="dxa"/>
                    <w:left w:w="28" w:type="dxa"/>
                    <w:bottom w:w="0" w:type="dxa"/>
                    <w:right w:w="28" w:type="dxa"/>
                  </w:tcMar>
                  <w:vAlign w:val="center"/>
                </w:tcPr>
                <w:p w14:paraId="05A230E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r>
            <w:tr w14:paraId="2DE4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06D8378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NO</w:t>
                  </w:r>
                  <w:r>
                    <w:rPr>
                      <w:bCs/>
                      <w:sz w:val="21"/>
                      <w:szCs w:val="21"/>
                      <w:vertAlign w:val="subscript"/>
                    </w:rPr>
                    <w:t>2</w:t>
                  </w:r>
                </w:p>
              </w:tc>
              <w:tc>
                <w:tcPr>
                  <w:tcW w:w="1156" w:type="dxa"/>
                  <w:tcMar>
                    <w:top w:w="0" w:type="dxa"/>
                    <w:left w:w="28" w:type="dxa"/>
                    <w:bottom w:w="0" w:type="dxa"/>
                    <w:right w:w="28" w:type="dxa"/>
                  </w:tcMar>
                  <w:vAlign w:val="center"/>
                </w:tcPr>
                <w:p w14:paraId="546E301A">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年平均质量浓度</w:t>
                  </w:r>
                </w:p>
              </w:tc>
              <w:tc>
                <w:tcPr>
                  <w:tcW w:w="1089" w:type="dxa"/>
                  <w:tcMar>
                    <w:top w:w="0" w:type="dxa"/>
                    <w:left w:w="28" w:type="dxa"/>
                    <w:bottom w:w="0" w:type="dxa"/>
                    <w:right w:w="28" w:type="dxa"/>
                  </w:tcMar>
                  <w:vAlign w:val="center"/>
                </w:tcPr>
                <w:p w14:paraId="221987D4">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rFonts w:hint="eastAsia"/>
                      <w:sz w:val="21"/>
                      <w:szCs w:val="21"/>
                      <w:lang w:val="en-US" w:eastAsia="zh-CN"/>
                    </w:rPr>
                    <w:t>27</w:t>
                  </w:r>
                </w:p>
              </w:tc>
              <w:tc>
                <w:tcPr>
                  <w:tcW w:w="1005" w:type="dxa"/>
                  <w:tcMar>
                    <w:top w:w="0" w:type="dxa"/>
                    <w:left w:w="28" w:type="dxa"/>
                    <w:bottom w:w="0" w:type="dxa"/>
                    <w:right w:w="28" w:type="dxa"/>
                  </w:tcMar>
                  <w:vAlign w:val="center"/>
                </w:tcPr>
                <w:p w14:paraId="4CF9A2A0">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sz w:val="21"/>
                      <w:szCs w:val="21"/>
                    </w:rPr>
                    <w:t>40</w:t>
                  </w:r>
                </w:p>
              </w:tc>
              <w:tc>
                <w:tcPr>
                  <w:tcW w:w="907" w:type="dxa"/>
                  <w:vAlign w:val="center"/>
                </w:tcPr>
                <w:p w14:paraId="46288A24">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rFonts w:hint="eastAsia"/>
                      <w:color w:val="000000"/>
                      <w:kern w:val="0"/>
                      <w:sz w:val="21"/>
                      <w:szCs w:val="21"/>
                      <w:lang w:val="en-US" w:eastAsia="zh-CN" w:bidi="ar"/>
                    </w:rPr>
                    <w:t>68</w:t>
                  </w:r>
                </w:p>
              </w:tc>
              <w:tc>
                <w:tcPr>
                  <w:tcW w:w="924" w:type="dxa"/>
                  <w:tcMar>
                    <w:top w:w="0" w:type="dxa"/>
                    <w:left w:w="28" w:type="dxa"/>
                    <w:bottom w:w="0" w:type="dxa"/>
                    <w:right w:w="28" w:type="dxa"/>
                  </w:tcMar>
                  <w:vAlign w:val="center"/>
                </w:tcPr>
                <w:p w14:paraId="277E80A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c>
                <w:tcPr>
                  <w:tcW w:w="1005" w:type="dxa"/>
                  <w:vAlign w:val="center"/>
                </w:tcPr>
                <w:p w14:paraId="375C2BB4">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40</w:t>
                  </w:r>
                </w:p>
              </w:tc>
              <w:tc>
                <w:tcPr>
                  <w:tcW w:w="850" w:type="dxa"/>
                  <w:vAlign w:val="center"/>
                </w:tcPr>
                <w:p w14:paraId="75CF9413">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rFonts w:hint="eastAsia"/>
                      <w:color w:val="000000"/>
                      <w:kern w:val="0"/>
                      <w:sz w:val="21"/>
                      <w:szCs w:val="21"/>
                      <w:lang w:val="en-US" w:eastAsia="zh-CN" w:bidi="ar"/>
                    </w:rPr>
                    <w:t>68</w:t>
                  </w:r>
                </w:p>
              </w:tc>
              <w:tc>
                <w:tcPr>
                  <w:tcW w:w="1019" w:type="dxa"/>
                  <w:tcMar>
                    <w:top w:w="0" w:type="dxa"/>
                    <w:left w:w="28" w:type="dxa"/>
                    <w:bottom w:w="0" w:type="dxa"/>
                    <w:right w:w="28" w:type="dxa"/>
                  </w:tcMar>
                  <w:vAlign w:val="center"/>
                </w:tcPr>
                <w:p w14:paraId="19E84BD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r>
            <w:tr w14:paraId="67EE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66572D8C">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CO</w:t>
                  </w:r>
                </w:p>
              </w:tc>
              <w:tc>
                <w:tcPr>
                  <w:tcW w:w="1156" w:type="dxa"/>
                  <w:tcMar>
                    <w:top w:w="0" w:type="dxa"/>
                    <w:left w:w="28" w:type="dxa"/>
                    <w:bottom w:w="0" w:type="dxa"/>
                    <w:right w:w="28" w:type="dxa"/>
                  </w:tcMar>
                  <w:vAlign w:val="center"/>
                </w:tcPr>
                <w:p w14:paraId="37A43028">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第95百分位浓度</w:t>
                  </w:r>
                </w:p>
              </w:tc>
              <w:tc>
                <w:tcPr>
                  <w:tcW w:w="1089" w:type="dxa"/>
                  <w:tcMar>
                    <w:top w:w="0" w:type="dxa"/>
                    <w:left w:w="28" w:type="dxa"/>
                    <w:bottom w:w="0" w:type="dxa"/>
                    <w:right w:w="28" w:type="dxa"/>
                  </w:tcMar>
                  <w:vAlign w:val="center"/>
                </w:tcPr>
                <w:p w14:paraId="41E68A9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sz w:val="21"/>
                      <w:szCs w:val="21"/>
                    </w:rPr>
                    <w:t>1.</w:t>
                  </w:r>
                  <w:r>
                    <w:rPr>
                      <w:rFonts w:hint="eastAsia"/>
                      <w:sz w:val="21"/>
                      <w:szCs w:val="21"/>
                      <w:lang w:val="en-US" w:eastAsia="zh-CN"/>
                    </w:rPr>
                    <w:t>3</w:t>
                  </w:r>
                  <w:r>
                    <w:rPr>
                      <w:sz w:val="21"/>
                      <w:szCs w:val="21"/>
                    </w:rPr>
                    <w:t>mg/m</w:t>
                  </w:r>
                  <w:r>
                    <w:rPr>
                      <w:sz w:val="21"/>
                      <w:szCs w:val="21"/>
                      <w:vertAlign w:val="superscript"/>
                    </w:rPr>
                    <w:t>3</w:t>
                  </w:r>
                </w:p>
              </w:tc>
              <w:tc>
                <w:tcPr>
                  <w:tcW w:w="1005" w:type="dxa"/>
                  <w:tcMar>
                    <w:top w:w="0" w:type="dxa"/>
                    <w:left w:w="28" w:type="dxa"/>
                    <w:bottom w:w="0" w:type="dxa"/>
                    <w:right w:w="28" w:type="dxa"/>
                  </w:tcMar>
                  <w:vAlign w:val="center"/>
                </w:tcPr>
                <w:p w14:paraId="46F5DA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sz w:val="21"/>
                      <w:szCs w:val="21"/>
                    </w:rPr>
                    <w:t>4mg/m</w:t>
                  </w:r>
                  <w:r>
                    <w:rPr>
                      <w:sz w:val="21"/>
                      <w:szCs w:val="21"/>
                      <w:vertAlign w:val="superscript"/>
                    </w:rPr>
                    <w:t>3</w:t>
                  </w:r>
                </w:p>
              </w:tc>
              <w:tc>
                <w:tcPr>
                  <w:tcW w:w="907" w:type="dxa"/>
                  <w:vAlign w:val="center"/>
                </w:tcPr>
                <w:p w14:paraId="75C3ACD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sz w:val="21"/>
                      <w:szCs w:val="21"/>
                    </w:rPr>
                    <w:t>3</w:t>
                  </w:r>
                  <w:r>
                    <w:rPr>
                      <w:rFonts w:hint="eastAsia"/>
                      <w:sz w:val="21"/>
                      <w:szCs w:val="21"/>
                      <w:lang w:val="en-US" w:eastAsia="zh-CN"/>
                    </w:rPr>
                    <w:t>2.</w:t>
                  </w:r>
                  <w:r>
                    <w:rPr>
                      <w:rFonts w:hint="eastAsia"/>
                      <w:sz w:val="21"/>
                      <w:szCs w:val="21"/>
                    </w:rPr>
                    <w:t>5</w:t>
                  </w:r>
                </w:p>
              </w:tc>
              <w:tc>
                <w:tcPr>
                  <w:tcW w:w="924" w:type="dxa"/>
                  <w:tcMar>
                    <w:top w:w="0" w:type="dxa"/>
                    <w:left w:w="28" w:type="dxa"/>
                    <w:bottom w:w="0" w:type="dxa"/>
                    <w:right w:w="28" w:type="dxa"/>
                  </w:tcMar>
                  <w:vAlign w:val="center"/>
                </w:tcPr>
                <w:p w14:paraId="3EBC346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c>
                <w:tcPr>
                  <w:tcW w:w="1005" w:type="dxa"/>
                  <w:vAlign w:val="center"/>
                </w:tcPr>
                <w:p w14:paraId="0324C3B1">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4</w:t>
                  </w:r>
                  <w:r>
                    <w:rPr>
                      <w:bCs/>
                      <w:sz w:val="21"/>
                      <w:szCs w:val="21"/>
                    </w:rPr>
                    <w:t xml:space="preserve"> mg/m</w:t>
                  </w:r>
                  <w:r>
                    <w:rPr>
                      <w:bCs/>
                      <w:sz w:val="21"/>
                      <w:szCs w:val="21"/>
                      <w:vertAlign w:val="superscript"/>
                    </w:rPr>
                    <w:t>3</w:t>
                  </w:r>
                </w:p>
              </w:tc>
              <w:tc>
                <w:tcPr>
                  <w:tcW w:w="850" w:type="dxa"/>
                  <w:vAlign w:val="center"/>
                </w:tcPr>
                <w:p w14:paraId="5EE80E9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sz w:val="21"/>
                      <w:szCs w:val="21"/>
                    </w:rPr>
                    <w:t>3</w:t>
                  </w:r>
                  <w:r>
                    <w:rPr>
                      <w:rFonts w:hint="eastAsia"/>
                      <w:sz w:val="21"/>
                      <w:szCs w:val="21"/>
                      <w:lang w:val="en-US" w:eastAsia="zh-CN"/>
                    </w:rPr>
                    <w:t>2.</w:t>
                  </w:r>
                  <w:r>
                    <w:rPr>
                      <w:rFonts w:hint="eastAsia"/>
                      <w:sz w:val="21"/>
                      <w:szCs w:val="21"/>
                    </w:rPr>
                    <w:t>5</w:t>
                  </w:r>
                </w:p>
              </w:tc>
              <w:tc>
                <w:tcPr>
                  <w:tcW w:w="1019" w:type="dxa"/>
                  <w:tcMar>
                    <w:top w:w="0" w:type="dxa"/>
                    <w:left w:w="28" w:type="dxa"/>
                    <w:bottom w:w="0" w:type="dxa"/>
                    <w:right w:w="28" w:type="dxa"/>
                  </w:tcMar>
                  <w:vAlign w:val="center"/>
                </w:tcPr>
                <w:p w14:paraId="66A1C1A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达标</w:t>
                  </w:r>
                </w:p>
              </w:tc>
            </w:tr>
            <w:tr w14:paraId="6317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700" w:type="dxa"/>
                  <w:tcMar>
                    <w:top w:w="0" w:type="dxa"/>
                    <w:left w:w="28" w:type="dxa"/>
                    <w:bottom w:w="0" w:type="dxa"/>
                    <w:right w:w="28" w:type="dxa"/>
                  </w:tcMar>
                  <w:vAlign w:val="center"/>
                </w:tcPr>
                <w:p w14:paraId="6284AF67">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O</w:t>
                  </w:r>
                  <w:r>
                    <w:rPr>
                      <w:bCs/>
                      <w:sz w:val="21"/>
                      <w:szCs w:val="21"/>
                      <w:vertAlign w:val="subscript"/>
                    </w:rPr>
                    <w:t>3</w:t>
                  </w:r>
                </w:p>
              </w:tc>
              <w:tc>
                <w:tcPr>
                  <w:tcW w:w="1156" w:type="dxa"/>
                  <w:tcMar>
                    <w:top w:w="0" w:type="dxa"/>
                    <w:left w:w="28" w:type="dxa"/>
                    <w:bottom w:w="0" w:type="dxa"/>
                    <w:right w:w="28" w:type="dxa"/>
                  </w:tcMar>
                  <w:vAlign w:val="center"/>
                </w:tcPr>
                <w:p w14:paraId="165D4A67">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bCs/>
                      <w:sz w:val="21"/>
                      <w:szCs w:val="21"/>
                    </w:rPr>
                    <w:t>第90百分位浓度</w:t>
                  </w:r>
                </w:p>
              </w:tc>
              <w:tc>
                <w:tcPr>
                  <w:tcW w:w="1089" w:type="dxa"/>
                  <w:tcMar>
                    <w:top w:w="0" w:type="dxa"/>
                    <w:left w:w="28" w:type="dxa"/>
                    <w:bottom w:w="0" w:type="dxa"/>
                    <w:right w:w="28" w:type="dxa"/>
                  </w:tcMar>
                  <w:vAlign w:val="center"/>
                </w:tcPr>
                <w:p w14:paraId="7CC855A0">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sz w:val="21"/>
                      <w:szCs w:val="21"/>
                    </w:rPr>
                    <w:t>18</w:t>
                  </w:r>
                  <w:r>
                    <w:rPr>
                      <w:rFonts w:hint="eastAsia"/>
                      <w:sz w:val="21"/>
                      <w:szCs w:val="21"/>
                    </w:rPr>
                    <w:t>3</w:t>
                  </w:r>
                </w:p>
              </w:tc>
              <w:tc>
                <w:tcPr>
                  <w:tcW w:w="1005" w:type="dxa"/>
                  <w:tcMar>
                    <w:top w:w="0" w:type="dxa"/>
                    <w:left w:w="28" w:type="dxa"/>
                    <w:bottom w:w="0" w:type="dxa"/>
                    <w:right w:w="28" w:type="dxa"/>
                  </w:tcMar>
                  <w:vAlign w:val="center"/>
                </w:tcPr>
                <w:p w14:paraId="62D8F7C4">
                  <w:pPr>
                    <w:keepNext w:val="0"/>
                    <w:keepLines w:val="0"/>
                    <w:pageBreakBefore w:val="0"/>
                    <w:kinsoku/>
                    <w:wordWrap/>
                    <w:overflowPunct/>
                    <w:topLinePunct w:val="0"/>
                    <w:bidi w:val="0"/>
                    <w:snapToGrid w:val="0"/>
                    <w:spacing w:line="240" w:lineRule="auto"/>
                    <w:ind w:firstLine="0" w:firstLineChars="0"/>
                    <w:jc w:val="center"/>
                    <w:textAlignment w:val="auto"/>
                    <w:rPr>
                      <w:bCs/>
                      <w:sz w:val="21"/>
                      <w:szCs w:val="21"/>
                    </w:rPr>
                  </w:pPr>
                  <w:r>
                    <w:rPr>
                      <w:sz w:val="21"/>
                      <w:szCs w:val="21"/>
                    </w:rPr>
                    <w:t>160</w:t>
                  </w:r>
                </w:p>
              </w:tc>
              <w:tc>
                <w:tcPr>
                  <w:tcW w:w="907" w:type="dxa"/>
                  <w:vAlign w:val="center"/>
                </w:tcPr>
                <w:p w14:paraId="620FBAEC">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color w:val="000000"/>
                      <w:kern w:val="0"/>
                      <w:sz w:val="21"/>
                      <w:szCs w:val="21"/>
                      <w:lang w:bidi="ar"/>
                    </w:rPr>
                    <w:t xml:space="preserve">114.38 </w:t>
                  </w:r>
                </w:p>
              </w:tc>
              <w:tc>
                <w:tcPr>
                  <w:tcW w:w="924" w:type="dxa"/>
                  <w:tcMar>
                    <w:top w:w="0" w:type="dxa"/>
                    <w:left w:w="28" w:type="dxa"/>
                    <w:bottom w:w="0" w:type="dxa"/>
                    <w:right w:w="28" w:type="dxa"/>
                  </w:tcMar>
                  <w:vAlign w:val="center"/>
                </w:tcPr>
                <w:p w14:paraId="6FB18D5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c>
                <w:tcPr>
                  <w:tcW w:w="1005" w:type="dxa"/>
                  <w:vAlign w:val="center"/>
                </w:tcPr>
                <w:p w14:paraId="746FC2A3">
                  <w:pPr>
                    <w:keepNext w:val="0"/>
                    <w:keepLines w:val="0"/>
                    <w:pageBreakBefore w:val="0"/>
                    <w:kinsoku/>
                    <w:wordWrap/>
                    <w:topLinePunct w:val="0"/>
                    <w:autoSpaceDE w:val="0"/>
                    <w:autoSpaceDN w:val="0"/>
                    <w:bidi w:val="0"/>
                    <w:adjustRightInd w:val="0"/>
                    <w:snapToGrid w:val="0"/>
                    <w:spacing w:line="240" w:lineRule="auto"/>
                    <w:ind w:firstLine="0" w:firstLineChars="0"/>
                    <w:contextualSpacing/>
                    <w:jc w:val="center"/>
                    <w:textAlignment w:val="auto"/>
                    <w:rPr>
                      <w:bCs/>
                      <w:sz w:val="21"/>
                      <w:szCs w:val="21"/>
                    </w:rPr>
                  </w:pPr>
                  <w:r>
                    <w:rPr>
                      <w:rFonts w:hint="eastAsia"/>
                      <w:bCs/>
                      <w:sz w:val="21"/>
                      <w:szCs w:val="21"/>
                    </w:rPr>
                    <w:t>160</w:t>
                  </w:r>
                </w:p>
              </w:tc>
              <w:tc>
                <w:tcPr>
                  <w:tcW w:w="850" w:type="dxa"/>
                  <w:vAlign w:val="center"/>
                </w:tcPr>
                <w:p w14:paraId="71C5ED0E">
                  <w:pPr>
                    <w:keepNext w:val="0"/>
                    <w:keepLines w:val="0"/>
                    <w:pageBreakBefore w:val="0"/>
                    <w:widowControl/>
                    <w:kinsoku/>
                    <w:wordWrap/>
                    <w:overflowPunct/>
                    <w:topLinePunct w:val="0"/>
                    <w:bidi w:val="0"/>
                    <w:spacing w:line="240" w:lineRule="auto"/>
                    <w:ind w:firstLine="0" w:firstLineChars="0"/>
                    <w:jc w:val="center"/>
                    <w:textAlignment w:val="auto"/>
                    <w:rPr>
                      <w:bCs/>
                      <w:sz w:val="21"/>
                      <w:szCs w:val="21"/>
                    </w:rPr>
                  </w:pPr>
                  <w:r>
                    <w:rPr>
                      <w:color w:val="000000"/>
                      <w:kern w:val="0"/>
                      <w:sz w:val="21"/>
                      <w:szCs w:val="21"/>
                      <w:lang w:bidi="ar"/>
                    </w:rPr>
                    <w:t xml:space="preserve">114.38 </w:t>
                  </w:r>
                </w:p>
              </w:tc>
              <w:tc>
                <w:tcPr>
                  <w:tcW w:w="1019" w:type="dxa"/>
                  <w:tcMar>
                    <w:top w:w="0" w:type="dxa"/>
                    <w:left w:w="28" w:type="dxa"/>
                    <w:bottom w:w="0" w:type="dxa"/>
                    <w:right w:w="28" w:type="dxa"/>
                  </w:tcMar>
                  <w:vAlign w:val="center"/>
                </w:tcPr>
                <w:p w14:paraId="45A6B4A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Cs/>
                      <w:sz w:val="21"/>
                      <w:szCs w:val="21"/>
                    </w:rPr>
                  </w:pPr>
                  <w:r>
                    <w:rPr>
                      <w:sz w:val="21"/>
                      <w:szCs w:val="21"/>
                    </w:rPr>
                    <w:t>超标</w:t>
                  </w:r>
                </w:p>
              </w:tc>
            </w:tr>
          </w:tbl>
          <w:p w14:paraId="0C3F2A23">
            <w:pPr>
              <w:spacing w:line="520" w:lineRule="exact"/>
              <w:ind w:firstLine="480"/>
            </w:pPr>
            <w:r>
              <w:t>由上表可知，</w:t>
            </w:r>
            <w:r>
              <w:rPr>
                <w:rFonts w:hint="eastAsia"/>
                <w:color w:val="000000"/>
                <w:kern w:val="0"/>
              </w:rPr>
              <w:t>其中PM</w:t>
            </w:r>
            <w:r>
              <w:rPr>
                <w:rFonts w:hint="eastAsia"/>
                <w:color w:val="000000"/>
                <w:kern w:val="0"/>
                <w:vertAlign w:val="subscript"/>
              </w:rPr>
              <w:t>10</w:t>
            </w:r>
            <w:r>
              <w:rPr>
                <w:rFonts w:hint="eastAsia"/>
                <w:color w:val="000000"/>
                <w:kern w:val="0"/>
              </w:rPr>
              <w:t>、PM</w:t>
            </w:r>
            <w:r>
              <w:rPr>
                <w:rFonts w:hint="eastAsia"/>
                <w:color w:val="000000"/>
                <w:kern w:val="0"/>
                <w:vertAlign w:val="subscript"/>
              </w:rPr>
              <w:t>2.5</w:t>
            </w:r>
            <w:r>
              <w:rPr>
                <w:rFonts w:hint="eastAsia"/>
                <w:color w:val="000000"/>
                <w:kern w:val="0"/>
              </w:rPr>
              <w:t>、O</w:t>
            </w:r>
            <w:r>
              <w:rPr>
                <w:rFonts w:hint="eastAsia"/>
                <w:color w:val="000000"/>
                <w:kern w:val="0"/>
                <w:vertAlign w:val="subscript"/>
              </w:rPr>
              <w:t>3</w:t>
            </w:r>
            <w:r>
              <w:rPr>
                <w:rFonts w:hint="eastAsia"/>
                <w:color w:val="000000"/>
                <w:kern w:val="0"/>
              </w:rPr>
              <w:t>均不能够满足《环境空气质量标准》（GB3095-2012）及2026年新国标中过渡阶段浓度限值的二级标准要求。</w:t>
            </w:r>
            <w:r>
              <w:t>根据《环境影响评价技术导则</w:t>
            </w:r>
            <w:r>
              <w:rPr>
                <w:rFonts w:hint="eastAsia"/>
              </w:rPr>
              <w:t xml:space="preserve"> </w:t>
            </w:r>
            <w:r>
              <w:t xml:space="preserve"> 大气环境》(HJ2.2-2018)，本项目所在区域属于</w:t>
            </w:r>
            <w:r>
              <w:rPr>
                <w:rFonts w:hint="eastAsia"/>
              </w:rPr>
              <w:t>不</w:t>
            </w:r>
            <w:r>
              <w:t>达标区。</w:t>
            </w:r>
          </w:p>
          <w:p w14:paraId="4F13BBE2">
            <w:pPr>
              <w:adjustRightInd w:val="0"/>
              <w:snapToGrid w:val="0"/>
              <w:spacing w:line="520" w:lineRule="exact"/>
              <w:ind w:firstLine="480"/>
              <w:textAlignment w:val="baseline"/>
              <w:rPr>
                <w:rFonts w:cs="宋体"/>
                <w:kern w:val="0"/>
                <w:szCs w:val="20"/>
              </w:rPr>
            </w:pPr>
            <w:r>
              <w:rPr>
                <w:color w:val="000000"/>
              </w:rPr>
              <w:t>目前，新乡市正在实施《河南省生态环境保护委员会办公室关于印发＜</w:t>
            </w:r>
            <w:r>
              <w:rPr>
                <w:rFonts w:hint="eastAsia"/>
                <w:color w:val="000000"/>
                <w:lang w:eastAsia="zh-CN"/>
              </w:rPr>
              <w:t>新乡市</w:t>
            </w:r>
            <w:r>
              <w:rPr>
                <w:color w:val="000000"/>
              </w:rPr>
              <w:t>202</w:t>
            </w:r>
            <w:r>
              <w:rPr>
                <w:rFonts w:hint="eastAsia"/>
                <w:color w:val="000000"/>
              </w:rPr>
              <w:t>6</w:t>
            </w:r>
            <w:r>
              <w:rPr>
                <w:color w:val="000000"/>
              </w:rPr>
              <w:t>年蓝天保卫战实施方案＞＜</w:t>
            </w:r>
            <w:r>
              <w:rPr>
                <w:rFonts w:hint="eastAsia"/>
                <w:color w:val="000000"/>
                <w:lang w:eastAsia="zh-CN"/>
              </w:rPr>
              <w:t>新乡市</w:t>
            </w:r>
            <w:r>
              <w:rPr>
                <w:color w:val="000000"/>
              </w:rPr>
              <w:t>202</w:t>
            </w:r>
            <w:r>
              <w:rPr>
                <w:rFonts w:hint="eastAsia"/>
                <w:color w:val="000000"/>
              </w:rPr>
              <w:t>6</w:t>
            </w:r>
            <w:r>
              <w:rPr>
                <w:color w:val="000000"/>
              </w:rPr>
              <w:t>年柴油货车污染治理攻坚战实施方案＞的通知》等一系列措施，实施这些方案将不断改善区域大气环境质量。</w:t>
            </w:r>
          </w:p>
          <w:p w14:paraId="669A77B0">
            <w:pPr>
              <w:adjustRightInd w:val="0"/>
              <w:snapToGrid w:val="0"/>
              <w:spacing w:line="520" w:lineRule="exact"/>
              <w:ind w:firstLine="482"/>
              <w:jc w:val="left"/>
              <w:rPr>
                <w:b/>
                <w:bCs/>
              </w:rPr>
            </w:pPr>
            <w:r>
              <w:rPr>
                <w:b/>
                <w:bCs/>
              </w:rPr>
              <w:t>2、水环境质量现状</w:t>
            </w:r>
          </w:p>
          <w:p w14:paraId="3F96213C">
            <w:pPr>
              <w:autoSpaceDE w:val="0"/>
              <w:autoSpaceDN w:val="0"/>
              <w:adjustRightInd w:val="0"/>
              <w:snapToGrid w:val="0"/>
              <w:spacing w:line="520" w:lineRule="exact"/>
              <w:ind w:firstLine="480"/>
              <w:rPr>
                <w:color w:val="000000"/>
              </w:rPr>
            </w:pPr>
            <w:r>
              <w:rPr>
                <w:rFonts w:cs="宋体"/>
                <w:bCs/>
                <w:kern w:val="0"/>
                <w:lang w:bidi="zh-CN"/>
              </w:rPr>
              <w:t>本项目本项目生活污水经化粪池处理后通过污水管网排入</w:t>
            </w:r>
            <w:r>
              <w:rPr>
                <w:rFonts w:hint="eastAsia" w:cs="宋体"/>
                <w:bCs/>
                <w:kern w:val="0"/>
                <w:lang w:bidi="zh-CN"/>
              </w:rPr>
              <w:t>河南新投水务有限公司</w:t>
            </w:r>
            <w:r>
              <w:rPr>
                <w:rFonts w:cs="宋体"/>
                <w:bCs/>
                <w:kern w:val="0"/>
                <w:lang w:bidi="zh-CN"/>
              </w:rPr>
              <w:t>（小尚庄污水处理厂）进一步处理，处理后排入卫河</w:t>
            </w:r>
            <w:r>
              <w:rPr>
                <w:rFonts w:hint="eastAsia" w:cs="宋体"/>
                <w:bCs/>
                <w:color w:val="000000" w:themeColor="text1"/>
                <w:kern w:val="0"/>
                <w:lang w:bidi="zh-CN"/>
                <w14:textFill>
                  <w14:solidFill>
                    <w14:schemeClr w14:val="tx1"/>
                  </w14:solidFill>
                </w14:textFill>
              </w:rPr>
              <w:t>，</w:t>
            </w:r>
            <w:r>
              <w:rPr>
                <w:rFonts w:cs="宋体"/>
                <w:bCs/>
                <w:kern w:val="0"/>
                <w:lang w:bidi="zh-CN"/>
              </w:rPr>
              <w:t>根据</w:t>
            </w:r>
            <w:r>
              <w:rPr>
                <w:rFonts w:hint="eastAsia" w:cs="宋体"/>
                <w:bCs/>
                <w:kern w:val="0"/>
                <w:lang w:bidi="zh-CN"/>
              </w:rPr>
              <w:t>《新乡市生态环境局关于下达2025年地表水环境质量暂定目标的函》</w:t>
            </w:r>
            <w:r>
              <w:rPr>
                <w:rFonts w:cs="宋体"/>
                <w:bCs/>
                <w:kern w:val="0"/>
                <w:lang w:bidi="zh-CN"/>
              </w:rPr>
              <w:t>，</w:t>
            </w:r>
            <w:r>
              <w:rPr>
                <w:rFonts w:hint="eastAsia" w:cs="宋体"/>
                <w:bCs/>
                <w:kern w:val="0"/>
                <w:lang w:bidi="zh-CN"/>
              </w:rPr>
              <w:t>卫河</w:t>
            </w:r>
            <w:r>
              <w:rPr>
                <w:rFonts w:cs="宋体"/>
                <w:bCs/>
                <w:kern w:val="0"/>
                <w:lang w:bidi="zh-CN"/>
              </w:rPr>
              <w:t>水体功能类别为</w:t>
            </w:r>
            <w:r>
              <w:rPr>
                <w:rFonts w:cs="宋体"/>
                <w:bCs/>
                <w:kern w:val="0"/>
                <w:lang w:bidi="zh-CN"/>
              </w:rPr>
              <w:fldChar w:fldCharType="begin"/>
            </w:r>
            <w:r>
              <w:rPr>
                <w:rFonts w:cs="宋体"/>
                <w:bCs/>
                <w:kern w:val="0"/>
                <w:lang w:bidi="zh-CN"/>
              </w:rPr>
              <w:instrText xml:space="preserve"> = 3 \* ROMAN \* MERGEFORMAT </w:instrText>
            </w:r>
            <w:r>
              <w:rPr>
                <w:rFonts w:cs="宋体"/>
                <w:bCs/>
                <w:kern w:val="0"/>
                <w:lang w:bidi="zh-CN"/>
              </w:rPr>
              <w:fldChar w:fldCharType="separate"/>
            </w:r>
            <w:r>
              <w:t>III</w:t>
            </w:r>
            <w:r>
              <w:rPr>
                <w:rFonts w:cs="宋体"/>
                <w:bCs/>
                <w:kern w:val="0"/>
                <w:lang w:bidi="zh-CN"/>
              </w:rPr>
              <w:fldChar w:fldCharType="end"/>
            </w:r>
            <w:r>
              <w:rPr>
                <w:rFonts w:cs="宋体"/>
                <w:bCs/>
                <w:kern w:val="0"/>
                <w:lang w:bidi="zh-CN"/>
              </w:rPr>
              <w:t>类标准</w:t>
            </w:r>
            <w:r>
              <w:rPr>
                <w:rFonts w:hint="eastAsia" w:cs="宋体"/>
                <w:bCs/>
                <w:kern w:val="0"/>
                <w:lang w:bidi="zh-CN"/>
              </w:rPr>
              <w:t>。</w:t>
            </w:r>
            <w:r>
              <w:rPr>
                <w:rFonts w:hint="eastAsia"/>
              </w:rPr>
              <w:t>本项目引用新乡市环境监测站对卫河皇甫断面2025年1-12月的监测数据均值，卫河皇甫断面监测结果见下表</w:t>
            </w:r>
            <w:r>
              <w:t>。</w:t>
            </w:r>
          </w:p>
          <w:p w14:paraId="0F1BF634">
            <w:pPr>
              <w:adjustRightInd w:val="0"/>
              <w:snapToGrid w:val="0"/>
              <w:spacing w:line="520" w:lineRule="exact"/>
              <w:ind w:firstLine="1200" w:firstLineChars="500"/>
              <w:textAlignment w:val="baseline"/>
              <w:rPr>
                <w:rFonts w:eastAsia="黑体"/>
                <w:color w:val="000000"/>
              </w:rPr>
            </w:pPr>
            <w:r>
              <w:rPr>
                <w:rFonts w:eastAsia="黑体"/>
                <w:color w:val="000000"/>
              </w:rPr>
              <w:t>表3-</w:t>
            </w:r>
            <w:r>
              <w:rPr>
                <w:rFonts w:hint="eastAsia" w:eastAsia="黑体"/>
                <w:color w:val="000000"/>
              </w:rPr>
              <w:t xml:space="preserve">2  </w:t>
            </w:r>
            <w:r>
              <w:rPr>
                <w:rFonts w:eastAsia="黑体"/>
                <w:color w:val="000000"/>
              </w:rPr>
              <w:t xml:space="preserve"> </w:t>
            </w:r>
            <w:r>
              <w:rPr>
                <w:rFonts w:hint="eastAsia" w:eastAsia="黑体"/>
                <w:color w:val="000000"/>
              </w:rPr>
              <w:t xml:space="preserve">      卫河皇甫断面</w:t>
            </w:r>
            <w:r>
              <w:rPr>
                <w:rFonts w:eastAsia="黑体"/>
                <w:kern w:val="0"/>
              </w:rPr>
              <w:t>监测数据</w:t>
            </w:r>
            <w:r>
              <w:rPr>
                <w:rFonts w:hint="eastAsia" w:eastAsia="黑体"/>
                <w:kern w:val="0"/>
              </w:rPr>
              <w:t xml:space="preserve">      </w:t>
            </w:r>
            <w:r>
              <w:rPr>
                <w:rFonts w:eastAsia="黑体"/>
                <w:kern w:val="0"/>
              </w:rPr>
              <w:t xml:space="preserve">   单位：mg/L</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2128"/>
              <w:gridCol w:w="2008"/>
              <w:gridCol w:w="1883"/>
            </w:tblGrid>
            <w:tr w14:paraId="38A8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65" w:type="dxa"/>
                  <w:vAlign w:val="center"/>
                </w:tcPr>
                <w:p w14:paraId="371C92D3">
                  <w:pPr>
                    <w:adjustRightInd w:val="0"/>
                    <w:snapToGrid w:val="0"/>
                    <w:spacing w:line="240" w:lineRule="auto"/>
                    <w:ind w:firstLine="0" w:firstLineChars="0"/>
                    <w:jc w:val="center"/>
                    <w:textAlignment w:val="baseline"/>
                    <w:rPr>
                      <w:b/>
                      <w:bCs/>
                      <w:color w:val="000000"/>
                      <w:sz w:val="21"/>
                      <w:szCs w:val="21"/>
                    </w:rPr>
                  </w:pPr>
                  <w:r>
                    <w:rPr>
                      <w:b/>
                      <w:bCs/>
                      <w:color w:val="000000"/>
                      <w:sz w:val="21"/>
                      <w:szCs w:val="21"/>
                    </w:rPr>
                    <w:t>监测因子</w:t>
                  </w:r>
                </w:p>
              </w:tc>
              <w:tc>
                <w:tcPr>
                  <w:tcW w:w="2091" w:type="dxa"/>
                  <w:vAlign w:val="center"/>
                </w:tcPr>
                <w:p w14:paraId="464AA53F">
                  <w:pPr>
                    <w:adjustRightInd w:val="0"/>
                    <w:snapToGrid w:val="0"/>
                    <w:spacing w:line="240" w:lineRule="auto"/>
                    <w:ind w:firstLine="0" w:firstLineChars="0"/>
                    <w:jc w:val="center"/>
                    <w:textAlignment w:val="baseline"/>
                    <w:rPr>
                      <w:b/>
                      <w:bCs/>
                      <w:color w:val="000000"/>
                      <w:sz w:val="21"/>
                      <w:szCs w:val="21"/>
                    </w:rPr>
                  </w:pPr>
                  <w:r>
                    <w:rPr>
                      <w:rFonts w:hint="eastAsia"/>
                      <w:b/>
                      <w:bCs/>
                      <w:color w:val="000000"/>
                      <w:sz w:val="21"/>
                      <w:szCs w:val="21"/>
                    </w:rPr>
                    <w:t>高锰酸盐指数</w:t>
                  </w:r>
                </w:p>
              </w:tc>
              <w:tc>
                <w:tcPr>
                  <w:tcW w:w="1973" w:type="dxa"/>
                  <w:vAlign w:val="center"/>
                </w:tcPr>
                <w:p w14:paraId="6EB69935">
                  <w:pPr>
                    <w:adjustRightInd w:val="0"/>
                    <w:snapToGrid w:val="0"/>
                    <w:spacing w:line="240" w:lineRule="auto"/>
                    <w:ind w:firstLine="0" w:firstLineChars="0"/>
                    <w:jc w:val="center"/>
                    <w:textAlignment w:val="baseline"/>
                    <w:rPr>
                      <w:b/>
                      <w:bCs/>
                      <w:color w:val="000000"/>
                      <w:sz w:val="21"/>
                      <w:szCs w:val="21"/>
                    </w:rPr>
                  </w:pPr>
                  <w:r>
                    <w:rPr>
                      <w:b/>
                      <w:bCs/>
                      <w:color w:val="000000"/>
                      <w:sz w:val="21"/>
                      <w:szCs w:val="21"/>
                    </w:rPr>
                    <w:t>NH</w:t>
                  </w:r>
                  <w:r>
                    <w:rPr>
                      <w:b/>
                      <w:bCs/>
                      <w:color w:val="000000"/>
                      <w:sz w:val="21"/>
                      <w:szCs w:val="21"/>
                      <w:vertAlign w:val="subscript"/>
                    </w:rPr>
                    <w:t>3</w:t>
                  </w:r>
                  <w:r>
                    <w:rPr>
                      <w:b/>
                      <w:bCs/>
                      <w:color w:val="000000"/>
                      <w:sz w:val="21"/>
                      <w:szCs w:val="21"/>
                    </w:rPr>
                    <w:t>-N</w:t>
                  </w:r>
                </w:p>
              </w:tc>
              <w:tc>
                <w:tcPr>
                  <w:tcW w:w="1850" w:type="dxa"/>
                  <w:vAlign w:val="center"/>
                </w:tcPr>
                <w:p w14:paraId="0EF1F7A6">
                  <w:pPr>
                    <w:adjustRightInd w:val="0"/>
                    <w:snapToGrid w:val="0"/>
                    <w:spacing w:line="240" w:lineRule="auto"/>
                    <w:ind w:firstLine="0" w:firstLineChars="0"/>
                    <w:jc w:val="center"/>
                    <w:textAlignment w:val="baseline"/>
                    <w:rPr>
                      <w:b/>
                      <w:bCs/>
                      <w:color w:val="000000"/>
                      <w:sz w:val="21"/>
                      <w:szCs w:val="21"/>
                    </w:rPr>
                  </w:pPr>
                  <w:r>
                    <w:rPr>
                      <w:b/>
                      <w:bCs/>
                      <w:color w:val="000000"/>
                      <w:sz w:val="21"/>
                      <w:szCs w:val="21"/>
                    </w:rPr>
                    <w:t>TP</w:t>
                  </w:r>
                </w:p>
              </w:tc>
            </w:tr>
            <w:tr w14:paraId="6EA2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65" w:type="dxa"/>
                  <w:vAlign w:val="center"/>
                </w:tcPr>
                <w:p w14:paraId="1C6C650C">
                  <w:pPr>
                    <w:adjustRightInd w:val="0"/>
                    <w:snapToGrid w:val="0"/>
                    <w:spacing w:line="240" w:lineRule="auto"/>
                    <w:ind w:firstLine="0" w:firstLineChars="0"/>
                    <w:jc w:val="center"/>
                    <w:textAlignment w:val="baseline"/>
                    <w:rPr>
                      <w:color w:val="000000"/>
                      <w:sz w:val="21"/>
                      <w:szCs w:val="21"/>
                    </w:rPr>
                  </w:pPr>
                  <w:r>
                    <w:rPr>
                      <w:color w:val="000000"/>
                      <w:sz w:val="21"/>
                      <w:szCs w:val="21"/>
                    </w:rPr>
                    <w:t>监测数据</w:t>
                  </w:r>
                </w:p>
              </w:tc>
              <w:tc>
                <w:tcPr>
                  <w:tcW w:w="2091" w:type="dxa"/>
                  <w:vAlign w:val="center"/>
                </w:tcPr>
                <w:p w14:paraId="7751DBA4">
                  <w:pPr>
                    <w:adjustRightInd w:val="0"/>
                    <w:snapToGrid w:val="0"/>
                    <w:spacing w:line="240" w:lineRule="auto"/>
                    <w:ind w:firstLine="0" w:firstLineChars="0"/>
                    <w:jc w:val="center"/>
                    <w:rPr>
                      <w:sz w:val="21"/>
                      <w:szCs w:val="21"/>
                    </w:rPr>
                  </w:pPr>
                  <w:r>
                    <w:rPr>
                      <w:rFonts w:hint="eastAsia"/>
                      <w:sz w:val="21"/>
                      <w:szCs w:val="21"/>
                    </w:rPr>
                    <w:t>5.3</w:t>
                  </w:r>
                </w:p>
              </w:tc>
              <w:tc>
                <w:tcPr>
                  <w:tcW w:w="1973" w:type="dxa"/>
                  <w:vAlign w:val="center"/>
                </w:tcPr>
                <w:p w14:paraId="338BB1BB">
                  <w:pPr>
                    <w:snapToGrid w:val="0"/>
                    <w:spacing w:line="240" w:lineRule="auto"/>
                    <w:ind w:firstLine="0" w:firstLineChars="0"/>
                    <w:jc w:val="center"/>
                    <w:rPr>
                      <w:sz w:val="21"/>
                      <w:szCs w:val="21"/>
                    </w:rPr>
                  </w:pPr>
                  <w:r>
                    <w:rPr>
                      <w:sz w:val="21"/>
                      <w:szCs w:val="21"/>
                    </w:rPr>
                    <w:t>0.</w:t>
                  </w:r>
                  <w:r>
                    <w:rPr>
                      <w:rFonts w:hint="eastAsia"/>
                      <w:sz w:val="21"/>
                      <w:szCs w:val="21"/>
                    </w:rPr>
                    <w:t>72</w:t>
                  </w:r>
                </w:p>
              </w:tc>
              <w:tc>
                <w:tcPr>
                  <w:tcW w:w="1850" w:type="dxa"/>
                  <w:vAlign w:val="center"/>
                </w:tcPr>
                <w:p w14:paraId="21739D04">
                  <w:pPr>
                    <w:snapToGrid w:val="0"/>
                    <w:spacing w:line="240" w:lineRule="auto"/>
                    <w:ind w:firstLine="0" w:firstLineChars="0"/>
                    <w:jc w:val="center"/>
                    <w:rPr>
                      <w:sz w:val="21"/>
                      <w:szCs w:val="21"/>
                    </w:rPr>
                  </w:pPr>
                  <w:r>
                    <w:rPr>
                      <w:sz w:val="21"/>
                      <w:szCs w:val="21"/>
                    </w:rPr>
                    <w:t>0.1</w:t>
                  </w:r>
                  <w:r>
                    <w:rPr>
                      <w:rFonts w:hint="eastAsia"/>
                      <w:sz w:val="21"/>
                      <w:szCs w:val="21"/>
                    </w:rPr>
                    <w:t>72</w:t>
                  </w:r>
                </w:p>
              </w:tc>
            </w:tr>
            <w:tr w14:paraId="014F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65" w:type="dxa"/>
                  <w:vAlign w:val="center"/>
                </w:tcPr>
                <w:p w14:paraId="2C1A772E">
                  <w:pPr>
                    <w:adjustRightInd w:val="0"/>
                    <w:snapToGrid w:val="0"/>
                    <w:spacing w:line="240" w:lineRule="auto"/>
                    <w:ind w:firstLine="0" w:firstLineChars="0"/>
                    <w:jc w:val="center"/>
                    <w:textAlignment w:val="baseline"/>
                    <w:rPr>
                      <w:color w:val="000000"/>
                      <w:sz w:val="21"/>
                      <w:szCs w:val="21"/>
                    </w:rPr>
                  </w:pPr>
                  <w:r>
                    <w:rPr>
                      <w:color w:val="000000"/>
                      <w:sz w:val="21"/>
                      <w:szCs w:val="21"/>
                    </w:rPr>
                    <w:t>断面标准</w:t>
                  </w:r>
                </w:p>
              </w:tc>
              <w:tc>
                <w:tcPr>
                  <w:tcW w:w="2091" w:type="dxa"/>
                  <w:vAlign w:val="center"/>
                </w:tcPr>
                <w:p w14:paraId="61CEB856">
                  <w:pPr>
                    <w:snapToGrid w:val="0"/>
                    <w:spacing w:line="240" w:lineRule="auto"/>
                    <w:ind w:firstLine="0" w:firstLineChars="0"/>
                    <w:jc w:val="center"/>
                    <w:rPr>
                      <w:color w:val="000000"/>
                      <w:sz w:val="21"/>
                      <w:szCs w:val="21"/>
                    </w:rPr>
                  </w:pPr>
                  <w:r>
                    <w:rPr>
                      <w:rFonts w:hint="eastAsia"/>
                      <w:sz w:val="21"/>
                      <w:szCs w:val="21"/>
                    </w:rPr>
                    <w:t>6</w:t>
                  </w:r>
                </w:p>
              </w:tc>
              <w:tc>
                <w:tcPr>
                  <w:tcW w:w="1973" w:type="dxa"/>
                  <w:vAlign w:val="center"/>
                </w:tcPr>
                <w:p w14:paraId="6E7FC000">
                  <w:pPr>
                    <w:snapToGrid w:val="0"/>
                    <w:spacing w:line="240" w:lineRule="auto"/>
                    <w:ind w:firstLine="0" w:firstLineChars="0"/>
                    <w:jc w:val="center"/>
                    <w:rPr>
                      <w:color w:val="000000"/>
                      <w:sz w:val="21"/>
                      <w:szCs w:val="21"/>
                    </w:rPr>
                  </w:pPr>
                  <w:r>
                    <w:rPr>
                      <w:sz w:val="21"/>
                      <w:szCs w:val="21"/>
                    </w:rPr>
                    <w:t>1.0</w:t>
                  </w:r>
                </w:p>
              </w:tc>
              <w:tc>
                <w:tcPr>
                  <w:tcW w:w="1850" w:type="dxa"/>
                  <w:vAlign w:val="center"/>
                </w:tcPr>
                <w:p w14:paraId="7FE176D0">
                  <w:pPr>
                    <w:snapToGrid w:val="0"/>
                    <w:spacing w:line="240" w:lineRule="auto"/>
                    <w:ind w:firstLine="0" w:firstLineChars="0"/>
                    <w:jc w:val="center"/>
                    <w:rPr>
                      <w:color w:val="000000"/>
                      <w:sz w:val="21"/>
                      <w:szCs w:val="21"/>
                    </w:rPr>
                  </w:pPr>
                  <w:r>
                    <w:rPr>
                      <w:sz w:val="21"/>
                      <w:szCs w:val="21"/>
                    </w:rPr>
                    <w:t>0.2</w:t>
                  </w:r>
                </w:p>
              </w:tc>
            </w:tr>
            <w:tr w14:paraId="3FA5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65" w:type="dxa"/>
                  <w:vAlign w:val="center"/>
                </w:tcPr>
                <w:p w14:paraId="6A35BCD8">
                  <w:pPr>
                    <w:adjustRightInd w:val="0"/>
                    <w:snapToGrid w:val="0"/>
                    <w:spacing w:line="240" w:lineRule="auto"/>
                    <w:ind w:firstLine="0" w:firstLineChars="0"/>
                    <w:jc w:val="center"/>
                    <w:textAlignment w:val="baseline"/>
                    <w:rPr>
                      <w:color w:val="000000"/>
                      <w:sz w:val="21"/>
                      <w:szCs w:val="21"/>
                    </w:rPr>
                  </w:pPr>
                  <w:r>
                    <w:rPr>
                      <w:color w:val="000000"/>
                      <w:sz w:val="21"/>
                      <w:szCs w:val="21"/>
                    </w:rPr>
                    <w:t>达标情况</w:t>
                  </w:r>
                </w:p>
              </w:tc>
              <w:tc>
                <w:tcPr>
                  <w:tcW w:w="2091" w:type="dxa"/>
                  <w:vAlign w:val="center"/>
                </w:tcPr>
                <w:p w14:paraId="1B7FC07A">
                  <w:pPr>
                    <w:snapToGrid w:val="0"/>
                    <w:spacing w:line="240" w:lineRule="auto"/>
                    <w:ind w:firstLine="0" w:firstLineChars="0"/>
                    <w:jc w:val="center"/>
                    <w:rPr>
                      <w:color w:val="000000"/>
                      <w:sz w:val="21"/>
                      <w:szCs w:val="21"/>
                    </w:rPr>
                  </w:pPr>
                  <w:r>
                    <w:rPr>
                      <w:sz w:val="21"/>
                      <w:szCs w:val="21"/>
                    </w:rPr>
                    <w:t>达标</w:t>
                  </w:r>
                </w:p>
              </w:tc>
              <w:tc>
                <w:tcPr>
                  <w:tcW w:w="1973" w:type="dxa"/>
                  <w:vAlign w:val="center"/>
                </w:tcPr>
                <w:p w14:paraId="3B071D9A">
                  <w:pPr>
                    <w:snapToGrid w:val="0"/>
                    <w:spacing w:line="240" w:lineRule="auto"/>
                    <w:ind w:firstLine="0" w:firstLineChars="0"/>
                    <w:jc w:val="center"/>
                    <w:rPr>
                      <w:color w:val="000000"/>
                      <w:sz w:val="21"/>
                      <w:szCs w:val="21"/>
                    </w:rPr>
                  </w:pPr>
                  <w:r>
                    <w:rPr>
                      <w:sz w:val="21"/>
                      <w:szCs w:val="21"/>
                    </w:rPr>
                    <w:t>达标</w:t>
                  </w:r>
                </w:p>
              </w:tc>
              <w:tc>
                <w:tcPr>
                  <w:tcW w:w="1850" w:type="dxa"/>
                  <w:vAlign w:val="center"/>
                </w:tcPr>
                <w:p w14:paraId="2C5EF902">
                  <w:pPr>
                    <w:snapToGrid w:val="0"/>
                    <w:spacing w:line="240" w:lineRule="auto"/>
                    <w:ind w:firstLine="0" w:firstLineChars="0"/>
                    <w:jc w:val="center"/>
                    <w:rPr>
                      <w:color w:val="000000"/>
                      <w:sz w:val="21"/>
                      <w:szCs w:val="21"/>
                    </w:rPr>
                  </w:pPr>
                  <w:r>
                    <w:rPr>
                      <w:sz w:val="21"/>
                      <w:szCs w:val="21"/>
                    </w:rPr>
                    <w:t>达标</w:t>
                  </w:r>
                </w:p>
              </w:tc>
            </w:tr>
          </w:tbl>
          <w:p w14:paraId="0E842211">
            <w:pPr>
              <w:keepNext w:val="0"/>
              <w:keepLines w:val="0"/>
              <w:pageBreakBefore w:val="0"/>
              <w:widowControl w:val="0"/>
              <w:kinsoku/>
              <w:wordWrap/>
              <w:overflowPunct/>
              <w:topLinePunct w:val="0"/>
              <w:autoSpaceDE/>
              <w:autoSpaceDN/>
              <w:bidi w:val="0"/>
              <w:adjustRightInd w:val="0"/>
              <w:snapToGrid w:val="0"/>
              <w:spacing w:line="520" w:lineRule="exact"/>
              <w:ind w:firstLine="480"/>
              <w:jc w:val="left"/>
              <w:textAlignment w:val="auto"/>
              <w:rPr>
                <w:bCs/>
              </w:rPr>
            </w:pPr>
            <w:r>
              <w:rPr>
                <w:color w:val="000000"/>
              </w:rPr>
              <w:t>由上表可知，卫河皇甫断面高锰酸盐指数</w:t>
            </w:r>
            <w:r>
              <w:rPr>
                <w:rFonts w:hint="eastAsia"/>
                <w:color w:val="000000"/>
              </w:rPr>
              <w:t>、</w:t>
            </w:r>
            <w:r>
              <w:rPr>
                <w:color w:val="000000"/>
              </w:rPr>
              <w:t>NH</w:t>
            </w:r>
            <w:r>
              <w:rPr>
                <w:color w:val="000000"/>
                <w:vertAlign w:val="subscript"/>
              </w:rPr>
              <w:t>3</w:t>
            </w:r>
            <w:r>
              <w:rPr>
                <w:color w:val="000000"/>
              </w:rPr>
              <w:t>-N和</w:t>
            </w:r>
            <w:r>
              <w:rPr>
                <w:rFonts w:hint="eastAsia"/>
                <w:color w:val="000000"/>
              </w:rPr>
              <w:t>TP平均浓度均达标</w:t>
            </w:r>
            <w:r>
              <w:rPr>
                <w:bCs/>
              </w:rPr>
              <w:t>。</w:t>
            </w:r>
          </w:p>
          <w:p w14:paraId="5D2283B0">
            <w:pPr>
              <w:keepNext w:val="0"/>
              <w:keepLines w:val="0"/>
              <w:pageBreakBefore w:val="0"/>
              <w:widowControl w:val="0"/>
              <w:kinsoku/>
              <w:wordWrap/>
              <w:overflowPunct/>
              <w:topLinePunct w:val="0"/>
              <w:autoSpaceDE/>
              <w:autoSpaceDN/>
              <w:bidi w:val="0"/>
              <w:spacing w:line="520" w:lineRule="exact"/>
              <w:ind w:firstLine="482"/>
              <w:textAlignment w:val="auto"/>
              <w:rPr>
                <w:b/>
              </w:rPr>
            </w:pPr>
            <w:r>
              <w:rPr>
                <w:b/>
              </w:rPr>
              <w:t>3、声环境质量现状</w:t>
            </w:r>
          </w:p>
          <w:p w14:paraId="678FC4C0">
            <w:pPr>
              <w:keepNext w:val="0"/>
              <w:keepLines w:val="0"/>
              <w:pageBreakBefore w:val="0"/>
              <w:widowControl w:val="0"/>
              <w:kinsoku/>
              <w:wordWrap/>
              <w:overflowPunct/>
              <w:topLinePunct w:val="0"/>
              <w:autoSpaceDE/>
              <w:autoSpaceDN/>
              <w:bidi w:val="0"/>
              <w:spacing w:line="520" w:lineRule="exact"/>
              <w:ind w:firstLine="480"/>
              <w:textAlignment w:val="auto"/>
              <w:rPr>
                <w:b/>
              </w:rPr>
            </w:pPr>
            <w:r>
              <w:t>根据《建设项目环境影响报告表编制技术指南（污染影响类）（试行）》，本项目厂界外周边50米范围内不存在声环境保护目标，因此不进行声环境质量现状调查。</w:t>
            </w:r>
          </w:p>
          <w:p w14:paraId="2A109C9B">
            <w:pPr>
              <w:keepNext w:val="0"/>
              <w:keepLines w:val="0"/>
              <w:pageBreakBefore w:val="0"/>
              <w:widowControl w:val="0"/>
              <w:kinsoku/>
              <w:wordWrap/>
              <w:overflowPunct/>
              <w:topLinePunct w:val="0"/>
              <w:autoSpaceDE/>
              <w:autoSpaceDN/>
              <w:bidi w:val="0"/>
              <w:spacing w:line="520" w:lineRule="exact"/>
              <w:ind w:firstLine="482"/>
              <w:textAlignment w:val="auto"/>
              <w:rPr>
                <w:b/>
              </w:rPr>
            </w:pPr>
            <w:r>
              <w:rPr>
                <w:b/>
              </w:rPr>
              <w:t>4、地下水、土壤环境质量现状</w:t>
            </w:r>
          </w:p>
          <w:p w14:paraId="186A9B9B">
            <w:pPr>
              <w:keepNext w:val="0"/>
              <w:keepLines w:val="0"/>
              <w:pageBreakBefore w:val="0"/>
              <w:widowControl w:val="0"/>
              <w:kinsoku/>
              <w:wordWrap/>
              <w:overflowPunct/>
              <w:topLinePunct w:val="0"/>
              <w:autoSpaceDE/>
              <w:autoSpaceDN/>
              <w:bidi w:val="0"/>
              <w:spacing w:line="520" w:lineRule="exact"/>
              <w:ind w:firstLine="480"/>
              <w:textAlignment w:val="auto"/>
              <w:rPr>
                <w:bCs/>
              </w:rPr>
            </w:pPr>
            <w:r>
              <w:rPr>
                <w:bCs/>
              </w:rPr>
              <w:t>根据《建设项目环境影响报告表编制技术指南（污染影响类）（试行）》，原则上不开展地下水和土壤环境质量现状调查，且本项目不存在地下水、土壤污染途径，因此不进行地下水、土壤质量现状调查。</w:t>
            </w:r>
          </w:p>
          <w:p w14:paraId="1020092E">
            <w:pPr>
              <w:keepNext w:val="0"/>
              <w:keepLines w:val="0"/>
              <w:pageBreakBefore w:val="0"/>
              <w:widowControl w:val="0"/>
              <w:kinsoku/>
              <w:wordWrap/>
              <w:overflowPunct/>
              <w:topLinePunct w:val="0"/>
              <w:autoSpaceDE/>
              <w:autoSpaceDN/>
              <w:bidi w:val="0"/>
              <w:spacing w:line="520" w:lineRule="exact"/>
              <w:ind w:firstLine="482"/>
              <w:textAlignment w:val="auto"/>
            </w:pPr>
            <w:r>
              <w:rPr>
                <w:b/>
              </w:rPr>
              <w:t>5、生态环境现状</w:t>
            </w:r>
          </w:p>
          <w:p w14:paraId="21D639FA">
            <w:pPr>
              <w:keepNext w:val="0"/>
              <w:keepLines w:val="0"/>
              <w:pageBreakBefore w:val="0"/>
              <w:widowControl w:val="0"/>
              <w:kinsoku/>
              <w:wordWrap/>
              <w:overflowPunct/>
              <w:topLinePunct w:val="0"/>
              <w:autoSpaceDE/>
              <w:autoSpaceDN/>
              <w:bidi w:val="0"/>
              <w:spacing w:line="520" w:lineRule="exact"/>
              <w:ind w:firstLine="480"/>
              <w:textAlignment w:val="auto"/>
            </w:pPr>
            <w:r>
              <w:t>根据《建设项目环境影响报告表编制技术指南（污染影响类）（试行）》，产业园区外建设项目新增用地且用地范围内含有生态环境保护目标时，应进行生态现状调查。本项目位于</w:t>
            </w:r>
            <w:r>
              <w:rPr>
                <w:rFonts w:hint="eastAsia"/>
                <w:lang w:eastAsia="zh-CN"/>
              </w:rPr>
              <w:t>新乡市新能源电池专业园区标北路11号3A号厂房</w:t>
            </w:r>
            <w:r>
              <w:t>且用地范围内不含有生态环境保护目标，因此不进行生态环境现状调查。</w:t>
            </w:r>
          </w:p>
        </w:tc>
      </w:tr>
      <w:tr w14:paraId="5692B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17" w:type="dxa"/>
            <w:vAlign w:val="center"/>
          </w:tcPr>
          <w:p w14:paraId="64132AF9">
            <w:pPr>
              <w:adjustRightInd w:val="0"/>
              <w:snapToGrid w:val="0"/>
              <w:spacing w:line="240" w:lineRule="auto"/>
              <w:ind w:firstLine="0" w:firstLineChars="0"/>
              <w:jc w:val="center"/>
              <w:rPr>
                <w:b/>
                <w:bCs/>
                <w:kern w:val="0"/>
              </w:rPr>
            </w:pPr>
            <w:r>
              <w:rPr>
                <w:b/>
                <w:bCs/>
                <w:kern w:val="0"/>
              </w:rPr>
              <w:t>环境</w:t>
            </w:r>
          </w:p>
          <w:p w14:paraId="13A3A908">
            <w:pPr>
              <w:adjustRightInd w:val="0"/>
              <w:snapToGrid w:val="0"/>
              <w:spacing w:line="240" w:lineRule="auto"/>
              <w:ind w:firstLine="0" w:firstLineChars="0"/>
              <w:jc w:val="center"/>
              <w:rPr>
                <w:b/>
                <w:bCs/>
                <w:kern w:val="0"/>
              </w:rPr>
            </w:pPr>
            <w:r>
              <w:rPr>
                <w:b/>
                <w:bCs/>
                <w:kern w:val="0"/>
              </w:rPr>
              <w:t>保护</w:t>
            </w:r>
          </w:p>
          <w:p w14:paraId="6C167503">
            <w:pPr>
              <w:adjustRightInd w:val="0"/>
              <w:snapToGrid w:val="0"/>
              <w:spacing w:line="240" w:lineRule="auto"/>
              <w:ind w:firstLine="0" w:firstLineChars="0"/>
              <w:jc w:val="center"/>
              <w:rPr>
                <w:kern w:val="0"/>
              </w:rPr>
            </w:pPr>
            <w:r>
              <w:rPr>
                <w:b/>
                <w:bCs/>
                <w:kern w:val="0"/>
              </w:rPr>
              <w:t>目标</w:t>
            </w:r>
          </w:p>
        </w:tc>
        <w:tc>
          <w:tcPr>
            <w:tcW w:w="8244" w:type="dxa"/>
            <w:vAlign w:val="center"/>
          </w:tcPr>
          <w:p w14:paraId="1C0837FC">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color w:val="000000"/>
              </w:rPr>
            </w:pPr>
            <w:r>
              <w:rPr>
                <w:rFonts w:hint="eastAsia"/>
                <w:color w:val="000000"/>
              </w:rPr>
              <w:t>建设项目厂界</w:t>
            </w:r>
            <w:r>
              <w:rPr>
                <w:color w:val="000000"/>
              </w:rPr>
              <w:t>周围主要环境保护目标见下表：</w:t>
            </w:r>
          </w:p>
          <w:p w14:paraId="74C95864">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eastAsia="黑体"/>
                <w:szCs w:val="20"/>
              </w:rPr>
            </w:pPr>
          </w:p>
          <w:p w14:paraId="3389E4CE">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eastAsia="黑体"/>
                <w:szCs w:val="20"/>
              </w:rPr>
            </w:pPr>
            <w:r>
              <w:rPr>
                <w:rFonts w:eastAsia="黑体"/>
                <w:szCs w:val="20"/>
              </w:rPr>
              <w:t>表</w:t>
            </w:r>
            <w:r>
              <w:rPr>
                <w:rFonts w:hint="eastAsia" w:eastAsia="黑体"/>
                <w:szCs w:val="20"/>
              </w:rPr>
              <w:t xml:space="preserve">3-3        </w:t>
            </w:r>
            <w:r>
              <w:rPr>
                <w:rFonts w:eastAsia="黑体"/>
                <w:szCs w:val="20"/>
              </w:rPr>
              <w:t>区域主要环境保护目标</w:t>
            </w:r>
          </w:p>
          <w:tbl>
            <w:tblPr>
              <w:tblStyle w:val="2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273"/>
              <w:gridCol w:w="1797"/>
              <w:gridCol w:w="1425"/>
              <w:gridCol w:w="1264"/>
              <w:gridCol w:w="2248"/>
            </w:tblGrid>
            <w:tr w14:paraId="060E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794" w:type="pct"/>
                  <w:vAlign w:val="center"/>
                </w:tcPr>
                <w:p w14:paraId="7284BA74">
                  <w:pPr>
                    <w:pStyle w:val="10"/>
                    <w:spacing w:before="0" w:after="0" w:line="240" w:lineRule="auto"/>
                    <w:ind w:right="0" w:firstLine="0" w:firstLineChars="0"/>
                    <w:jc w:val="center"/>
                    <w:rPr>
                      <w:b/>
                      <w:bCs/>
                      <w:color w:val="000000"/>
                      <w:sz w:val="21"/>
                      <w:szCs w:val="21"/>
                    </w:rPr>
                  </w:pPr>
                  <w:r>
                    <w:rPr>
                      <w:b/>
                      <w:bCs/>
                      <w:color w:val="000000"/>
                      <w:sz w:val="21"/>
                      <w:szCs w:val="21"/>
                    </w:rPr>
                    <w:t>环境要素</w:t>
                  </w:r>
                </w:p>
              </w:tc>
              <w:tc>
                <w:tcPr>
                  <w:tcW w:w="1122" w:type="pct"/>
                  <w:vAlign w:val="center"/>
                </w:tcPr>
                <w:p w14:paraId="08182C8D">
                  <w:pPr>
                    <w:spacing w:line="240" w:lineRule="auto"/>
                    <w:ind w:firstLine="0" w:firstLineChars="0"/>
                    <w:jc w:val="center"/>
                    <w:rPr>
                      <w:b/>
                      <w:bCs/>
                      <w:color w:val="000000"/>
                      <w:sz w:val="21"/>
                      <w:szCs w:val="21"/>
                    </w:rPr>
                  </w:pPr>
                  <w:r>
                    <w:rPr>
                      <w:b/>
                      <w:bCs/>
                      <w:color w:val="000000"/>
                      <w:sz w:val="21"/>
                      <w:szCs w:val="21"/>
                    </w:rPr>
                    <w:t>保护目标</w:t>
                  </w:r>
                </w:p>
              </w:tc>
              <w:tc>
                <w:tcPr>
                  <w:tcW w:w="890" w:type="pct"/>
                  <w:vAlign w:val="center"/>
                </w:tcPr>
                <w:p w14:paraId="655880F5">
                  <w:pPr>
                    <w:pStyle w:val="10"/>
                    <w:spacing w:before="0" w:after="0" w:line="240" w:lineRule="auto"/>
                    <w:ind w:right="0" w:firstLine="0" w:firstLineChars="0"/>
                    <w:jc w:val="center"/>
                    <w:rPr>
                      <w:b/>
                      <w:bCs/>
                      <w:color w:val="000000"/>
                      <w:sz w:val="21"/>
                      <w:szCs w:val="21"/>
                    </w:rPr>
                  </w:pPr>
                  <w:r>
                    <w:rPr>
                      <w:b/>
                      <w:bCs/>
                      <w:color w:val="000000"/>
                      <w:sz w:val="21"/>
                      <w:szCs w:val="21"/>
                    </w:rPr>
                    <w:t>方位</w:t>
                  </w:r>
                </w:p>
              </w:tc>
              <w:tc>
                <w:tcPr>
                  <w:tcW w:w="788" w:type="pct"/>
                  <w:vAlign w:val="center"/>
                </w:tcPr>
                <w:p w14:paraId="175ADE1E">
                  <w:pPr>
                    <w:pStyle w:val="10"/>
                    <w:spacing w:before="0" w:after="0" w:line="240" w:lineRule="auto"/>
                    <w:ind w:right="0" w:firstLine="0" w:firstLineChars="0"/>
                    <w:jc w:val="center"/>
                    <w:rPr>
                      <w:b/>
                      <w:bCs/>
                      <w:color w:val="000000"/>
                      <w:sz w:val="21"/>
                      <w:szCs w:val="21"/>
                    </w:rPr>
                  </w:pPr>
                  <w:r>
                    <w:rPr>
                      <w:b/>
                      <w:bCs/>
                      <w:color w:val="000000"/>
                      <w:sz w:val="21"/>
                      <w:szCs w:val="21"/>
                    </w:rPr>
                    <w:t>距离（m）</w:t>
                  </w:r>
                </w:p>
              </w:tc>
              <w:tc>
                <w:tcPr>
                  <w:tcW w:w="1404" w:type="pct"/>
                  <w:vAlign w:val="center"/>
                </w:tcPr>
                <w:p w14:paraId="4F1A426E">
                  <w:pPr>
                    <w:pStyle w:val="10"/>
                    <w:spacing w:before="0" w:after="0" w:line="240" w:lineRule="auto"/>
                    <w:ind w:right="0" w:firstLine="0" w:firstLineChars="0"/>
                    <w:jc w:val="center"/>
                    <w:rPr>
                      <w:b/>
                      <w:bCs/>
                      <w:color w:val="000000"/>
                      <w:sz w:val="21"/>
                      <w:szCs w:val="21"/>
                    </w:rPr>
                  </w:pPr>
                  <w:r>
                    <w:rPr>
                      <w:b/>
                      <w:bCs/>
                      <w:color w:val="000000"/>
                      <w:sz w:val="21"/>
                      <w:szCs w:val="21"/>
                    </w:rPr>
                    <w:t>保护级别</w:t>
                  </w:r>
                </w:p>
              </w:tc>
            </w:tr>
            <w:tr w14:paraId="31A7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794" w:type="pct"/>
                  <w:vAlign w:val="center"/>
                </w:tcPr>
                <w:p w14:paraId="2FD4A7BF">
                  <w:pPr>
                    <w:spacing w:line="240" w:lineRule="auto"/>
                    <w:ind w:firstLine="0" w:firstLineChars="0"/>
                    <w:jc w:val="center"/>
                    <w:rPr>
                      <w:b/>
                      <w:bCs/>
                      <w:color w:val="000000"/>
                      <w:sz w:val="21"/>
                      <w:szCs w:val="21"/>
                    </w:rPr>
                  </w:pPr>
                  <w:r>
                    <w:rPr>
                      <w:b/>
                      <w:bCs/>
                      <w:color w:val="000000"/>
                      <w:sz w:val="21"/>
                      <w:szCs w:val="21"/>
                    </w:rPr>
                    <w:t>大气环境</w:t>
                  </w:r>
                </w:p>
              </w:tc>
              <w:tc>
                <w:tcPr>
                  <w:tcW w:w="1122" w:type="pct"/>
                  <w:vAlign w:val="center"/>
                </w:tcPr>
                <w:p w14:paraId="3B4DDC8E">
                  <w:pPr>
                    <w:pStyle w:val="10"/>
                    <w:spacing w:before="0" w:after="0" w:line="240" w:lineRule="auto"/>
                    <w:ind w:right="0" w:firstLine="0" w:firstLineChars="0"/>
                    <w:jc w:val="center"/>
                    <w:rPr>
                      <w:color w:val="000000"/>
                      <w:sz w:val="21"/>
                      <w:szCs w:val="21"/>
                    </w:rPr>
                  </w:pPr>
                  <w:r>
                    <w:rPr>
                      <w:rFonts w:hint="eastAsia"/>
                      <w:color w:val="000000"/>
                      <w:sz w:val="21"/>
                      <w:szCs w:val="21"/>
                    </w:rPr>
                    <w:t>东张门村</w:t>
                  </w:r>
                </w:p>
              </w:tc>
              <w:tc>
                <w:tcPr>
                  <w:tcW w:w="890" w:type="pct"/>
                  <w:vAlign w:val="center"/>
                </w:tcPr>
                <w:p w14:paraId="5C383F98">
                  <w:pPr>
                    <w:pStyle w:val="10"/>
                    <w:spacing w:before="0" w:after="0" w:line="240" w:lineRule="auto"/>
                    <w:ind w:right="0" w:firstLine="0" w:firstLineChars="0"/>
                    <w:jc w:val="center"/>
                    <w:rPr>
                      <w:color w:val="000000"/>
                      <w:sz w:val="21"/>
                      <w:szCs w:val="21"/>
                    </w:rPr>
                  </w:pPr>
                  <w:r>
                    <w:rPr>
                      <w:rFonts w:hint="eastAsia"/>
                      <w:color w:val="000000"/>
                      <w:sz w:val="21"/>
                      <w:szCs w:val="21"/>
                    </w:rPr>
                    <w:t>西北</w:t>
                  </w:r>
                </w:p>
              </w:tc>
              <w:tc>
                <w:tcPr>
                  <w:tcW w:w="788" w:type="pct"/>
                  <w:vAlign w:val="center"/>
                </w:tcPr>
                <w:p w14:paraId="14D7DEB9">
                  <w:pPr>
                    <w:pStyle w:val="10"/>
                    <w:spacing w:before="0" w:after="0" w:line="240" w:lineRule="auto"/>
                    <w:ind w:right="0" w:firstLine="0" w:firstLineChars="0"/>
                    <w:jc w:val="center"/>
                    <w:rPr>
                      <w:rFonts w:hint="default" w:eastAsia="宋体"/>
                      <w:color w:val="000000"/>
                      <w:sz w:val="21"/>
                      <w:szCs w:val="21"/>
                      <w:lang w:val="en-US" w:eastAsia="zh-CN"/>
                    </w:rPr>
                  </w:pPr>
                  <w:r>
                    <w:rPr>
                      <w:rFonts w:hint="eastAsia"/>
                      <w:color w:val="000000"/>
                      <w:sz w:val="21"/>
                      <w:szCs w:val="21"/>
                      <w:lang w:val="en-US" w:eastAsia="zh-CN"/>
                    </w:rPr>
                    <w:t>420</w:t>
                  </w:r>
                </w:p>
              </w:tc>
              <w:tc>
                <w:tcPr>
                  <w:tcW w:w="1404" w:type="pct"/>
                  <w:vAlign w:val="center"/>
                </w:tcPr>
                <w:p w14:paraId="6168541C">
                  <w:pPr>
                    <w:pStyle w:val="10"/>
                    <w:spacing w:before="0" w:after="0" w:line="240" w:lineRule="auto"/>
                    <w:ind w:right="0" w:firstLine="0" w:firstLineChars="0"/>
                    <w:jc w:val="center"/>
                    <w:rPr>
                      <w:color w:val="000000"/>
                      <w:sz w:val="21"/>
                      <w:szCs w:val="21"/>
                    </w:rPr>
                  </w:pPr>
                  <w:r>
                    <w:rPr>
                      <w:color w:val="000000"/>
                      <w:sz w:val="21"/>
                      <w:szCs w:val="21"/>
                    </w:rPr>
                    <w:t>《环境空气质量标准》</w:t>
                  </w:r>
                </w:p>
                <w:p w14:paraId="0BFAFE4E">
                  <w:pPr>
                    <w:pStyle w:val="10"/>
                    <w:spacing w:before="0" w:after="0" w:line="240" w:lineRule="auto"/>
                    <w:ind w:right="0" w:firstLine="0" w:firstLineChars="0"/>
                    <w:jc w:val="center"/>
                    <w:rPr>
                      <w:color w:val="000000"/>
                      <w:sz w:val="21"/>
                      <w:szCs w:val="21"/>
                    </w:rPr>
                  </w:pPr>
                  <w:r>
                    <w:rPr>
                      <w:rFonts w:hint="eastAsia"/>
                      <w:color w:val="000000"/>
                      <w:sz w:val="21"/>
                      <w:szCs w:val="21"/>
                    </w:rPr>
                    <w:t>（GB3095-2026）二级</w:t>
                  </w:r>
                </w:p>
              </w:tc>
            </w:tr>
            <w:tr w14:paraId="1CAF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794" w:type="pct"/>
                  <w:vAlign w:val="center"/>
                </w:tcPr>
                <w:p w14:paraId="3BC0B00B">
                  <w:pPr>
                    <w:tabs>
                      <w:tab w:val="left" w:pos="3230"/>
                    </w:tabs>
                    <w:adjustRightInd w:val="0"/>
                    <w:snapToGrid w:val="0"/>
                    <w:spacing w:line="240" w:lineRule="auto"/>
                    <w:ind w:firstLine="0" w:firstLineChars="0"/>
                    <w:jc w:val="center"/>
                    <w:rPr>
                      <w:b/>
                      <w:bCs/>
                      <w:sz w:val="21"/>
                      <w:szCs w:val="21"/>
                    </w:rPr>
                  </w:pPr>
                  <w:r>
                    <w:rPr>
                      <w:b/>
                      <w:bCs/>
                      <w:sz w:val="21"/>
                      <w:szCs w:val="21"/>
                    </w:rPr>
                    <w:t>环境噪声</w:t>
                  </w:r>
                </w:p>
              </w:tc>
              <w:tc>
                <w:tcPr>
                  <w:tcW w:w="2801" w:type="pct"/>
                  <w:gridSpan w:val="3"/>
                  <w:vAlign w:val="center"/>
                </w:tcPr>
                <w:p w14:paraId="559E86D8">
                  <w:pPr>
                    <w:pStyle w:val="10"/>
                    <w:spacing w:before="0" w:after="0" w:line="240" w:lineRule="auto"/>
                    <w:ind w:right="0" w:firstLine="0" w:firstLineChars="0"/>
                    <w:jc w:val="center"/>
                    <w:rPr>
                      <w:sz w:val="21"/>
                      <w:szCs w:val="21"/>
                    </w:rPr>
                  </w:pPr>
                  <w:r>
                    <w:rPr>
                      <w:sz w:val="21"/>
                      <w:szCs w:val="21"/>
                    </w:rPr>
                    <w:t>本项目周边50米范围内无</w:t>
                  </w:r>
                  <w:r>
                    <w:rPr>
                      <w:rFonts w:hint="eastAsia"/>
                      <w:sz w:val="21"/>
                      <w:szCs w:val="21"/>
                    </w:rPr>
                    <w:t>声环境</w:t>
                  </w:r>
                  <w:r>
                    <w:rPr>
                      <w:sz w:val="21"/>
                      <w:szCs w:val="21"/>
                    </w:rPr>
                    <w:t>保护目标</w:t>
                  </w:r>
                </w:p>
              </w:tc>
              <w:tc>
                <w:tcPr>
                  <w:tcW w:w="1404" w:type="pct"/>
                  <w:vAlign w:val="center"/>
                </w:tcPr>
                <w:p w14:paraId="0944B527">
                  <w:pPr>
                    <w:pStyle w:val="10"/>
                    <w:spacing w:before="0" w:after="0" w:line="240" w:lineRule="auto"/>
                    <w:ind w:right="0" w:firstLine="0" w:firstLineChars="0"/>
                    <w:jc w:val="center"/>
                    <w:rPr>
                      <w:rFonts w:hint="eastAsia" w:eastAsia="宋体"/>
                      <w:sz w:val="21"/>
                      <w:szCs w:val="21"/>
                      <w:lang w:eastAsia="zh-CN"/>
                    </w:rPr>
                  </w:pPr>
                  <w:r>
                    <w:rPr>
                      <w:rFonts w:hint="eastAsia"/>
                      <w:color w:val="000000"/>
                      <w:sz w:val="21"/>
                      <w:szCs w:val="21"/>
                      <w:lang w:val="en-US" w:eastAsia="zh-CN"/>
                    </w:rPr>
                    <w:t>/</w:t>
                  </w:r>
                </w:p>
              </w:tc>
            </w:tr>
            <w:tr w14:paraId="4186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794" w:type="pct"/>
                  <w:vAlign w:val="center"/>
                </w:tcPr>
                <w:p w14:paraId="5EDB0836">
                  <w:pPr>
                    <w:tabs>
                      <w:tab w:val="left" w:pos="3230"/>
                    </w:tabs>
                    <w:adjustRightInd w:val="0"/>
                    <w:snapToGrid w:val="0"/>
                    <w:spacing w:line="240" w:lineRule="auto"/>
                    <w:ind w:firstLine="0" w:firstLineChars="0"/>
                    <w:jc w:val="center"/>
                    <w:rPr>
                      <w:b/>
                      <w:bCs/>
                      <w:sz w:val="21"/>
                      <w:szCs w:val="21"/>
                    </w:rPr>
                  </w:pPr>
                  <w:r>
                    <w:rPr>
                      <w:b/>
                      <w:bCs/>
                      <w:sz w:val="21"/>
                      <w:szCs w:val="21"/>
                    </w:rPr>
                    <w:t>生态环境</w:t>
                  </w:r>
                </w:p>
              </w:tc>
              <w:tc>
                <w:tcPr>
                  <w:tcW w:w="2801" w:type="pct"/>
                  <w:gridSpan w:val="3"/>
                  <w:vAlign w:val="center"/>
                </w:tcPr>
                <w:p w14:paraId="1AAEA497">
                  <w:pPr>
                    <w:tabs>
                      <w:tab w:val="left" w:pos="3230"/>
                    </w:tabs>
                    <w:adjustRightInd w:val="0"/>
                    <w:snapToGrid w:val="0"/>
                    <w:spacing w:line="240" w:lineRule="auto"/>
                    <w:ind w:firstLine="0" w:firstLineChars="0"/>
                    <w:jc w:val="center"/>
                    <w:rPr>
                      <w:sz w:val="21"/>
                      <w:szCs w:val="21"/>
                    </w:rPr>
                  </w:pPr>
                  <w:r>
                    <w:rPr>
                      <w:sz w:val="21"/>
                      <w:szCs w:val="21"/>
                    </w:rPr>
                    <w:t>本项目周边500米范围内无生态保护目标</w:t>
                  </w:r>
                </w:p>
              </w:tc>
              <w:tc>
                <w:tcPr>
                  <w:tcW w:w="1404" w:type="pct"/>
                  <w:vAlign w:val="center"/>
                </w:tcPr>
                <w:p w14:paraId="2FC1FCA8">
                  <w:pPr>
                    <w:pStyle w:val="10"/>
                    <w:spacing w:before="0" w:after="0" w:line="240" w:lineRule="auto"/>
                    <w:ind w:right="0" w:firstLine="0" w:firstLineChars="0"/>
                    <w:jc w:val="center"/>
                    <w:rPr>
                      <w:sz w:val="21"/>
                      <w:szCs w:val="21"/>
                    </w:rPr>
                  </w:pPr>
                  <w:r>
                    <w:rPr>
                      <w:sz w:val="21"/>
                      <w:szCs w:val="21"/>
                    </w:rPr>
                    <w:t>/</w:t>
                  </w:r>
                </w:p>
              </w:tc>
            </w:tr>
            <w:tr w14:paraId="245A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794" w:type="pct"/>
                  <w:vAlign w:val="center"/>
                </w:tcPr>
                <w:p w14:paraId="6558BB51">
                  <w:pPr>
                    <w:tabs>
                      <w:tab w:val="left" w:pos="3230"/>
                    </w:tabs>
                    <w:adjustRightInd w:val="0"/>
                    <w:snapToGrid w:val="0"/>
                    <w:spacing w:line="240" w:lineRule="auto"/>
                    <w:ind w:firstLine="0" w:firstLineChars="0"/>
                    <w:jc w:val="center"/>
                    <w:rPr>
                      <w:b/>
                      <w:bCs/>
                      <w:sz w:val="21"/>
                      <w:szCs w:val="21"/>
                    </w:rPr>
                  </w:pPr>
                  <w:r>
                    <w:rPr>
                      <w:b/>
                      <w:bCs/>
                      <w:sz w:val="21"/>
                      <w:szCs w:val="21"/>
                    </w:rPr>
                    <w:t>地下水环境</w:t>
                  </w:r>
                </w:p>
              </w:tc>
              <w:tc>
                <w:tcPr>
                  <w:tcW w:w="2801" w:type="pct"/>
                  <w:gridSpan w:val="3"/>
                  <w:vAlign w:val="center"/>
                </w:tcPr>
                <w:p w14:paraId="6C08C138">
                  <w:pPr>
                    <w:tabs>
                      <w:tab w:val="left" w:pos="3230"/>
                    </w:tabs>
                    <w:adjustRightInd w:val="0"/>
                    <w:snapToGrid w:val="0"/>
                    <w:spacing w:line="240" w:lineRule="auto"/>
                    <w:ind w:firstLine="0" w:firstLineChars="0"/>
                    <w:jc w:val="center"/>
                    <w:rPr>
                      <w:sz w:val="21"/>
                      <w:szCs w:val="21"/>
                    </w:rPr>
                  </w:pPr>
                  <w:r>
                    <w:rPr>
                      <w:sz w:val="21"/>
                      <w:szCs w:val="21"/>
                    </w:rPr>
                    <w:t>本项目周边500米范围内无地下水集中式饮用水水源和热水、矿泉水、温泉等特殊地下水资源。</w:t>
                  </w:r>
                </w:p>
              </w:tc>
              <w:tc>
                <w:tcPr>
                  <w:tcW w:w="1404" w:type="pct"/>
                  <w:vAlign w:val="center"/>
                </w:tcPr>
                <w:p w14:paraId="387C62C3">
                  <w:pPr>
                    <w:pStyle w:val="10"/>
                    <w:spacing w:before="0" w:after="0" w:line="240" w:lineRule="auto"/>
                    <w:ind w:right="0" w:firstLine="0" w:firstLineChars="0"/>
                    <w:jc w:val="center"/>
                    <w:rPr>
                      <w:sz w:val="21"/>
                      <w:szCs w:val="21"/>
                    </w:rPr>
                  </w:pPr>
                  <w:r>
                    <w:rPr>
                      <w:sz w:val="21"/>
                      <w:szCs w:val="21"/>
                    </w:rPr>
                    <w:t>/</w:t>
                  </w:r>
                </w:p>
              </w:tc>
            </w:tr>
          </w:tbl>
          <w:p w14:paraId="0D0C661F">
            <w:pPr>
              <w:adjustRightInd w:val="0"/>
              <w:snapToGrid w:val="0"/>
              <w:spacing w:line="520" w:lineRule="exact"/>
              <w:ind w:firstLine="480"/>
            </w:pPr>
          </w:p>
        </w:tc>
      </w:tr>
      <w:tr w14:paraId="5EDED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Mar>
              <w:left w:w="28" w:type="dxa"/>
              <w:right w:w="28" w:type="dxa"/>
            </w:tcMar>
            <w:vAlign w:val="center"/>
          </w:tcPr>
          <w:p w14:paraId="4C688090">
            <w:pPr>
              <w:adjustRightInd w:val="0"/>
              <w:snapToGrid w:val="0"/>
              <w:spacing w:line="240" w:lineRule="auto"/>
              <w:ind w:firstLine="0" w:firstLineChars="0"/>
              <w:jc w:val="center"/>
              <w:rPr>
                <w:kern w:val="0"/>
                <w:sz w:val="21"/>
                <w:szCs w:val="21"/>
              </w:rPr>
            </w:pPr>
            <w:r>
              <w:rPr>
                <w:kern w:val="0"/>
              </w:rPr>
              <w:t>污染物排放控制标准</w:t>
            </w:r>
          </w:p>
        </w:tc>
        <w:tc>
          <w:tcPr>
            <w:tcW w:w="8244" w:type="dxa"/>
            <w:vAlign w:val="center"/>
          </w:tcPr>
          <w:p w14:paraId="2BD94540">
            <w:pPr>
              <w:spacing w:line="520" w:lineRule="exact"/>
              <w:ind w:firstLine="482"/>
              <w:rPr>
                <w:b/>
                <w:lang w:val="zh-CN"/>
              </w:rPr>
            </w:pPr>
            <w:r>
              <w:rPr>
                <w:b/>
              </w:rPr>
              <w:t>1、废气</w:t>
            </w:r>
          </w:p>
          <w:p w14:paraId="08FB096A">
            <w:pPr>
              <w:adjustRightInd w:val="0"/>
              <w:snapToGrid w:val="0"/>
              <w:spacing w:line="520" w:lineRule="exact"/>
              <w:ind w:firstLine="960" w:firstLineChars="400"/>
              <w:rPr>
                <w:rFonts w:eastAsia="黑体"/>
                <w:color w:val="000000" w:themeColor="text1"/>
                <w14:textFill>
                  <w14:solidFill>
                    <w14:schemeClr w14:val="tx1"/>
                  </w14:solidFill>
                </w14:textFill>
              </w:rPr>
            </w:pPr>
            <w:r>
              <w:rPr>
                <w:rFonts w:eastAsia="黑体"/>
                <w:lang w:val="zh-CN"/>
              </w:rPr>
              <w:t>表</w:t>
            </w:r>
            <w:r>
              <w:rPr>
                <w:rFonts w:eastAsia="黑体"/>
              </w:rPr>
              <w:t>3-</w:t>
            </w:r>
            <w:r>
              <w:rPr>
                <w:rFonts w:hint="eastAsia" w:eastAsia="黑体"/>
              </w:rPr>
              <w:t>4</w:t>
            </w:r>
            <w:r>
              <w:rPr>
                <w:rFonts w:eastAsia="黑体"/>
              </w:rPr>
              <w:t xml:space="preserve">     </w:t>
            </w:r>
            <w:r>
              <w:rPr>
                <w:rFonts w:eastAsia="黑体"/>
                <w:color w:val="FF0000"/>
              </w:rPr>
              <w:t xml:space="preserve">   </w:t>
            </w:r>
            <w:r>
              <w:rPr>
                <w:rFonts w:eastAsia="黑体"/>
                <w:color w:val="000000" w:themeColor="text1"/>
                <w14:textFill>
                  <w14:solidFill>
                    <w14:schemeClr w14:val="tx1"/>
                  </w14:solidFill>
                </w14:textFill>
              </w:rPr>
              <w:t xml:space="preserve">   废气</w:t>
            </w:r>
            <w:r>
              <w:rPr>
                <w:rFonts w:eastAsia="黑体"/>
                <w:color w:val="000000" w:themeColor="text1"/>
                <w:lang w:val="zh-CN"/>
                <w14:textFill>
                  <w14:solidFill>
                    <w14:schemeClr w14:val="tx1"/>
                  </w14:solidFill>
                </w14:textFill>
              </w:rPr>
              <w:t>污染物排放标准一览表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1080"/>
              <w:gridCol w:w="3720"/>
            </w:tblGrid>
            <w:tr w14:paraId="0CBA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tcBorders>
                    <w:tl2br w:val="nil"/>
                    <w:tr2bl w:val="nil"/>
                  </w:tcBorders>
                  <w:vAlign w:val="center"/>
                </w:tcPr>
                <w:p w14:paraId="47F5EA6C">
                  <w:pPr>
                    <w:spacing w:line="240" w:lineRule="auto"/>
                    <w:ind w:firstLine="0" w:firstLineChars="0"/>
                    <w:jc w:val="center"/>
                    <w:rPr>
                      <w:b/>
                      <w:bCs/>
                      <w:sz w:val="21"/>
                      <w:szCs w:val="21"/>
                    </w:rPr>
                  </w:pPr>
                  <w:r>
                    <w:rPr>
                      <w:b/>
                      <w:bCs/>
                      <w:sz w:val="21"/>
                      <w:szCs w:val="21"/>
                    </w:rPr>
                    <w:t>标准名称</w:t>
                  </w:r>
                </w:p>
              </w:tc>
              <w:tc>
                <w:tcPr>
                  <w:tcW w:w="1080" w:type="dxa"/>
                  <w:tcBorders>
                    <w:tl2br w:val="nil"/>
                    <w:tr2bl w:val="nil"/>
                  </w:tcBorders>
                  <w:vAlign w:val="center"/>
                </w:tcPr>
                <w:p w14:paraId="61D10B24">
                  <w:pPr>
                    <w:spacing w:line="240" w:lineRule="auto"/>
                    <w:ind w:firstLine="0" w:firstLineChars="0"/>
                    <w:jc w:val="center"/>
                    <w:rPr>
                      <w:b/>
                      <w:bCs/>
                      <w:sz w:val="21"/>
                      <w:szCs w:val="21"/>
                    </w:rPr>
                  </w:pPr>
                  <w:r>
                    <w:rPr>
                      <w:b/>
                      <w:bCs/>
                      <w:sz w:val="21"/>
                      <w:szCs w:val="21"/>
                    </w:rPr>
                    <w:t>污染因子</w:t>
                  </w:r>
                </w:p>
              </w:tc>
              <w:tc>
                <w:tcPr>
                  <w:tcW w:w="3720" w:type="dxa"/>
                  <w:tcBorders>
                    <w:tl2br w:val="nil"/>
                    <w:tr2bl w:val="nil"/>
                  </w:tcBorders>
                  <w:vAlign w:val="center"/>
                </w:tcPr>
                <w:p w14:paraId="5B86429C">
                  <w:pPr>
                    <w:spacing w:line="240" w:lineRule="auto"/>
                    <w:ind w:firstLine="0" w:firstLineChars="0"/>
                    <w:jc w:val="center"/>
                    <w:rPr>
                      <w:b/>
                      <w:bCs/>
                      <w:sz w:val="21"/>
                      <w:szCs w:val="21"/>
                    </w:rPr>
                  </w:pPr>
                  <w:r>
                    <w:rPr>
                      <w:b/>
                      <w:bCs/>
                      <w:sz w:val="21"/>
                      <w:szCs w:val="21"/>
                    </w:rPr>
                    <w:t>标准限值浓度</w:t>
                  </w:r>
                </w:p>
              </w:tc>
            </w:tr>
            <w:tr w14:paraId="3088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vMerge w:val="restart"/>
                  <w:tcBorders>
                    <w:tl2br w:val="nil"/>
                    <w:tr2bl w:val="nil"/>
                  </w:tcBorders>
                  <w:vAlign w:val="center"/>
                </w:tcPr>
                <w:p w14:paraId="3F248844">
                  <w:pPr>
                    <w:widowControl/>
                    <w:spacing w:line="240" w:lineRule="auto"/>
                    <w:ind w:firstLine="0" w:firstLineChars="0"/>
                    <w:jc w:val="center"/>
                    <w:rPr>
                      <w:kern w:val="0"/>
                      <w:sz w:val="21"/>
                      <w:szCs w:val="21"/>
                    </w:rPr>
                  </w:pPr>
                  <w:r>
                    <w:rPr>
                      <w:rFonts w:hint="eastAsia"/>
                      <w:kern w:val="0"/>
                      <w:sz w:val="21"/>
                      <w:szCs w:val="21"/>
                    </w:rPr>
                    <w:t>《大气污染物综合排放标准》（GB16297-1996）表2</w:t>
                  </w:r>
                </w:p>
              </w:tc>
              <w:tc>
                <w:tcPr>
                  <w:tcW w:w="1080" w:type="dxa"/>
                  <w:tcBorders>
                    <w:tl2br w:val="nil"/>
                    <w:tr2bl w:val="nil"/>
                  </w:tcBorders>
                  <w:vAlign w:val="center"/>
                </w:tcPr>
                <w:p w14:paraId="36522317">
                  <w:pPr>
                    <w:widowControl/>
                    <w:spacing w:line="240" w:lineRule="auto"/>
                    <w:ind w:firstLine="0" w:firstLineChars="0"/>
                    <w:jc w:val="center"/>
                    <w:rPr>
                      <w:kern w:val="0"/>
                      <w:sz w:val="21"/>
                      <w:szCs w:val="21"/>
                    </w:rPr>
                  </w:pPr>
                  <w:r>
                    <w:rPr>
                      <w:rFonts w:hint="eastAsia"/>
                      <w:kern w:val="0"/>
                      <w:sz w:val="21"/>
                      <w:szCs w:val="21"/>
                    </w:rPr>
                    <w:t>非甲烷</w:t>
                  </w:r>
                </w:p>
                <w:p w14:paraId="7FCEB6CC">
                  <w:pPr>
                    <w:widowControl/>
                    <w:spacing w:line="240" w:lineRule="auto"/>
                    <w:ind w:firstLine="0" w:firstLineChars="0"/>
                    <w:jc w:val="center"/>
                    <w:rPr>
                      <w:kern w:val="0"/>
                      <w:sz w:val="21"/>
                      <w:szCs w:val="21"/>
                    </w:rPr>
                  </w:pPr>
                  <w:r>
                    <w:rPr>
                      <w:rFonts w:hint="eastAsia"/>
                      <w:kern w:val="0"/>
                      <w:sz w:val="21"/>
                      <w:szCs w:val="21"/>
                    </w:rPr>
                    <w:t>总烃</w:t>
                  </w:r>
                </w:p>
              </w:tc>
              <w:tc>
                <w:tcPr>
                  <w:tcW w:w="3720" w:type="dxa"/>
                  <w:tcBorders>
                    <w:tl2br w:val="nil"/>
                    <w:tr2bl w:val="nil"/>
                  </w:tcBorders>
                  <w:vAlign w:val="center"/>
                </w:tcPr>
                <w:p w14:paraId="7032518B">
                  <w:pPr>
                    <w:widowControl/>
                    <w:spacing w:line="240" w:lineRule="auto"/>
                    <w:ind w:firstLine="0" w:firstLineChars="0"/>
                    <w:jc w:val="left"/>
                    <w:rPr>
                      <w:sz w:val="21"/>
                      <w:szCs w:val="21"/>
                    </w:rPr>
                  </w:pPr>
                  <w:r>
                    <w:rPr>
                      <w:rFonts w:hint="eastAsia"/>
                      <w:sz w:val="21"/>
                      <w:szCs w:val="21"/>
                    </w:rPr>
                    <w:t>有组织浓度</w:t>
                  </w:r>
                  <w:r>
                    <w:rPr>
                      <w:rFonts w:hint="eastAsia"/>
                      <w:sz w:val="21"/>
                      <w:szCs w:val="21"/>
                      <w:vertAlign w:val="baseline"/>
                      <w:lang w:eastAsia="zh-CN"/>
                    </w:rPr>
                    <w:t>（</w:t>
                  </w:r>
                  <w:r>
                    <w:rPr>
                      <w:rFonts w:hint="eastAsia"/>
                      <w:sz w:val="21"/>
                      <w:szCs w:val="21"/>
                      <w:vertAlign w:val="baseline"/>
                      <w:lang w:val="en-US" w:eastAsia="zh-CN"/>
                    </w:rPr>
                    <w:t>15m</w:t>
                  </w:r>
                  <w:r>
                    <w:rPr>
                      <w:rFonts w:hint="eastAsia"/>
                      <w:sz w:val="21"/>
                      <w:szCs w:val="21"/>
                      <w:vertAlign w:val="baseline"/>
                      <w:lang w:eastAsia="zh-CN"/>
                    </w:rPr>
                    <w:t>）</w:t>
                  </w:r>
                  <w:r>
                    <w:rPr>
                      <w:rFonts w:hint="eastAsia"/>
                      <w:sz w:val="21"/>
                      <w:szCs w:val="21"/>
                    </w:rPr>
                    <w:t>：</w:t>
                  </w:r>
                  <w:r>
                    <w:rPr>
                      <w:rFonts w:hint="eastAsia"/>
                      <w:sz w:val="21"/>
                      <w:szCs w:val="21"/>
                      <w:lang w:val="en-US" w:eastAsia="zh-CN"/>
                    </w:rPr>
                    <w:t>12</w:t>
                  </w:r>
                  <w:r>
                    <w:rPr>
                      <w:rFonts w:hint="eastAsia"/>
                      <w:sz w:val="21"/>
                      <w:szCs w:val="21"/>
                    </w:rPr>
                    <w:t>0</w:t>
                  </w:r>
                  <w:r>
                    <w:rPr>
                      <w:sz w:val="21"/>
                      <w:szCs w:val="21"/>
                    </w:rPr>
                    <w:t>mg/m</w:t>
                  </w:r>
                  <w:r>
                    <w:rPr>
                      <w:sz w:val="21"/>
                      <w:szCs w:val="21"/>
                      <w:vertAlign w:val="superscript"/>
                    </w:rPr>
                    <w:t>3</w:t>
                  </w:r>
                  <w:r>
                    <w:rPr>
                      <w:rFonts w:hint="eastAsia"/>
                      <w:sz w:val="21"/>
                      <w:szCs w:val="21"/>
                      <w:vertAlign w:val="baseline"/>
                      <w:lang w:eastAsia="zh-CN"/>
                    </w:rPr>
                    <w:t>，</w:t>
                  </w:r>
                  <w:r>
                    <w:rPr>
                      <w:rFonts w:hint="eastAsia"/>
                      <w:sz w:val="21"/>
                      <w:szCs w:val="21"/>
                      <w:vertAlign w:val="baseline"/>
                      <w:lang w:val="en-US" w:eastAsia="zh-CN"/>
                    </w:rPr>
                    <w:t>10kg/h</w:t>
                  </w:r>
                  <w:r>
                    <w:rPr>
                      <w:rFonts w:hint="eastAsia"/>
                      <w:sz w:val="21"/>
                      <w:szCs w:val="21"/>
                    </w:rPr>
                    <w:t>；</w:t>
                  </w:r>
                </w:p>
                <w:p w14:paraId="350C64ED">
                  <w:pPr>
                    <w:widowControl/>
                    <w:spacing w:line="240" w:lineRule="auto"/>
                    <w:ind w:firstLine="0" w:firstLineChars="0"/>
                    <w:jc w:val="left"/>
                    <w:rPr>
                      <w:sz w:val="21"/>
                      <w:szCs w:val="21"/>
                    </w:rPr>
                  </w:pPr>
                  <w:r>
                    <w:rPr>
                      <w:rFonts w:hint="eastAsia"/>
                      <w:sz w:val="21"/>
                      <w:szCs w:val="21"/>
                    </w:rPr>
                    <w:t>工业企业边界：4.0</w:t>
                  </w:r>
                  <w:r>
                    <w:rPr>
                      <w:sz w:val="21"/>
                      <w:szCs w:val="21"/>
                    </w:rPr>
                    <w:t>mg/m</w:t>
                  </w:r>
                  <w:r>
                    <w:rPr>
                      <w:sz w:val="21"/>
                      <w:szCs w:val="21"/>
                      <w:vertAlign w:val="superscript"/>
                    </w:rPr>
                    <w:t>3</w:t>
                  </w:r>
                  <w:r>
                    <w:rPr>
                      <w:rFonts w:hint="eastAsia"/>
                      <w:sz w:val="21"/>
                      <w:szCs w:val="21"/>
                    </w:rPr>
                    <w:t>。</w:t>
                  </w:r>
                </w:p>
              </w:tc>
            </w:tr>
            <w:tr w14:paraId="1590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vMerge w:val="continue"/>
                  <w:tcBorders>
                    <w:tl2br w:val="nil"/>
                    <w:tr2bl w:val="nil"/>
                  </w:tcBorders>
                  <w:vAlign w:val="center"/>
                </w:tcPr>
                <w:p w14:paraId="0E93E445">
                  <w:pPr>
                    <w:widowControl/>
                    <w:spacing w:line="240" w:lineRule="auto"/>
                    <w:ind w:firstLine="0" w:firstLineChars="0"/>
                    <w:jc w:val="center"/>
                    <w:rPr>
                      <w:kern w:val="0"/>
                      <w:sz w:val="21"/>
                      <w:szCs w:val="21"/>
                    </w:rPr>
                  </w:pPr>
                </w:p>
              </w:tc>
              <w:tc>
                <w:tcPr>
                  <w:tcW w:w="1080" w:type="dxa"/>
                  <w:tcBorders>
                    <w:tl2br w:val="nil"/>
                    <w:tr2bl w:val="nil"/>
                  </w:tcBorders>
                  <w:vAlign w:val="center"/>
                </w:tcPr>
                <w:p w14:paraId="29FD252D">
                  <w:pPr>
                    <w:widowControl/>
                    <w:spacing w:line="240" w:lineRule="auto"/>
                    <w:ind w:firstLine="0" w:firstLineChars="0"/>
                    <w:jc w:val="center"/>
                    <w:rPr>
                      <w:kern w:val="0"/>
                      <w:sz w:val="21"/>
                      <w:szCs w:val="21"/>
                    </w:rPr>
                  </w:pPr>
                  <w:r>
                    <w:rPr>
                      <w:rFonts w:hint="eastAsia"/>
                      <w:kern w:val="0"/>
                      <w:sz w:val="21"/>
                      <w:szCs w:val="21"/>
                    </w:rPr>
                    <w:t>颗粒物</w:t>
                  </w:r>
                </w:p>
              </w:tc>
              <w:tc>
                <w:tcPr>
                  <w:tcW w:w="3720" w:type="dxa"/>
                  <w:tcBorders>
                    <w:tl2br w:val="nil"/>
                    <w:tr2bl w:val="nil"/>
                  </w:tcBorders>
                  <w:vAlign w:val="center"/>
                </w:tcPr>
                <w:p w14:paraId="371534C0">
                  <w:pPr>
                    <w:widowControl/>
                    <w:spacing w:line="240" w:lineRule="auto"/>
                    <w:ind w:firstLine="0" w:firstLineChars="0"/>
                    <w:jc w:val="left"/>
                    <w:rPr>
                      <w:sz w:val="21"/>
                      <w:szCs w:val="21"/>
                    </w:rPr>
                  </w:pPr>
                  <w:r>
                    <w:rPr>
                      <w:rFonts w:hint="eastAsia"/>
                      <w:sz w:val="21"/>
                      <w:szCs w:val="21"/>
                    </w:rPr>
                    <w:t>有组织浓度</w:t>
                  </w:r>
                  <w:r>
                    <w:rPr>
                      <w:rFonts w:hint="eastAsia"/>
                      <w:sz w:val="21"/>
                      <w:szCs w:val="21"/>
                      <w:vertAlign w:val="baseline"/>
                      <w:lang w:eastAsia="zh-CN"/>
                    </w:rPr>
                    <w:t>（</w:t>
                  </w:r>
                  <w:r>
                    <w:rPr>
                      <w:rFonts w:hint="eastAsia"/>
                      <w:sz w:val="21"/>
                      <w:szCs w:val="21"/>
                      <w:vertAlign w:val="baseline"/>
                      <w:lang w:val="en-US" w:eastAsia="zh-CN"/>
                    </w:rPr>
                    <w:t>15m</w:t>
                  </w:r>
                  <w:r>
                    <w:rPr>
                      <w:rFonts w:hint="eastAsia"/>
                      <w:sz w:val="21"/>
                      <w:szCs w:val="21"/>
                      <w:vertAlign w:val="baseline"/>
                      <w:lang w:eastAsia="zh-CN"/>
                    </w:rPr>
                    <w:t>）</w:t>
                  </w:r>
                  <w:r>
                    <w:rPr>
                      <w:rFonts w:hint="eastAsia"/>
                      <w:sz w:val="21"/>
                      <w:szCs w:val="21"/>
                    </w:rPr>
                    <w:t>：</w:t>
                  </w:r>
                  <w:r>
                    <w:rPr>
                      <w:rFonts w:hint="eastAsia"/>
                      <w:sz w:val="21"/>
                      <w:szCs w:val="21"/>
                      <w:lang w:val="en-US" w:eastAsia="zh-CN"/>
                    </w:rPr>
                    <w:t>1</w:t>
                  </w:r>
                  <w:r>
                    <w:rPr>
                      <w:rFonts w:hint="eastAsia"/>
                      <w:sz w:val="21"/>
                      <w:szCs w:val="21"/>
                    </w:rPr>
                    <w:t>20</w:t>
                  </w:r>
                  <w:r>
                    <w:rPr>
                      <w:sz w:val="21"/>
                      <w:szCs w:val="21"/>
                    </w:rPr>
                    <w:t>mg/m</w:t>
                  </w:r>
                  <w:r>
                    <w:rPr>
                      <w:sz w:val="21"/>
                      <w:szCs w:val="21"/>
                      <w:vertAlign w:val="superscript"/>
                    </w:rPr>
                    <w:t>3</w:t>
                  </w:r>
                  <w:r>
                    <w:rPr>
                      <w:rFonts w:hint="eastAsia"/>
                      <w:sz w:val="21"/>
                      <w:szCs w:val="21"/>
                      <w:vertAlign w:val="baseline"/>
                      <w:lang w:eastAsia="zh-CN"/>
                    </w:rPr>
                    <w:t>，</w:t>
                  </w:r>
                  <w:r>
                    <w:rPr>
                      <w:rFonts w:hint="eastAsia"/>
                      <w:sz w:val="21"/>
                      <w:szCs w:val="21"/>
                      <w:vertAlign w:val="baseline"/>
                      <w:lang w:val="en-US" w:eastAsia="zh-CN"/>
                    </w:rPr>
                    <w:t>3.5kg/h</w:t>
                  </w:r>
                  <w:r>
                    <w:rPr>
                      <w:rFonts w:hint="eastAsia"/>
                      <w:sz w:val="21"/>
                      <w:szCs w:val="21"/>
                    </w:rPr>
                    <w:t>；</w:t>
                  </w:r>
                </w:p>
                <w:p w14:paraId="6FF07985">
                  <w:pPr>
                    <w:widowControl/>
                    <w:spacing w:line="240" w:lineRule="auto"/>
                    <w:ind w:firstLine="0" w:firstLineChars="0"/>
                    <w:jc w:val="left"/>
                    <w:rPr>
                      <w:sz w:val="21"/>
                      <w:szCs w:val="21"/>
                    </w:rPr>
                  </w:pPr>
                  <w:r>
                    <w:rPr>
                      <w:rFonts w:hint="eastAsia"/>
                      <w:sz w:val="21"/>
                      <w:szCs w:val="21"/>
                    </w:rPr>
                    <w:t>工业企业边界：1.0</w:t>
                  </w:r>
                  <w:r>
                    <w:rPr>
                      <w:sz w:val="21"/>
                      <w:szCs w:val="21"/>
                    </w:rPr>
                    <w:t>mg/m</w:t>
                  </w:r>
                  <w:r>
                    <w:rPr>
                      <w:sz w:val="21"/>
                      <w:szCs w:val="21"/>
                      <w:vertAlign w:val="superscript"/>
                    </w:rPr>
                    <w:t>3</w:t>
                  </w:r>
                  <w:r>
                    <w:rPr>
                      <w:rFonts w:hint="eastAsia"/>
                      <w:sz w:val="21"/>
                      <w:szCs w:val="21"/>
                    </w:rPr>
                    <w:t>。</w:t>
                  </w:r>
                </w:p>
              </w:tc>
            </w:tr>
            <w:tr w14:paraId="2F35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tcBorders>
                    <w:tl2br w:val="nil"/>
                    <w:tr2bl w:val="nil"/>
                  </w:tcBorders>
                  <w:vAlign w:val="center"/>
                </w:tcPr>
                <w:p w14:paraId="163D7F11">
                  <w:pPr>
                    <w:widowControl/>
                    <w:spacing w:line="240" w:lineRule="auto"/>
                    <w:ind w:firstLine="0" w:firstLineChars="0"/>
                    <w:jc w:val="center"/>
                    <w:rPr>
                      <w:kern w:val="0"/>
                      <w:sz w:val="21"/>
                      <w:szCs w:val="21"/>
                    </w:rPr>
                  </w:pPr>
                  <w:r>
                    <w:rPr>
                      <w:rFonts w:hint="eastAsia"/>
                      <w:kern w:val="0"/>
                      <w:sz w:val="21"/>
                      <w:szCs w:val="21"/>
                    </w:rPr>
                    <w:t>《挥发性有机物无组织排放控制标准》（GB 37822-2019）</w:t>
                  </w:r>
                </w:p>
              </w:tc>
              <w:tc>
                <w:tcPr>
                  <w:tcW w:w="1080" w:type="dxa"/>
                  <w:tcBorders>
                    <w:tl2br w:val="nil"/>
                    <w:tr2bl w:val="nil"/>
                  </w:tcBorders>
                  <w:vAlign w:val="center"/>
                </w:tcPr>
                <w:p w14:paraId="368342E8">
                  <w:pPr>
                    <w:widowControl/>
                    <w:spacing w:line="240" w:lineRule="auto"/>
                    <w:ind w:firstLine="0" w:firstLineChars="0"/>
                    <w:jc w:val="center"/>
                    <w:rPr>
                      <w:kern w:val="0"/>
                      <w:sz w:val="21"/>
                      <w:szCs w:val="21"/>
                    </w:rPr>
                  </w:pPr>
                  <w:r>
                    <w:rPr>
                      <w:rFonts w:hint="eastAsia"/>
                      <w:kern w:val="0"/>
                      <w:sz w:val="21"/>
                      <w:szCs w:val="21"/>
                    </w:rPr>
                    <w:t>非甲烷</w:t>
                  </w:r>
                </w:p>
                <w:p w14:paraId="69CA7831">
                  <w:pPr>
                    <w:widowControl/>
                    <w:spacing w:line="240" w:lineRule="auto"/>
                    <w:ind w:firstLine="0" w:firstLineChars="0"/>
                    <w:jc w:val="center"/>
                    <w:rPr>
                      <w:kern w:val="0"/>
                      <w:sz w:val="21"/>
                      <w:szCs w:val="21"/>
                    </w:rPr>
                  </w:pPr>
                  <w:r>
                    <w:rPr>
                      <w:rFonts w:hint="eastAsia"/>
                      <w:kern w:val="0"/>
                      <w:sz w:val="21"/>
                      <w:szCs w:val="21"/>
                    </w:rPr>
                    <w:t>总烃</w:t>
                  </w:r>
                </w:p>
              </w:tc>
              <w:tc>
                <w:tcPr>
                  <w:tcW w:w="3720" w:type="dxa"/>
                  <w:tcBorders>
                    <w:tl2br w:val="nil"/>
                    <w:tr2bl w:val="nil"/>
                  </w:tcBorders>
                  <w:vAlign w:val="center"/>
                </w:tcPr>
                <w:p w14:paraId="4326BFB5">
                  <w:pPr>
                    <w:widowControl/>
                    <w:spacing w:line="240" w:lineRule="auto"/>
                    <w:ind w:firstLine="0" w:firstLineChars="0"/>
                    <w:jc w:val="left"/>
                    <w:rPr>
                      <w:sz w:val="21"/>
                      <w:szCs w:val="21"/>
                    </w:rPr>
                  </w:pPr>
                  <w:r>
                    <w:rPr>
                      <w:rFonts w:hint="eastAsia"/>
                      <w:sz w:val="21"/>
                      <w:szCs w:val="21"/>
                    </w:rPr>
                    <w:t>监控点处1h平均浓度值：6</w:t>
                  </w:r>
                  <w:r>
                    <w:rPr>
                      <w:sz w:val="21"/>
                      <w:szCs w:val="21"/>
                    </w:rPr>
                    <w:t>mg/m</w:t>
                  </w:r>
                  <w:r>
                    <w:rPr>
                      <w:sz w:val="21"/>
                      <w:szCs w:val="21"/>
                      <w:vertAlign w:val="superscript"/>
                    </w:rPr>
                    <w:t>3</w:t>
                  </w:r>
                  <w:r>
                    <w:rPr>
                      <w:rFonts w:hint="eastAsia"/>
                      <w:sz w:val="21"/>
                      <w:szCs w:val="21"/>
                    </w:rPr>
                    <w:t>；</w:t>
                  </w:r>
                </w:p>
                <w:p w14:paraId="16B2E4BA">
                  <w:pPr>
                    <w:widowControl/>
                    <w:spacing w:line="240" w:lineRule="auto"/>
                    <w:ind w:firstLine="0" w:firstLineChars="0"/>
                    <w:jc w:val="left"/>
                    <w:rPr>
                      <w:sz w:val="21"/>
                      <w:szCs w:val="21"/>
                    </w:rPr>
                  </w:pPr>
                  <w:r>
                    <w:rPr>
                      <w:rFonts w:hint="eastAsia"/>
                      <w:sz w:val="21"/>
                      <w:szCs w:val="21"/>
                    </w:rPr>
                    <w:t>监控点处任意一次浓度值：20</w:t>
                  </w:r>
                  <w:r>
                    <w:rPr>
                      <w:sz w:val="21"/>
                      <w:szCs w:val="21"/>
                    </w:rPr>
                    <w:t>mg/m</w:t>
                  </w:r>
                  <w:r>
                    <w:rPr>
                      <w:sz w:val="21"/>
                      <w:szCs w:val="21"/>
                      <w:vertAlign w:val="superscript"/>
                    </w:rPr>
                    <w:t>3</w:t>
                  </w:r>
                </w:p>
              </w:tc>
            </w:tr>
            <w:tr w14:paraId="41C4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vMerge w:val="restart"/>
                  <w:tcBorders>
                    <w:tl2br w:val="nil"/>
                    <w:tr2bl w:val="nil"/>
                  </w:tcBorders>
                  <w:vAlign w:val="center"/>
                </w:tcPr>
                <w:p w14:paraId="3318A863">
                  <w:pPr>
                    <w:widowControl/>
                    <w:spacing w:line="240" w:lineRule="auto"/>
                    <w:ind w:firstLine="0" w:firstLineChars="0"/>
                    <w:jc w:val="center"/>
                    <w:rPr>
                      <w:kern w:val="0"/>
                      <w:sz w:val="21"/>
                      <w:szCs w:val="21"/>
                    </w:rPr>
                  </w:pPr>
                  <w:r>
                    <w:rPr>
                      <w:rFonts w:hint="eastAsia"/>
                      <w:kern w:val="0"/>
                      <w:sz w:val="21"/>
                      <w:szCs w:val="21"/>
                    </w:rPr>
                    <w:t>《河南省重污染天气重点行业应急减排措施制定技术指南》（2024年修订版）织印染与服饰制造A级企业</w:t>
                  </w:r>
                </w:p>
              </w:tc>
              <w:tc>
                <w:tcPr>
                  <w:tcW w:w="1080" w:type="dxa"/>
                  <w:tcBorders>
                    <w:tl2br w:val="nil"/>
                    <w:tr2bl w:val="nil"/>
                  </w:tcBorders>
                  <w:vAlign w:val="center"/>
                </w:tcPr>
                <w:p w14:paraId="1877ECE2">
                  <w:pPr>
                    <w:widowControl/>
                    <w:spacing w:line="240" w:lineRule="auto"/>
                    <w:ind w:firstLine="0" w:firstLineChars="0"/>
                    <w:jc w:val="center"/>
                    <w:rPr>
                      <w:kern w:val="0"/>
                      <w:sz w:val="21"/>
                      <w:szCs w:val="21"/>
                    </w:rPr>
                  </w:pPr>
                  <w:r>
                    <w:rPr>
                      <w:rFonts w:hint="eastAsia"/>
                      <w:kern w:val="0"/>
                      <w:sz w:val="21"/>
                      <w:szCs w:val="21"/>
                    </w:rPr>
                    <w:t>非甲烷</w:t>
                  </w:r>
                </w:p>
                <w:p w14:paraId="1E4452D8">
                  <w:pPr>
                    <w:widowControl/>
                    <w:spacing w:line="240" w:lineRule="auto"/>
                    <w:ind w:firstLine="0" w:firstLineChars="0"/>
                    <w:jc w:val="center"/>
                    <w:rPr>
                      <w:kern w:val="0"/>
                      <w:sz w:val="21"/>
                      <w:szCs w:val="21"/>
                    </w:rPr>
                  </w:pPr>
                  <w:r>
                    <w:rPr>
                      <w:rFonts w:hint="eastAsia"/>
                      <w:kern w:val="0"/>
                      <w:sz w:val="21"/>
                      <w:szCs w:val="21"/>
                    </w:rPr>
                    <w:t>总烃</w:t>
                  </w:r>
                </w:p>
              </w:tc>
              <w:tc>
                <w:tcPr>
                  <w:tcW w:w="3720" w:type="dxa"/>
                  <w:tcBorders>
                    <w:tl2br w:val="nil"/>
                    <w:tr2bl w:val="nil"/>
                  </w:tcBorders>
                  <w:vAlign w:val="center"/>
                </w:tcPr>
                <w:p w14:paraId="6F17460D">
                  <w:pPr>
                    <w:widowControl/>
                    <w:spacing w:line="240" w:lineRule="auto"/>
                    <w:ind w:firstLine="0" w:firstLineChars="0"/>
                    <w:jc w:val="both"/>
                    <w:rPr>
                      <w:sz w:val="21"/>
                      <w:szCs w:val="21"/>
                    </w:rPr>
                  </w:pPr>
                  <w:r>
                    <w:rPr>
                      <w:rFonts w:hint="eastAsia"/>
                      <w:sz w:val="21"/>
                      <w:szCs w:val="21"/>
                    </w:rPr>
                    <w:t>有组织浓度：</w:t>
                  </w:r>
                  <w:r>
                    <w:rPr>
                      <w:rFonts w:hint="eastAsia"/>
                      <w:sz w:val="21"/>
                      <w:szCs w:val="21"/>
                      <w:lang w:val="en-US" w:eastAsia="zh-CN"/>
                    </w:rPr>
                    <w:t>4</w:t>
                  </w:r>
                  <w:r>
                    <w:rPr>
                      <w:rFonts w:hint="eastAsia"/>
                      <w:sz w:val="21"/>
                      <w:szCs w:val="21"/>
                    </w:rPr>
                    <w:t>0</w:t>
                  </w:r>
                  <w:r>
                    <w:rPr>
                      <w:sz w:val="21"/>
                      <w:szCs w:val="21"/>
                    </w:rPr>
                    <w:t>mg/m</w:t>
                  </w:r>
                  <w:r>
                    <w:rPr>
                      <w:sz w:val="21"/>
                      <w:szCs w:val="21"/>
                      <w:vertAlign w:val="superscript"/>
                    </w:rPr>
                    <w:t>3</w:t>
                  </w:r>
                  <w:r>
                    <w:rPr>
                      <w:rFonts w:hint="eastAsia"/>
                      <w:sz w:val="21"/>
                      <w:szCs w:val="21"/>
                    </w:rPr>
                    <w:t>；</w:t>
                  </w:r>
                </w:p>
                <w:p w14:paraId="3FBEA421">
                  <w:pPr>
                    <w:widowControl/>
                    <w:spacing w:line="240" w:lineRule="auto"/>
                    <w:ind w:firstLine="0" w:firstLineChars="0"/>
                    <w:jc w:val="both"/>
                    <w:rPr>
                      <w:sz w:val="21"/>
                      <w:szCs w:val="21"/>
                    </w:rPr>
                  </w:pPr>
                  <w:r>
                    <w:rPr>
                      <w:rFonts w:hint="eastAsia"/>
                      <w:sz w:val="21"/>
                      <w:szCs w:val="21"/>
                    </w:rPr>
                    <w:t>企业边界1h NMHC平均浓度低于2mg/m</w:t>
                  </w:r>
                  <w:r>
                    <w:rPr>
                      <w:rFonts w:hint="eastAsia"/>
                      <w:sz w:val="21"/>
                      <w:szCs w:val="21"/>
                      <w:vertAlign w:val="superscript"/>
                    </w:rPr>
                    <w:t>3</w:t>
                  </w:r>
                </w:p>
              </w:tc>
            </w:tr>
            <w:tr w14:paraId="58FA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vMerge w:val="continue"/>
                  <w:tcBorders>
                    <w:tl2br w:val="nil"/>
                    <w:tr2bl w:val="nil"/>
                  </w:tcBorders>
                  <w:vAlign w:val="center"/>
                </w:tcPr>
                <w:p w14:paraId="7444D3EB">
                  <w:pPr>
                    <w:widowControl/>
                    <w:spacing w:line="240" w:lineRule="auto"/>
                    <w:ind w:firstLine="0" w:firstLineChars="0"/>
                    <w:jc w:val="center"/>
                    <w:rPr>
                      <w:kern w:val="0"/>
                      <w:sz w:val="21"/>
                      <w:szCs w:val="21"/>
                    </w:rPr>
                  </w:pPr>
                </w:p>
              </w:tc>
              <w:tc>
                <w:tcPr>
                  <w:tcW w:w="1080" w:type="dxa"/>
                  <w:tcBorders>
                    <w:tl2br w:val="nil"/>
                    <w:tr2bl w:val="nil"/>
                  </w:tcBorders>
                  <w:vAlign w:val="center"/>
                </w:tcPr>
                <w:p w14:paraId="430ED4FB">
                  <w:pPr>
                    <w:widowControl/>
                    <w:spacing w:line="240" w:lineRule="auto"/>
                    <w:ind w:firstLine="0" w:firstLineChars="0"/>
                    <w:jc w:val="center"/>
                    <w:rPr>
                      <w:kern w:val="0"/>
                      <w:sz w:val="21"/>
                      <w:szCs w:val="21"/>
                    </w:rPr>
                  </w:pPr>
                  <w:r>
                    <w:rPr>
                      <w:rFonts w:hint="eastAsia"/>
                      <w:kern w:val="0"/>
                      <w:sz w:val="21"/>
                      <w:szCs w:val="21"/>
                    </w:rPr>
                    <w:t>颗粒物</w:t>
                  </w:r>
                </w:p>
              </w:tc>
              <w:tc>
                <w:tcPr>
                  <w:tcW w:w="3720" w:type="dxa"/>
                  <w:tcBorders>
                    <w:tl2br w:val="nil"/>
                    <w:tr2bl w:val="nil"/>
                  </w:tcBorders>
                  <w:vAlign w:val="center"/>
                </w:tcPr>
                <w:p w14:paraId="659B1368">
                  <w:pPr>
                    <w:widowControl/>
                    <w:spacing w:line="240" w:lineRule="auto"/>
                    <w:ind w:firstLine="0" w:firstLineChars="0"/>
                    <w:jc w:val="left"/>
                    <w:rPr>
                      <w:sz w:val="21"/>
                      <w:szCs w:val="21"/>
                    </w:rPr>
                  </w:pPr>
                  <w:r>
                    <w:rPr>
                      <w:rFonts w:hint="eastAsia"/>
                      <w:sz w:val="21"/>
                      <w:szCs w:val="21"/>
                    </w:rPr>
                    <w:t>有组织排放浓度：10</w:t>
                  </w:r>
                  <w:r>
                    <w:rPr>
                      <w:sz w:val="21"/>
                      <w:szCs w:val="21"/>
                    </w:rPr>
                    <w:t>mg/m</w:t>
                  </w:r>
                  <w:r>
                    <w:rPr>
                      <w:sz w:val="21"/>
                      <w:szCs w:val="21"/>
                      <w:vertAlign w:val="superscript"/>
                    </w:rPr>
                    <w:t>3</w:t>
                  </w:r>
                </w:p>
              </w:tc>
            </w:tr>
            <w:tr w14:paraId="771B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18" w:type="dxa"/>
                  <w:tcBorders>
                    <w:tl2br w:val="nil"/>
                    <w:tr2bl w:val="nil"/>
                  </w:tcBorders>
                  <w:vAlign w:val="center"/>
                </w:tcPr>
                <w:p w14:paraId="071B7218">
                  <w:pPr>
                    <w:spacing w:line="240" w:lineRule="auto"/>
                    <w:ind w:firstLine="0" w:firstLineChars="0"/>
                    <w:jc w:val="center"/>
                    <w:rPr>
                      <w:sz w:val="21"/>
                      <w:szCs w:val="21"/>
                      <w:highlight w:val="yellow"/>
                    </w:rPr>
                  </w:pPr>
                  <w:r>
                    <w:rPr>
                      <w:rFonts w:hint="eastAsia"/>
                      <w:bCs/>
                      <w:kern w:val="1"/>
                      <w:sz w:val="21"/>
                      <w:szCs w:val="21"/>
                    </w:rPr>
                    <w:t>《新乡市生态环境局关于进一步规范工业企业颗粒物排放限值的通知》</w:t>
                  </w:r>
                </w:p>
              </w:tc>
              <w:tc>
                <w:tcPr>
                  <w:tcW w:w="1080" w:type="dxa"/>
                  <w:tcBorders>
                    <w:tl2br w:val="nil"/>
                    <w:tr2bl w:val="nil"/>
                  </w:tcBorders>
                  <w:vAlign w:val="center"/>
                </w:tcPr>
                <w:p w14:paraId="162D820E">
                  <w:pPr>
                    <w:spacing w:line="240" w:lineRule="auto"/>
                    <w:ind w:firstLine="0" w:firstLineChars="0"/>
                    <w:jc w:val="center"/>
                    <w:rPr>
                      <w:sz w:val="21"/>
                      <w:szCs w:val="21"/>
                      <w:highlight w:val="yellow"/>
                    </w:rPr>
                  </w:pPr>
                  <w:r>
                    <w:rPr>
                      <w:rFonts w:hint="eastAsia"/>
                      <w:sz w:val="21"/>
                      <w:szCs w:val="21"/>
                    </w:rPr>
                    <w:t>颗粒物</w:t>
                  </w:r>
                </w:p>
              </w:tc>
              <w:tc>
                <w:tcPr>
                  <w:tcW w:w="3720" w:type="dxa"/>
                  <w:tcBorders>
                    <w:tl2br w:val="nil"/>
                    <w:tr2bl w:val="nil"/>
                  </w:tcBorders>
                  <w:vAlign w:val="center"/>
                </w:tcPr>
                <w:p w14:paraId="141932B7">
                  <w:pPr>
                    <w:spacing w:line="240" w:lineRule="auto"/>
                    <w:ind w:firstLine="0" w:firstLineChars="0"/>
                    <w:jc w:val="both"/>
                    <w:rPr>
                      <w:sz w:val="21"/>
                      <w:szCs w:val="21"/>
                      <w:highlight w:val="yellow"/>
                    </w:rPr>
                  </w:pPr>
                  <w:r>
                    <w:rPr>
                      <w:rFonts w:hint="eastAsia"/>
                      <w:sz w:val="21"/>
                      <w:szCs w:val="21"/>
                    </w:rPr>
                    <w:t>其他所有涉气工业企业排放口颗粒物排放浓度不高于1</w:t>
                  </w:r>
                  <w:r>
                    <w:rPr>
                      <w:sz w:val="21"/>
                      <w:szCs w:val="21"/>
                    </w:rPr>
                    <w:t>0mg/m</w:t>
                  </w:r>
                  <w:r>
                    <w:rPr>
                      <w:sz w:val="21"/>
                      <w:szCs w:val="21"/>
                      <w:vertAlign w:val="superscript"/>
                    </w:rPr>
                    <w:t>3</w:t>
                  </w:r>
                  <w:r>
                    <w:rPr>
                      <w:rFonts w:hint="eastAsia"/>
                      <w:sz w:val="21"/>
                      <w:szCs w:val="21"/>
                    </w:rPr>
                    <w:t>，厂界颗粒物排放浓度不高于0</w:t>
                  </w:r>
                  <w:r>
                    <w:rPr>
                      <w:sz w:val="21"/>
                      <w:szCs w:val="21"/>
                    </w:rPr>
                    <w:t>.5mg/m</w:t>
                  </w:r>
                  <w:r>
                    <w:rPr>
                      <w:sz w:val="21"/>
                      <w:szCs w:val="21"/>
                      <w:vertAlign w:val="superscript"/>
                    </w:rPr>
                    <w:t>3</w:t>
                  </w:r>
                </w:p>
              </w:tc>
            </w:tr>
          </w:tbl>
          <w:p w14:paraId="225E2055">
            <w:pPr>
              <w:spacing w:line="520" w:lineRule="exact"/>
              <w:ind w:firstLine="482"/>
              <w:rPr>
                <w:b/>
                <w:lang w:val="zh-CN"/>
              </w:rPr>
            </w:pPr>
            <w:r>
              <w:rPr>
                <w:rFonts w:hint="eastAsia"/>
                <w:b/>
              </w:rPr>
              <w:t>2</w:t>
            </w:r>
            <w:r>
              <w:rPr>
                <w:b/>
              </w:rPr>
              <w:t>、废</w:t>
            </w:r>
            <w:r>
              <w:rPr>
                <w:rFonts w:hint="eastAsia"/>
                <w:b/>
              </w:rPr>
              <w:t>水</w:t>
            </w:r>
          </w:p>
          <w:p w14:paraId="5F566AC0">
            <w:pPr>
              <w:spacing w:line="520" w:lineRule="exact"/>
              <w:ind w:firstLine="960" w:firstLineChars="400"/>
              <w:rPr>
                <w:rFonts w:eastAsia="黑体"/>
              </w:rPr>
            </w:pPr>
            <w:r>
              <w:rPr>
                <w:rFonts w:eastAsia="黑体"/>
              </w:rPr>
              <w:t>表3-</w:t>
            </w:r>
            <w:r>
              <w:rPr>
                <w:rFonts w:hint="eastAsia" w:eastAsia="黑体"/>
              </w:rPr>
              <w:t>5</w:t>
            </w:r>
            <w:r>
              <w:rPr>
                <w:rFonts w:eastAsia="黑体"/>
              </w:rPr>
              <w:t xml:space="preserve">                废水污染物排放标准</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180"/>
              <w:gridCol w:w="1103"/>
              <w:gridCol w:w="2091"/>
              <w:gridCol w:w="1864"/>
            </w:tblGrid>
            <w:tr w14:paraId="042A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noWrap w:val="0"/>
                  <w:vAlign w:val="center"/>
                </w:tcPr>
                <w:p w14:paraId="578AA08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sz w:val="21"/>
                      <w:szCs w:val="21"/>
                    </w:rPr>
                  </w:pPr>
                  <w:r>
                    <w:rPr>
                      <w:b/>
                      <w:bCs/>
                      <w:sz w:val="21"/>
                      <w:szCs w:val="21"/>
                    </w:rPr>
                    <w:t>污染物</w:t>
                  </w:r>
                </w:p>
              </w:tc>
              <w:tc>
                <w:tcPr>
                  <w:tcW w:w="1360" w:type="pct"/>
                  <w:noWrap w:val="0"/>
                  <w:vAlign w:val="center"/>
                </w:tcPr>
                <w:p w14:paraId="16D831E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sz w:val="21"/>
                      <w:szCs w:val="21"/>
                    </w:rPr>
                  </w:pPr>
                  <w:r>
                    <w:rPr>
                      <w:b/>
                      <w:bCs/>
                      <w:sz w:val="21"/>
                      <w:szCs w:val="21"/>
                    </w:rPr>
                    <w:t>标准名称及级（类）别</w:t>
                  </w:r>
                </w:p>
              </w:tc>
              <w:tc>
                <w:tcPr>
                  <w:tcW w:w="1992" w:type="pct"/>
                  <w:gridSpan w:val="2"/>
                  <w:noWrap w:val="0"/>
                  <w:vAlign w:val="center"/>
                </w:tcPr>
                <w:p w14:paraId="47CE553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sz w:val="21"/>
                      <w:szCs w:val="21"/>
                    </w:rPr>
                  </w:pPr>
                  <w:r>
                    <w:rPr>
                      <w:b/>
                      <w:bCs/>
                      <w:sz w:val="21"/>
                      <w:szCs w:val="21"/>
                    </w:rPr>
                    <w:t>污染因子</w:t>
                  </w:r>
                </w:p>
              </w:tc>
              <w:tc>
                <w:tcPr>
                  <w:tcW w:w="1162" w:type="pct"/>
                  <w:noWrap w:val="0"/>
                  <w:vAlign w:val="center"/>
                </w:tcPr>
                <w:p w14:paraId="61D994D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b/>
                      <w:bCs/>
                      <w:sz w:val="21"/>
                      <w:szCs w:val="21"/>
                    </w:rPr>
                  </w:pPr>
                  <w:r>
                    <w:rPr>
                      <w:b/>
                      <w:bCs/>
                      <w:sz w:val="21"/>
                      <w:szCs w:val="21"/>
                    </w:rPr>
                    <w:t>标准限值</w:t>
                  </w:r>
                </w:p>
              </w:tc>
            </w:tr>
            <w:tr w14:paraId="1D7C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restart"/>
                  <w:noWrap w:val="0"/>
                  <w:vAlign w:val="center"/>
                </w:tcPr>
                <w:p w14:paraId="5396E8A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sz w:val="21"/>
                      <w:szCs w:val="21"/>
                    </w:rPr>
                  </w:pPr>
                  <w:r>
                    <w:rPr>
                      <w:sz w:val="21"/>
                      <w:szCs w:val="21"/>
                    </w:rPr>
                    <w:t>废</w:t>
                  </w:r>
                  <w:r>
                    <w:rPr>
                      <w:rFonts w:hint="eastAsia"/>
                      <w:sz w:val="21"/>
                      <w:szCs w:val="21"/>
                    </w:rPr>
                    <w:t>水</w:t>
                  </w:r>
                </w:p>
              </w:tc>
              <w:tc>
                <w:tcPr>
                  <w:tcW w:w="1360" w:type="pct"/>
                  <w:vMerge w:val="restart"/>
                  <w:noWrap w:val="0"/>
                  <w:vAlign w:val="center"/>
                </w:tcPr>
                <w:p w14:paraId="109F5F7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r>
                    <w:rPr>
                      <w:sz w:val="21"/>
                      <w:szCs w:val="21"/>
                    </w:rPr>
                    <w:t>《</w:t>
                  </w:r>
                  <w:r>
                    <w:rPr>
                      <w:rFonts w:hint="eastAsia"/>
                      <w:sz w:val="21"/>
                      <w:szCs w:val="21"/>
                    </w:rPr>
                    <w:t>污水综合</w:t>
                  </w:r>
                  <w:r>
                    <w:rPr>
                      <w:sz w:val="21"/>
                      <w:szCs w:val="21"/>
                    </w:rPr>
                    <w:t>排放标准》(GB8978-1996)三级标准</w:t>
                  </w:r>
                </w:p>
              </w:tc>
              <w:tc>
                <w:tcPr>
                  <w:tcW w:w="688" w:type="pct"/>
                  <w:vMerge w:val="restart"/>
                  <w:noWrap w:val="0"/>
                  <w:vAlign w:val="center"/>
                </w:tcPr>
                <w:p w14:paraId="3A46B81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r>
                    <w:rPr>
                      <w:sz w:val="21"/>
                      <w:szCs w:val="21"/>
                    </w:rPr>
                    <w:t>三级标准</w:t>
                  </w:r>
                </w:p>
              </w:tc>
              <w:tc>
                <w:tcPr>
                  <w:tcW w:w="1304" w:type="pct"/>
                  <w:noWrap w:val="0"/>
                  <w:vAlign w:val="center"/>
                </w:tcPr>
                <w:p w14:paraId="507CAA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宋体" w:cs="Times New Roman"/>
                      <w:bCs/>
                      <w:kern w:val="0"/>
                      <w:sz w:val="21"/>
                      <w:szCs w:val="21"/>
                    </w:rPr>
                  </w:pPr>
                  <w:r>
                    <w:rPr>
                      <w:bCs/>
                      <w:sz w:val="21"/>
                      <w:szCs w:val="21"/>
                    </w:rPr>
                    <w:t>COD</w:t>
                  </w:r>
                </w:p>
              </w:tc>
              <w:tc>
                <w:tcPr>
                  <w:tcW w:w="1162" w:type="pct"/>
                  <w:noWrap w:val="0"/>
                  <w:vAlign w:val="center"/>
                </w:tcPr>
                <w:p w14:paraId="635D702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color w:val="000000"/>
                      <w:sz w:val="21"/>
                      <w:szCs w:val="21"/>
                    </w:rPr>
                  </w:pPr>
                  <w:r>
                    <w:rPr>
                      <w:rFonts w:hint="eastAsia"/>
                      <w:color w:val="000000"/>
                      <w:sz w:val="21"/>
                      <w:szCs w:val="21"/>
                    </w:rPr>
                    <w:t>500mg/L</w:t>
                  </w:r>
                </w:p>
              </w:tc>
            </w:tr>
            <w:tr w14:paraId="3A16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2BD4F9F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continue"/>
                  <w:noWrap w:val="0"/>
                  <w:vAlign w:val="center"/>
                </w:tcPr>
                <w:p w14:paraId="63BD336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688" w:type="pct"/>
                  <w:vMerge w:val="continue"/>
                  <w:noWrap w:val="0"/>
                  <w:vAlign w:val="center"/>
                </w:tcPr>
                <w:p w14:paraId="55D82C0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04" w:type="pct"/>
                  <w:noWrap w:val="0"/>
                  <w:vAlign w:val="center"/>
                </w:tcPr>
                <w:p w14:paraId="78F417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宋体" w:cs="Times New Roman"/>
                      <w:bCs/>
                      <w:kern w:val="0"/>
                      <w:sz w:val="21"/>
                      <w:szCs w:val="21"/>
                    </w:rPr>
                  </w:pPr>
                  <w:r>
                    <w:rPr>
                      <w:rFonts w:hint="eastAsia"/>
                      <w:bCs/>
                      <w:sz w:val="21"/>
                      <w:szCs w:val="21"/>
                    </w:rPr>
                    <w:t>SS</w:t>
                  </w:r>
                </w:p>
              </w:tc>
              <w:tc>
                <w:tcPr>
                  <w:tcW w:w="1162" w:type="pct"/>
                  <w:noWrap w:val="0"/>
                  <w:vAlign w:val="center"/>
                </w:tcPr>
                <w:p w14:paraId="7443DD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color w:val="000000"/>
                      <w:sz w:val="21"/>
                      <w:szCs w:val="21"/>
                    </w:rPr>
                  </w:pPr>
                  <w:r>
                    <w:rPr>
                      <w:rFonts w:hint="eastAsia"/>
                      <w:color w:val="000000"/>
                      <w:sz w:val="21"/>
                      <w:szCs w:val="21"/>
                    </w:rPr>
                    <w:t>400mg/L</w:t>
                  </w:r>
                </w:p>
              </w:tc>
            </w:tr>
            <w:tr w14:paraId="2DCE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12B1D1A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restart"/>
                  <w:noWrap w:val="0"/>
                  <w:vAlign w:val="center"/>
                </w:tcPr>
                <w:p w14:paraId="3A15A33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r>
                    <w:rPr>
                      <w:rFonts w:hint="eastAsia"/>
                      <w:sz w:val="21"/>
                      <w:szCs w:val="21"/>
                    </w:rPr>
                    <w:t>河南新投水务有限公司（小尚庄污水处理厂）收水标准</w:t>
                  </w:r>
                </w:p>
              </w:tc>
              <w:tc>
                <w:tcPr>
                  <w:tcW w:w="688" w:type="pct"/>
                  <w:vMerge w:val="restart"/>
                  <w:noWrap w:val="0"/>
                  <w:vAlign w:val="center"/>
                </w:tcPr>
                <w:p w14:paraId="29607C0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r>
                    <w:rPr>
                      <w:rFonts w:hint="eastAsia"/>
                      <w:sz w:val="21"/>
                      <w:szCs w:val="21"/>
                    </w:rPr>
                    <w:t>收水标准</w:t>
                  </w:r>
                </w:p>
              </w:tc>
              <w:tc>
                <w:tcPr>
                  <w:tcW w:w="1304" w:type="pct"/>
                  <w:noWrap w:val="0"/>
                  <w:vAlign w:val="center"/>
                </w:tcPr>
                <w:p w14:paraId="2E43EE21">
                  <w:pPr>
                    <w:spacing w:line="240" w:lineRule="auto"/>
                    <w:ind w:firstLine="0" w:firstLineChars="0"/>
                    <w:jc w:val="center"/>
                    <w:rPr>
                      <w:sz w:val="21"/>
                      <w:szCs w:val="21"/>
                    </w:rPr>
                  </w:pPr>
                  <w:r>
                    <w:rPr>
                      <w:color w:val="000000"/>
                      <w:sz w:val="21"/>
                      <w:szCs w:val="21"/>
                    </w:rPr>
                    <w:t>COD</w:t>
                  </w:r>
                </w:p>
              </w:tc>
              <w:tc>
                <w:tcPr>
                  <w:tcW w:w="1162" w:type="pct"/>
                  <w:noWrap w:val="0"/>
                  <w:vAlign w:val="center"/>
                </w:tcPr>
                <w:p w14:paraId="617FA8E5">
                  <w:pPr>
                    <w:snapToGrid w:val="0"/>
                    <w:spacing w:line="240" w:lineRule="auto"/>
                    <w:ind w:firstLine="0" w:firstLineChars="0"/>
                    <w:jc w:val="center"/>
                    <w:rPr>
                      <w:sz w:val="21"/>
                      <w:szCs w:val="21"/>
                    </w:rPr>
                  </w:pPr>
                  <w:r>
                    <w:rPr>
                      <w:rFonts w:hint="eastAsia"/>
                      <w:color w:val="000000"/>
                      <w:sz w:val="21"/>
                      <w:szCs w:val="21"/>
                    </w:rPr>
                    <w:t>350</w:t>
                  </w:r>
                  <w:r>
                    <w:rPr>
                      <w:color w:val="000000"/>
                      <w:sz w:val="21"/>
                      <w:szCs w:val="21"/>
                    </w:rPr>
                    <w:t>mg/L</w:t>
                  </w:r>
                </w:p>
              </w:tc>
            </w:tr>
            <w:tr w14:paraId="3801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2BA18AD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continue"/>
                  <w:noWrap w:val="0"/>
                  <w:vAlign w:val="center"/>
                </w:tcPr>
                <w:p w14:paraId="377AD17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688" w:type="pct"/>
                  <w:vMerge w:val="continue"/>
                  <w:noWrap w:val="0"/>
                  <w:vAlign w:val="center"/>
                </w:tcPr>
                <w:p w14:paraId="49150CB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04" w:type="pct"/>
                  <w:noWrap w:val="0"/>
                  <w:vAlign w:val="center"/>
                </w:tcPr>
                <w:p w14:paraId="67667838">
                  <w:pPr>
                    <w:spacing w:line="240" w:lineRule="auto"/>
                    <w:ind w:firstLine="0" w:firstLineChars="0"/>
                    <w:jc w:val="center"/>
                    <w:rPr>
                      <w:sz w:val="21"/>
                      <w:szCs w:val="21"/>
                    </w:rPr>
                  </w:pPr>
                  <w:r>
                    <w:rPr>
                      <w:color w:val="000000"/>
                      <w:sz w:val="21"/>
                      <w:szCs w:val="21"/>
                    </w:rPr>
                    <w:t>SS</w:t>
                  </w:r>
                </w:p>
              </w:tc>
              <w:tc>
                <w:tcPr>
                  <w:tcW w:w="1162" w:type="pct"/>
                  <w:noWrap w:val="0"/>
                  <w:vAlign w:val="center"/>
                </w:tcPr>
                <w:p w14:paraId="7124D3B6">
                  <w:pPr>
                    <w:snapToGrid w:val="0"/>
                    <w:spacing w:line="240" w:lineRule="auto"/>
                    <w:ind w:firstLine="0" w:firstLineChars="0"/>
                    <w:jc w:val="center"/>
                    <w:rPr>
                      <w:sz w:val="21"/>
                      <w:szCs w:val="21"/>
                    </w:rPr>
                  </w:pPr>
                  <w:r>
                    <w:rPr>
                      <w:rFonts w:hint="eastAsia"/>
                      <w:color w:val="000000"/>
                      <w:sz w:val="21"/>
                      <w:szCs w:val="21"/>
                    </w:rPr>
                    <w:t>250</w:t>
                  </w:r>
                  <w:r>
                    <w:rPr>
                      <w:color w:val="000000"/>
                      <w:sz w:val="21"/>
                      <w:szCs w:val="21"/>
                    </w:rPr>
                    <w:t>mg/L</w:t>
                  </w:r>
                </w:p>
              </w:tc>
            </w:tr>
            <w:tr w14:paraId="0F14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0DBF8A1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continue"/>
                  <w:noWrap w:val="0"/>
                  <w:vAlign w:val="center"/>
                </w:tcPr>
                <w:p w14:paraId="53AAF49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688" w:type="pct"/>
                  <w:vMerge w:val="continue"/>
                  <w:noWrap w:val="0"/>
                  <w:vAlign w:val="center"/>
                </w:tcPr>
                <w:p w14:paraId="70E23CF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04" w:type="pct"/>
                  <w:noWrap w:val="0"/>
                  <w:vAlign w:val="center"/>
                </w:tcPr>
                <w:p w14:paraId="63BE022D">
                  <w:pPr>
                    <w:spacing w:line="240" w:lineRule="auto"/>
                    <w:ind w:firstLine="0" w:firstLineChars="0"/>
                    <w:jc w:val="center"/>
                    <w:rPr>
                      <w:rFonts w:hint="eastAsia"/>
                      <w:kern w:val="2"/>
                      <w:sz w:val="21"/>
                      <w:szCs w:val="21"/>
                      <w:lang w:val="en-US" w:eastAsia="zh-CN" w:bidi="ar-SA"/>
                    </w:rPr>
                  </w:pPr>
                  <w:r>
                    <w:rPr>
                      <w:color w:val="000000"/>
                      <w:sz w:val="21"/>
                      <w:szCs w:val="21"/>
                    </w:rPr>
                    <w:t>NH</w:t>
                  </w:r>
                  <w:r>
                    <w:rPr>
                      <w:color w:val="000000"/>
                      <w:sz w:val="21"/>
                      <w:szCs w:val="21"/>
                      <w:vertAlign w:val="subscript"/>
                    </w:rPr>
                    <w:t>3</w:t>
                  </w:r>
                  <w:r>
                    <w:rPr>
                      <w:color w:val="000000"/>
                      <w:sz w:val="21"/>
                      <w:szCs w:val="21"/>
                    </w:rPr>
                    <w:t>-N</w:t>
                  </w:r>
                </w:p>
              </w:tc>
              <w:tc>
                <w:tcPr>
                  <w:tcW w:w="1162" w:type="pct"/>
                  <w:noWrap w:val="0"/>
                  <w:vAlign w:val="center"/>
                </w:tcPr>
                <w:p w14:paraId="534BDB83">
                  <w:pPr>
                    <w:snapToGrid w:val="0"/>
                    <w:spacing w:line="240" w:lineRule="auto"/>
                    <w:ind w:firstLine="0" w:firstLineChars="0"/>
                    <w:jc w:val="center"/>
                    <w:rPr>
                      <w:rFonts w:hint="eastAsia"/>
                      <w:kern w:val="2"/>
                      <w:sz w:val="21"/>
                      <w:szCs w:val="21"/>
                      <w:lang w:val="en-US" w:eastAsia="zh-CN" w:bidi="ar-SA"/>
                    </w:rPr>
                  </w:pPr>
                  <w:r>
                    <w:rPr>
                      <w:rFonts w:hint="eastAsia"/>
                      <w:color w:val="000000"/>
                      <w:sz w:val="21"/>
                      <w:szCs w:val="21"/>
                    </w:rPr>
                    <w:t>30</w:t>
                  </w:r>
                  <w:r>
                    <w:rPr>
                      <w:color w:val="000000"/>
                      <w:sz w:val="21"/>
                      <w:szCs w:val="21"/>
                    </w:rPr>
                    <w:t>mg/L</w:t>
                  </w:r>
                </w:p>
              </w:tc>
            </w:tr>
            <w:tr w14:paraId="0AB1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5E2CF40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continue"/>
                  <w:noWrap w:val="0"/>
                  <w:vAlign w:val="center"/>
                </w:tcPr>
                <w:p w14:paraId="3ED7C44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688" w:type="pct"/>
                  <w:vMerge w:val="continue"/>
                  <w:noWrap w:val="0"/>
                  <w:vAlign w:val="center"/>
                </w:tcPr>
                <w:p w14:paraId="1BDE9C6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04" w:type="pct"/>
                  <w:noWrap w:val="0"/>
                  <w:vAlign w:val="center"/>
                </w:tcPr>
                <w:p w14:paraId="40A3E3AB">
                  <w:pPr>
                    <w:spacing w:line="240" w:lineRule="auto"/>
                    <w:ind w:firstLine="0" w:firstLineChars="0"/>
                    <w:jc w:val="center"/>
                    <w:rPr>
                      <w:rFonts w:hint="eastAsia" w:ascii="Times New Roman" w:hAnsi="宋体" w:cs="Times New Roman"/>
                      <w:bCs/>
                      <w:kern w:val="0"/>
                      <w:sz w:val="21"/>
                      <w:szCs w:val="21"/>
                      <w:lang w:val="en-US" w:eastAsia="zh-CN" w:bidi="ar-SA"/>
                    </w:rPr>
                  </w:pPr>
                  <w:r>
                    <w:rPr>
                      <w:color w:val="000000"/>
                      <w:sz w:val="21"/>
                      <w:szCs w:val="21"/>
                    </w:rPr>
                    <w:t>TP</w:t>
                  </w:r>
                </w:p>
              </w:tc>
              <w:tc>
                <w:tcPr>
                  <w:tcW w:w="1162" w:type="pct"/>
                  <w:noWrap w:val="0"/>
                  <w:vAlign w:val="center"/>
                </w:tcPr>
                <w:p w14:paraId="0AFCF2F1">
                  <w:pPr>
                    <w:snapToGrid w:val="0"/>
                    <w:spacing w:line="240" w:lineRule="auto"/>
                    <w:ind w:firstLine="0" w:firstLineChars="0"/>
                    <w:jc w:val="center"/>
                    <w:rPr>
                      <w:rFonts w:hint="eastAsia" w:ascii="Times New Roman" w:hAnsi="宋体" w:cs="Times New Roman"/>
                      <w:b/>
                      <w:kern w:val="0"/>
                      <w:sz w:val="21"/>
                      <w:szCs w:val="21"/>
                      <w:lang w:val="en-US" w:eastAsia="zh-CN" w:bidi="ar-SA"/>
                    </w:rPr>
                  </w:pPr>
                  <w:r>
                    <w:rPr>
                      <w:rFonts w:hint="eastAsia"/>
                      <w:color w:val="000000"/>
                      <w:sz w:val="21"/>
                      <w:szCs w:val="21"/>
                    </w:rPr>
                    <w:t>3</w:t>
                  </w:r>
                  <w:r>
                    <w:rPr>
                      <w:color w:val="000000"/>
                      <w:sz w:val="21"/>
                      <w:szCs w:val="21"/>
                    </w:rPr>
                    <w:t>mg/L</w:t>
                  </w:r>
                </w:p>
              </w:tc>
            </w:tr>
            <w:tr w14:paraId="79E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07C3DAA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60" w:type="pct"/>
                  <w:vMerge w:val="continue"/>
                  <w:noWrap w:val="0"/>
                  <w:vAlign w:val="center"/>
                </w:tcPr>
                <w:p w14:paraId="4AB107E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688" w:type="pct"/>
                  <w:vMerge w:val="continue"/>
                  <w:noWrap w:val="0"/>
                  <w:vAlign w:val="center"/>
                </w:tcPr>
                <w:p w14:paraId="0EB4263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sz w:val="21"/>
                      <w:szCs w:val="21"/>
                    </w:rPr>
                  </w:pPr>
                </w:p>
              </w:tc>
              <w:tc>
                <w:tcPr>
                  <w:tcW w:w="1304" w:type="pct"/>
                  <w:noWrap w:val="0"/>
                  <w:vAlign w:val="center"/>
                </w:tcPr>
                <w:p w14:paraId="02F1C258">
                  <w:pPr>
                    <w:spacing w:line="240" w:lineRule="auto"/>
                    <w:ind w:firstLine="0" w:firstLineChars="0"/>
                    <w:jc w:val="center"/>
                    <w:rPr>
                      <w:rFonts w:hint="eastAsia"/>
                      <w:sz w:val="21"/>
                      <w:szCs w:val="21"/>
                      <w:lang w:val="en-US" w:eastAsia="zh-CN"/>
                    </w:rPr>
                  </w:pPr>
                  <w:r>
                    <w:rPr>
                      <w:rFonts w:hint="eastAsia"/>
                      <w:color w:val="000000"/>
                      <w:sz w:val="21"/>
                      <w:szCs w:val="21"/>
                    </w:rPr>
                    <w:t>TN</w:t>
                  </w:r>
                </w:p>
              </w:tc>
              <w:tc>
                <w:tcPr>
                  <w:tcW w:w="1162" w:type="pct"/>
                  <w:noWrap w:val="0"/>
                  <w:vAlign w:val="center"/>
                </w:tcPr>
                <w:p w14:paraId="794123E0">
                  <w:pPr>
                    <w:snapToGrid w:val="0"/>
                    <w:spacing w:line="240" w:lineRule="auto"/>
                    <w:ind w:firstLine="0" w:firstLineChars="0"/>
                    <w:jc w:val="center"/>
                    <w:rPr>
                      <w:rFonts w:hint="eastAsia"/>
                      <w:color w:val="000000"/>
                      <w:sz w:val="21"/>
                      <w:szCs w:val="21"/>
                      <w:lang w:val="en-US" w:eastAsia="zh-CN"/>
                    </w:rPr>
                  </w:pPr>
                  <w:r>
                    <w:rPr>
                      <w:rFonts w:hint="eastAsia"/>
                      <w:color w:val="000000"/>
                      <w:sz w:val="21"/>
                      <w:szCs w:val="21"/>
                    </w:rPr>
                    <w:t>40</w:t>
                  </w:r>
                  <w:r>
                    <w:rPr>
                      <w:color w:val="000000"/>
                      <w:sz w:val="21"/>
                      <w:szCs w:val="21"/>
                    </w:rPr>
                    <w:t>mg/L</w:t>
                  </w:r>
                </w:p>
              </w:tc>
            </w:tr>
          </w:tbl>
          <w:p w14:paraId="0F9998F1">
            <w:pPr>
              <w:adjustRightInd w:val="0"/>
              <w:snapToGrid w:val="0"/>
              <w:spacing w:line="520" w:lineRule="exact"/>
              <w:ind w:firstLine="482"/>
              <w:textAlignment w:val="baseline"/>
              <w:rPr>
                <w:b/>
              </w:rPr>
            </w:pPr>
            <w:r>
              <w:rPr>
                <w:rFonts w:hint="eastAsia"/>
                <w:b/>
                <w:lang w:val="en-US" w:eastAsia="zh-CN"/>
              </w:rPr>
              <w:t>3</w:t>
            </w:r>
            <w:r>
              <w:rPr>
                <w:b/>
              </w:rPr>
              <w:t>、噪声</w:t>
            </w:r>
          </w:p>
          <w:p w14:paraId="626F8926">
            <w:pPr>
              <w:adjustRightInd w:val="0"/>
              <w:snapToGrid w:val="0"/>
              <w:spacing w:line="520" w:lineRule="exact"/>
              <w:ind w:firstLine="480"/>
              <w:rPr>
                <w:rFonts w:eastAsia="黑体"/>
                <w:lang w:val="zh-CN"/>
              </w:rPr>
            </w:pPr>
            <w:r>
              <w:t>本项目运营期厂界噪声执行《工业企业厂界环境噪声排放标准》（GB12348-2008）</w:t>
            </w:r>
            <w:r>
              <w:rPr>
                <w:rFonts w:hint="eastAsia"/>
              </w:rPr>
              <w:t>3</w:t>
            </w:r>
            <w:r>
              <w:t>类标准，具体值见下表。</w:t>
            </w:r>
          </w:p>
          <w:p w14:paraId="0367CAB2">
            <w:pPr>
              <w:spacing w:line="520" w:lineRule="exact"/>
              <w:ind w:firstLine="960" w:firstLineChars="400"/>
              <w:rPr>
                <w:b/>
                <w:color w:val="000000"/>
                <w:kern w:val="0"/>
                <w:szCs w:val="21"/>
              </w:rPr>
            </w:pPr>
            <w:r>
              <w:rPr>
                <w:rFonts w:eastAsia="黑体"/>
                <w:lang w:val="zh-CN"/>
              </w:rPr>
              <w:t>表</w:t>
            </w:r>
            <w:r>
              <w:rPr>
                <w:rFonts w:eastAsia="黑体"/>
              </w:rPr>
              <w:t>3-</w:t>
            </w:r>
            <w:r>
              <w:rPr>
                <w:rFonts w:hint="eastAsia" w:eastAsia="黑体"/>
              </w:rPr>
              <w:t>6</w:t>
            </w:r>
            <w:r>
              <w:rPr>
                <w:rFonts w:eastAsia="黑体"/>
                <w:lang w:val="zh-CN"/>
              </w:rPr>
              <w:t xml:space="preserve">       </w:t>
            </w:r>
            <w:r>
              <w:rPr>
                <w:rFonts w:eastAsia="黑体"/>
              </w:rPr>
              <w:t xml:space="preserve">  </w:t>
            </w:r>
            <w:r>
              <w:rPr>
                <w:rFonts w:eastAsia="黑体"/>
                <w:lang w:val="zh-CN"/>
              </w:rPr>
              <w:t xml:space="preserve">  厂界环境噪声排放标准</w:t>
            </w:r>
            <w:r>
              <w:rPr>
                <w:rFonts w:eastAsia="黑体"/>
              </w:rPr>
              <w:t xml:space="preserve">         </w:t>
            </w:r>
            <w:r>
              <w:rPr>
                <w:rFonts w:eastAsia="黑体"/>
                <w:lang w:val="zh-CN"/>
              </w:rPr>
              <w:t>单位：dB（A）</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4"/>
              <w:gridCol w:w="2672"/>
              <w:gridCol w:w="2672"/>
            </w:tblGrid>
            <w:tr w14:paraId="2906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exact"/>
                <w:jc w:val="center"/>
              </w:trPr>
              <w:tc>
                <w:tcPr>
                  <w:tcW w:w="2514" w:type="dxa"/>
                  <w:tcBorders>
                    <w:tl2br w:val="nil"/>
                    <w:tr2bl w:val="nil"/>
                  </w:tcBorders>
                  <w:vAlign w:val="center"/>
                </w:tcPr>
                <w:p w14:paraId="1E1997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类别</w:t>
                  </w:r>
                </w:p>
              </w:tc>
              <w:tc>
                <w:tcPr>
                  <w:tcW w:w="2512" w:type="dxa"/>
                  <w:tcBorders>
                    <w:tl2br w:val="nil"/>
                    <w:tr2bl w:val="nil"/>
                  </w:tcBorders>
                  <w:vAlign w:val="center"/>
                </w:tcPr>
                <w:p w14:paraId="4A11E8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昼间</w:t>
                  </w:r>
                </w:p>
              </w:tc>
              <w:tc>
                <w:tcPr>
                  <w:tcW w:w="2512" w:type="dxa"/>
                  <w:tcBorders>
                    <w:tl2br w:val="nil"/>
                    <w:tr2bl w:val="nil"/>
                  </w:tcBorders>
                  <w:vAlign w:val="center"/>
                </w:tcPr>
                <w:p w14:paraId="7894CD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夜间</w:t>
                  </w:r>
                </w:p>
              </w:tc>
            </w:tr>
            <w:tr w14:paraId="5729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jc w:val="center"/>
              </w:trPr>
              <w:tc>
                <w:tcPr>
                  <w:tcW w:w="2514" w:type="dxa"/>
                  <w:tcBorders>
                    <w:tl2br w:val="nil"/>
                    <w:tr2bl w:val="nil"/>
                  </w:tcBorders>
                  <w:vAlign w:val="center"/>
                </w:tcPr>
                <w:p w14:paraId="34F7B6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3</w:t>
                  </w:r>
                  <w:r>
                    <w:rPr>
                      <w:bCs/>
                      <w:sz w:val="21"/>
                      <w:szCs w:val="21"/>
                    </w:rPr>
                    <w:t>类</w:t>
                  </w:r>
                </w:p>
              </w:tc>
              <w:tc>
                <w:tcPr>
                  <w:tcW w:w="2512" w:type="dxa"/>
                  <w:tcBorders>
                    <w:tl2br w:val="nil"/>
                    <w:tr2bl w:val="nil"/>
                  </w:tcBorders>
                  <w:vAlign w:val="center"/>
                </w:tcPr>
                <w:p w14:paraId="5078C6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6</w:t>
                  </w:r>
                  <w:r>
                    <w:rPr>
                      <w:rFonts w:hint="eastAsia"/>
                      <w:bCs/>
                      <w:sz w:val="21"/>
                      <w:szCs w:val="21"/>
                    </w:rPr>
                    <w:t>5</w:t>
                  </w:r>
                </w:p>
              </w:tc>
              <w:tc>
                <w:tcPr>
                  <w:tcW w:w="2512" w:type="dxa"/>
                  <w:tcBorders>
                    <w:tl2br w:val="nil"/>
                    <w:tr2bl w:val="nil"/>
                  </w:tcBorders>
                  <w:vAlign w:val="center"/>
                </w:tcPr>
                <w:p w14:paraId="2008C8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55</w:t>
                  </w:r>
                </w:p>
              </w:tc>
            </w:tr>
          </w:tbl>
          <w:p w14:paraId="250D0554">
            <w:pPr>
              <w:spacing w:line="520" w:lineRule="atLeast"/>
              <w:ind w:firstLine="482"/>
              <w:rPr>
                <w:b/>
              </w:rPr>
            </w:pPr>
            <w:r>
              <w:rPr>
                <w:rFonts w:hint="eastAsia"/>
                <w:b/>
              </w:rPr>
              <w:t>4</w:t>
            </w:r>
            <w:r>
              <w:rPr>
                <w:b/>
              </w:rPr>
              <w:t>、固废</w:t>
            </w:r>
          </w:p>
          <w:p w14:paraId="61CC3920">
            <w:pPr>
              <w:snapToGrid w:val="0"/>
              <w:spacing w:line="520" w:lineRule="exact"/>
              <w:ind w:firstLine="480"/>
              <w:rPr>
                <w:kern w:val="0"/>
                <w:szCs w:val="21"/>
              </w:rPr>
            </w:pPr>
            <w:r>
              <w:rPr>
                <w:rFonts w:hint="eastAsia"/>
                <w:szCs w:val="32"/>
              </w:rPr>
              <w:t>一般固废执行《一般工业固体废物贮存和填埋污染控制标准》（GB 18599-2020）中的防渗漏、防雨淋、防扬尘等环境保护要求</w:t>
            </w:r>
            <w:r>
              <w:t>；危险废物执行《危险废物贮存污染控制标准》（GB 18597-2023）标准要求。</w:t>
            </w:r>
          </w:p>
        </w:tc>
      </w:tr>
      <w:tr w14:paraId="6802D7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8" w:hRule="atLeast"/>
        </w:trPr>
        <w:tc>
          <w:tcPr>
            <w:tcW w:w="817" w:type="dxa"/>
            <w:tcMar>
              <w:left w:w="28" w:type="dxa"/>
              <w:right w:w="28" w:type="dxa"/>
            </w:tcMar>
            <w:vAlign w:val="center"/>
          </w:tcPr>
          <w:p w14:paraId="5BE941F7">
            <w:pPr>
              <w:adjustRightInd w:val="0"/>
              <w:snapToGrid w:val="0"/>
              <w:spacing w:line="240" w:lineRule="auto"/>
              <w:ind w:firstLine="0" w:firstLineChars="0"/>
              <w:jc w:val="center"/>
              <w:rPr>
                <w:kern w:val="0"/>
              </w:rPr>
            </w:pPr>
            <w:r>
              <w:rPr>
                <w:kern w:val="0"/>
              </w:rPr>
              <w:t>总量控制指标</w:t>
            </w:r>
          </w:p>
        </w:tc>
        <w:tc>
          <w:tcPr>
            <w:tcW w:w="8244" w:type="dxa"/>
            <w:vAlign w:val="center"/>
          </w:tcPr>
          <w:p w14:paraId="405B1C5D">
            <w:pPr>
              <w:adjustRightInd w:val="0"/>
              <w:snapToGrid w:val="0"/>
              <w:spacing w:line="520" w:lineRule="exact"/>
              <w:ind w:firstLine="480"/>
              <w:rPr>
                <w:rFonts w:hint="eastAsia" w:eastAsia="宋体"/>
                <w:color w:val="000000" w:themeColor="text1"/>
                <w:lang w:eastAsia="zh-CN"/>
                <w14:textFill>
                  <w14:solidFill>
                    <w14:schemeClr w14:val="tx1"/>
                  </w14:solidFill>
                </w14:textFill>
              </w:rPr>
            </w:pPr>
            <w:r>
              <w:t>根据《河南省生态环境厅关于印发建设项目主要污染物排放总量指标管理工作内部规程通知》规定，建设项目环境影响文件中应明确建设项目主要污染物总量排放指标及替代削减方案。本项目建设完成后新增污染物排放量为</w:t>
            </w:r>
            <w:r>
              <w:rPr>
                <w:rFonts w:hint="eastAsia"/>
              </w:rPr>
              <w:t>颗粒物</w:t>
            </w:r>
            <w:r>
              <w:rPr>
                <w:rFonts w:hint="eastAsia"/>
                <w:lang w:eastAsia="zh-CN"/>
              </w:rPr>
              <w:t>0.0479</w:t>
            </w:r>
            <w:r>
              <w:rPr>
                <w:rFonts w:hint="eastAsia"/>
              </w:rPr>
              <w:t>t/a、非甲烷总烃</w:t>
            </w:r>
            <w:r>
              <w:rPr>
                <w:rFonts w:hint="eastAsia"/>
                <w:lang w:eastAsia="zh-CN"/>
              </w:rPr>
              <w:t>0.0772</w:t>
            </w:r>
            <w:r>
              <w:rPr>
                <w:rFonts w:hint="eastAsia"/>
              </w:rPr>
              <w:t>t/a、化学需氧量0.018t/a、总磷0.0002t/a，其中颗粒物、非甲烷总烃</w:t>
            </w:r>
            <w:r>
              <w:t>实行倍量替代，</w:t>
            </w:r>
            <w:r>
              <w:rPr>
                <w:rFonts w:hint="eastAsia"/>
              </w:rPr>
              <w:t>所需的替代量为颗粒物0.0</w:t>
            </w:r>
            <w:r>
              <w:rPr>
                <w:rFonts w:hint="eastAsia"/>
                <w:lang w:val="en-US" w:eastAsia="zh-CN"/>
              </w:rPr>
              <w:t>958</w:t>
            </w:r>
            <w:r>
              <w:rPr>
                <w:rFonts w:hint="eastAsia"/>
              </w:rPr>
              <w:t>t/a、非甲烷总烃0.</w:t>
            </w:r>
            <w:r>
              <w:rPr>
                <w:rFonts w:hint="eastAsia"/>
                <w:lang w:val="en-US" w:eastAsia="zh-CN"/>
              </w:rPr>
              <w:t>1544</w:t>
            </w:r>
            <w:r>
              <w:rPr>
                <w:rFonts w:hint="eastAsia"/>
              </w:rPr>
              <w:t>t/a，</w:t>
            </w:r>
            <w:r>
              <w:rPr>
                <w:rFonts w:hint="eastAsia"/>
                <w:color w:val="000000" w:themeColor="text1"/>
                <w14:textFill>
                  <w14:solidFill>
                    <w14:schemeClr w14:val="tx1"/>
                  </w14:solidFill>
                </w14:textFill>
              </w:rPr>
              <w:t>颗粒物来自新乡市天益钙业有限公司关停淘汰形成的4.52吨，VOCs来自河南富拓光电科技有限公司关停淘汰形成的2.8379吨</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该项目建成后，新增COD0.018t/a、总磷0.0002t/a，废水排入小尚庄污水处理厂，小尚庄污水处理厂属于城镇污水处理厂，无需替代</w:t>
            </w:r>
            <w:r>
              <w:rPr>
                <w:rFonts w:hint="eastAsia"/>
                <w:color w:val="000000" w:themeColor="text1"/>
                <w:lang w:eastAsia="zh-CN"/>
                <w14:textFill>
                  <w14:solidFill>
                    <w14:schemeClr w14:val="tx1"/>
                  </w14:solidFill>
                </w14:textFill>
              </w:rPr>
              <w:t>。</w:t>
            </w:r>
          </w:p>
          <w:p w14:paraId="2BE3038F">
            <w:pPr>
              <w:adjustRightInd w:val="0"/>
              <w:snapToGrid w:val="0"/>
              <w:spacing w:line="520" w:lineRule="exact"/>
              <w:ind w:firstLine="480"/>
              <w:rPr>
                <w:color w:val="000000" w:themeColor="text1"/>
                <w14:textFill>
                  <w14:solidFill>
                    <w14:schemeClr w14:val="tx1"/>
                  </w14:solidFill>
                </w14:textFill>
              </w:rPr>
            </w:pPr>
          </w:p>
          <w:p w14:paraId="56D9EE32">
            <w:pPr>
              <w:adjustRightInd w:val="0"/>
              <w:snapToGrid w:val="0"/>
              <w:spacing w:line="520" w:lineRule="exact"/>
              <w:ind w:firstLine="480"/>
              <w:rPr>
                <w:color w:val="000000" w:themeColor="text1"/>
                <w14:textFill>
                  <w14:solidFill>
                    <w14:schemeClr w14:val="tx1"/>
                  </w14:solidFill>
                </w14:textFill>
              </w:rPr>
            </w:pPr>
          </w:p>
          <w:p w14:paraId="28CF84CC">
            <w:pPr>
              <w:adjustRightInd w:val="0"/>
              <w:snapToGrid w:val="0"/>
              <w:spacing w:line="520" w:lineRule="exact"/>
              <w:ind w:firstLine="480"/>
              <w:rPr>
                <w:color w:val="000000" w:themeColor="text1"/>
                <w14:textFill>
                  <w14:solidFill>
                    <w14:schemeClr w14:val="tx1"/>
                  </w14:solidFill>
                </w14:textFill>
              </w:rPr>
            </w:pPr>
          </w:p>
          <w:p w14:paraId="53C20AD8">
            <w:pPr>
              <w:adjustRightInd w:val="0"/>
              <w:snapToGrid w:val="0"/>
              <w:spacing w:line="520" w:lineRule="exact"/>
              <w:ind w:firstLine="480"/>
              <w:rPr>
                <w:color w:val="000000" w:themeColor="text1"/>
                <w14:textFill>
                  <w14:solidFill>
                    <w14:schemeClr w14:val="tx1"/>
                  </w14:solidFill>
                </w14:textFill>
              </w:rPr>
            </w:pPr>
          </w:p>
          <w:p w14:paraId="497D4473">
            <w:pPr>
              <w:adjustRightInd w:val="0"/>
              <w:snapToGrid w:val="0"/>
              <w:spacing w:line="520" w:lineRule="exact"/>
              <w:ind w:firstLine="480"/>
              <w:rPr>
                <w:color w:val="000000" w:themeColor="text1"/>
                <w14:textFill>
                  <w14:solidFill>
                    <w14:schemeClr w14:val="tx1"/>
                  </w14:solidFill>
                </w14:textFill>
              </w:rPr>
            </w:pPr>
          </w:p>
          <w:p w14:paraId="250389B1">
            <w:pPr>
              <w:adjustRightInd w:val="0"/>
              <w:snapToGrid w:val="0"/>
              <w:spacing w:line="520" w:lineRule="exact"/>
              <w:ind w:firstLine="480"/>
              <w:rPr>
                <w:color w:val="000000" w:themeColor="text1"/>
                <w14:textFill>
                  <w14:solidFill>
                    <w14:schemeClr w14:val="tx1"/>
                  </w14:solidFill>
                </w14:textFill>
              </w:rPr>
            </w:pPr>
          </w:p>
        </w:tc>
      </w:tr>
    </w:tbl>
    <w:p w14:paraId="17FB0F95">
      <w:pPr>
        <w:pStyle w:val="2"/>
        <w:rPr>
          <w:snapToGrid w:val="0"/>
        </w:rPr>
      </w:pPr>
      <w:r>
        <w:rPr>
          <w:snapToGrid w:val="0"/>
          <w:sz w:val="36"/>
          <w:szCs w:val="36"/>
        </w:rPr>
        <w:br w:type="page"/>
      </w:r>
      <w:r>
        <w:t>四、主要环境影响和保护措施</w:t>
      </w:r>
    </w:p>
    <w:tbl>
      <w:tblPr>
        <w:tblStyle w:val="26"/>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8"/>
        <w:gridCol w:w="8343"/>
      </w:tblGrid>
      <w:tr w14:paraId="2887D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638" w:type="dxa"/>
            <w:tcMar>
              <w:left w:w="28" w:type="dxa"/>
              <w:right w:w="28" w:type="dxa"/>
            </w:tcMar>
            <w:vAlign w:val="center"/>
          </w:tcPr>
          <w:p w14:paraId="03B4809F">
            <w:pPr>
              <w:pStyle w:val="21"/>
              <w:adjustRightInd w:val="0"/>
              <w:snapToGrid w:val="0"/>
              <w:spacing w:before="0" w:beforeAutospacing="0" w:after="0" w:afterAutospacing="0" w:line="240" w:lineRule="auto"/>
              <w:ind w:firstLine="0" w:firstLineChars="0"/>
              <w:jc w:val="center"/>
              <w:rPr>
                <w:rFonts w:ascii="Times New Roman" w:hAnsi="Times New Roman"/>
                <w:bCs/>
                <w:kern w:val="2"/>
                <w:szCs w:val="24"/>
              </w:rPr>
            </w:pPr>
            <w:r>
              <w:rPr>
                <w:rFonts w:ascii="Times New Roman" w:hAnsi="Times New Roman"/>
                <w:kern w:val="2"/>
                <w:szCs w:val="24"/>
              </w:rPr>
              <w:t>施工期环境保护措施</w:t>
            </w:r>
          </w:p>
        </w:tc>
        <w:tc>
          <w:tcPr>
            <w:tcW w:w="8343" w:type="dxa"/>
            <w:vAlign w:val="center"/>
          </w:tcPr>
          <w:p w14:paraId="6C7A8656">
            <w:pPr>
              <w:snapToGrid w:val="0"/>
              <w:spacing w:line="520" w:lineRule="exact"/>
              <w:ind w:firstLine="480"/>
            </w:pPr>
            <w:r>
              <w:rPr>
                <w:rFonts w:hint="eastAsia"/>
              </w:rPr>
              <w:t>本项目租赁现有厂房进行建设生产，施工期仅涉及设备的安装，不涉及基础开挖等土方工程，故本评价不对施工期环境影响进行分析</w:t>
            </w:r>
            <w:r>
              <w:rPr>
                <w:bCs/>
              </w:rPr>
              <w:t>。</w:t>
            </w:r>
          </w:p>
        </w:tc>
      </w:tr>
      <w:tr w14:paraId="68CE3F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tcMar>
              <w:left w:w="28" w:type="dxa"/>
              <w:right w:w="28" w:type="dxa"/>
            </w:tcMar>
            <w:vAlign w:val="center"/>
          </w:tcPr>
          <w:p w14:paraId="7E582474">
            <w:pPr>
              <w:adjustRightInd w:val="0"/>
              <w:snapToGrid w:val="0"/>
              <w:spacing w:line="240" w:lineRule="auto"/>
              <w:ind w:firstLine="0" w:firstLineChars="0"/>
              <w:jc w:val="center"/>
              <w:rPr>
                <w:bCs/>
              </w:rPr>
            </w:pPr>
            <w:r>
              <w:rPr>
                <w:bCs/>
              </w:rPr>
              <w:t>运营期环境影响和保护措施</w:t>
            </w:r>
          </w:p>
        </w:tc>
        <w:tc>
          <w:tcPr>
            <w:tcW w:w="8343" w:type="dxa"/>
            <w:vAlign w:val="center"/>
          </w:tcPr>
          <w:p w14:paraId="0187E9A8">
            <w:pPr>
              <w:adjustRightInd w:val="0"/>
              <w:snapToGrid w:val="0"/>
              <w:spacing w:line="520" w:lineRule="exact"/>
              <w:ind w:firstLine="482"/>
              <w:rPr>
                <w:b/>
                <w:snapToGrid w:val="0"/>
                <w:kern w:val="0"/>
              </w:rPr>
            </w:pPr>
            <w:r>
              <w:rPr>
                <w:b/>
                <w:snapToGrid w:val="0"/>
                <w:kern w:val="0"/>
              </w:rPr>
              <w:t>1、废气</w:t>
            </w:r>
          </w:p>
          <w:p w14:paraId="7B11B773">
            <w:pPr>
              <w:spacing w:line="520" w:lineRule="exact"/>
              <w:ind w:firstLine="482"/>
              <w:rPr>
                <w:b/>
                <w:bCs/>
              </w:rPr>
            </w:pPr>
            <w:r>
              <w:rPr>
                <w:rFonts w:hint="eastAsia"/>
                <w:b/>
                <w:bCs/>
              </w:rPr>
              <w:t>1.1 有组织排放</w:t>
            </w:r>
          </w:p>
          <w:p w14:paraId="62D33714">
            <w:pPr>
              <w:spacing w:line="520" w:lineRule="exact"/>
              <w:ind w:firstLine="480"/>
              <w:textAlignment w:val="baseline"/>
              <w:rPr>
                <w:lang w:val="en-GB"/>
              </w:rPr>
            </w:pPr>
            <w:r>
              <w:rPr>
                <w:rFonts w:hint="eastAsia"/>
                <w:lang w:val="en-GB"/>
              </w:rPr>
              <w:t>本项目营运期废气主要为喷墨生产线、高周波压花生产线、压条生产线产生的挥发性有机废气；镭射雕花生产线、口袋加装生产线生产线产生的挥发性有机废气和颗粒物。</w:t>
            </w:r>
          </w:p>
          <w:p w14:paraId="7BCF4A31">
            <w:pPr>
              <w:adjustRightInd w:val="0"/>
              <w:snapToGrid w:val="0"/>
              <w:spacing w:line="520" w:lineRule="exact"/>
              <w:ind w:firstLine="482"/>
              <w:rPr>
                <w:b/>
                <w:bCs/>
              </w:rPr>
            </w:pPr>
            <w:r>
              <w:rPr>
                <w:rFonts w:hint="eastAsia"/>
                <w:b/>
                <w:bCs/>
              </w:rPr>
              <w:t>（1）有组织废气源强分析</w:t>
            </w:r>
          </w:p>
          <w:p w14:paraId="6604216A">
            <w:pPr>
              <w:adjustRightInd w:val="0"/>
              <w:snapToGrid w:val="0"/>
              <w:spacing w:line="520" w:lineRule="exact"/>
              <w:ind w:firstLine="482"/>
              <w:rPr>
                <w:b/>
                <w:bCs/>
              </w:rPr>
            </w:pPr>
            <w:r>
              <w:rPr>
                <w:rFonts w:hint="eastAsia"/>
                <w:b/>
                <w:bCs/>
                <w:lang w:val="en-GB"/>
              </w:rPr>
              <w:t>1﹥喷墨生产线油墨输送、印花、擦洗、烘干工序产生的废气源强分析</w:t>
            </w:r>
          </w:p>
          <w:p w14:paraId="2E992484">
            <w:pPr>
              <w:spacing w:line="520" w:lineRule="exact"/>
              <w:ind w:firstLine="480"/>
              <w:rPr>
                <w:kern w:val="0"/>
              </w:rPr>
            </w:pPr>
            <w:r>
              <w:rPr>
                <w:rFonts w:hint="eastAsia"/>
                <w:kern w:val="0"/>
                <w:lang w:eastAsia="zh-CN"/>
              </w:rPr>
              <w:t>项目采用水性丙烯酸酯油墨，</w:t>
            </w:r>
            <w:r>
              <w:rPr>
                <w:kern w:val="0"/>
              </w:rPr>
              <w:t>水性油墨直接使用不需调配</w:t>
            </w:r>
            <w:r>
              <w:rPr>
                <w:rFonts w:hint="eastAsia"/>
                <w:kern w:val="0"/>
                <w:lang w:eastAsia="zh-CN"/>
              </w:rPr>
              <w:t>，</w:t>
            </w:r>
            <w:r>
              <w:rPr>
                <w:kern w:val="0"/>
              </w:rPr>
              <w:t>封闭完好的水性丙烯酸酯油墨加盖密闭转运至负压印</w:t>
            </w:r>
            <w:r>
              <w:rPr>
                <w:rFonts w:hint="eastAsia"/>
                <w:kern w:val="0"/>
              </w:rPr>
              <w:t>花</w:t>
            </w:r>
            <w:r>
              <w:rPr>
                <w:kern w:val="0"/>
              </w:rPr>
              <w:t>车间，通过</w:t>
            </w:r>
            <w:r>
              <w:rPr>
                <w:rFonts w:hint="eastAsia"/>
                <w:kern w:val="0"/>
              </w:rPr>
              <w:t>喷码</w:t>
            </w:r>
            <w:r>
              <w:rPr>
                <w:kern w:val="0"/>
              </w:rPr>
              <w:t>印</w:t>
            </w:r>
            <w:r>
              <w:rPr>
                <w:rFonts w:hint="eastAsia"/>
                <w:kern w:val="0"/>
              </w:rPr>
              <w:t>花</w:t>
            </w:r>
            <w:r>
              <w:rPr>
                <w:kern w:val="0"/>
              </w:rPr>
              <w:t>机自动供墨系统，利用软管自动泵至印刷机密闭墨槽，密闭盖留有油墨软管的进出口，软管与进出口的间隙会有少量的有机废气逸出；印</w:t>
            </w:r>
            <w:r>
              <w:rPr>
                <w:rFonts w:hint="eastAsia"/>
                <w:kern w:val="0"/>
              </w:rPr>
              <w:t>花、</w:t>
            </w:r>
            <w:r>
              <w:rPr>
                <w:kern w:val="0"/>
              </w:rPr>
              <w:t>墨槽</w:t>
            </w:r>
            <w:r>
              <w:rPr>
                <w:rFonts w:hint="eastAsia"/>
                <w:kern w:val="0"/>
              </w:rPr>
              <w:t>擦</w:t>
            </w:r>
            <w:r>
              <w:rPr>
                <w:kern w:val="0"/>
              </w:rPr>
              <w:t>洗</w:t>
            </w:r>
            <w:r>
              <w:rPr>
                <w:rFonts w:hint="eastAsia"/>
                <w:kern w:val="0"/>
              </w:rPr>
              <w:t>、烘干</w:t>
            </w:r>
            <w:r>
              <w:rPr>
                <w:kern w:val="0"/>
              </w:rPr>
              <w:t>工序会有少量的有机废气产生。</w:t>
            </w:r>
          </w:p>
          <w:p w14:paraId="6CEDDE7A">
            <w:pPr>
              <w:spacing w:line="520" w:lineRule="exact"/>
              <w:ind w:firstLine="480"/>
              <w:rPr>
                <w:kern w:val="0"/>
              </w:rPr>
            </w:pPr>
            <w:r>
              <w:rPr>
                <w:kern w:val="0"/>
              </w:rPr>
              <w:t>根据油墨产品的抽样检测报告，水性丙烯酸酯油墨挥发性有机物含量为</w:t>
            </w:r>
            <w:r>
              <w:rPr>
                <w:rFonts w:hint="eastAsia"/>
                <w:kern w:val="0"/>
              </w:rPr>
              <w:t>13.5</w:t>
            </w:r>
            <w:r>
              <w:rPr>
                <w:kern w:val="0"/>
              </w:rPr>
              <w:t>%，符合《油墨中可挥发性有机化合物（VOCs）含量限值》（GB38507-2020）水性油墨—喷墨油墨，挥发性有机化合物（VOCS）限值≤30%的要求（见附件）。</w:t>
            </w:r>
          </w:p>
          <w:p w14:paraId="0C2DF4A4">
            <w:pPr>
              <w:spacing w:line="520" w:lineRule="exact"/>
              <w:ind w:firstLine="480"/>
              <w:rPr>
                <w:kern w:val="0"/>
              </w:rPr>
            </w:pPr>
            <w:r>
              <w:rPr>
                <w:kern w:val="0"/>
              </w:rPr>
              <w:t>根据《污染源源强核算技术指南 准则》，本评价选用排污系数法进行污染源强核算，评价从严考虑，假设油墨中的挥发成分在油墨输送、印</w:t>
            </w:r>
            <w:r>
              <w:rPr>
                <w:rFonts w:hint="eastAsia"/>
                <w:kern w:val="0"/>
              </w:rPr>
              <w:t>花、擦洗、烘干工序中</w:t>
            </w:r>
            <w:r>
              <w:rPr>
                <w:kern w:val="0"/>
              </w:rPr>
              <w:t>全部挥发。</w:t>
            </w:r>
            <w:r>
              <w:rPr>
                <w:rFonts w:hint="eastAsia"/>
                <w:kern w:val="0"/>
              </w:rPr>
              <w:t>项目</w:t>
            </w:r>
            <w:r>
              <w:rPr>
                <w:kern w:val="0"/>
              </w:rPr>
              <w:t>水性丙烯酸油墨使用量为</w:t>
            </w:r>
            <w:r>
              <w:rPr>
                <w:rFonts w:hint="eastAsia"/>
                <w:kern w:val="0"/>
                <w:lang w:val="en-US" w:eastAsia="zh-CN"/>
              </w:rPr>
              <w:t>5</w:t>
            </w:r>
            <w:r>
              <w:rPr>
                <w:kern w:val="0"/>
              </w:rPr>
              <w:t>t/a，则挥发性有机物产生量为</w:t>
            </w:r>
            <w:r>
              <w:rPr>
                <w:rFonts w:hint="eastAsia"/>
                <w:kern w:val="0"/>
                <w:lang w:val="en-US" w:eastAsia="zh-CN"/>
              </w:rPr>
              <w:t>0.675</w:t>
            </w:r>
            <w:r>
              <w:rPr>
                <w:kern w:val="0"/>
              </w:rPr>
              <w:t>t/a，本评价按非甲烷总烃计</w:t>
            </w:r>
            <w:r>
              <w:rPr>
                <w:rFonts w:hint="eastAsia"/>
                <w:kern w:val="0"/>
              </w:rPr>
              <w:t>。印花</w:t>
            </w:r>
            <w:r>
              <w:rPr>
                <w:kern w:val="0"/>
              </w:rPr>
              <w:t>工序每天工作</w:t>
            </w:r>
            <w:r>
              <w:rPr>
                <w:rFonts w:hint="eastAsia"/>
                <w:kern w:val="0"/>
              </w:rPr>
              <w:t>16</w:t>
            </w:r>
            <w:r>
              <w:rPr>
                <w:kern w:val="0"/>
              </w:rPr>
              <w:t>小时，年工作300天。</w:t>
            </w:r>
          </w:p>
          <w:p w14:paraId="6EDA406F">
            <w:pPr>
              <w:spacing w:line="520" w:lineRule="exact"/>
              <w:ind w:firstLine="482"/>
              <w:rPr>
                <w:b/>
                <w:bCs/>
                <w:kern w:val="0"/>
              </w:rPr>
            </w:pPr>
            <w:r>
              <w:rPr>
                <w:rFonts w:hint="eastAsia"/>
                <w:b/>
                <w:bCs/>
                <w:kern w:val="0"/>
              </w:rPr>
              <w:t>2﹥压条生产线复合工序产生的有机废气源强分析</w:t>
            </w:r>
          </w:p>
          <w:p w14:paraId="5DEF0969">
            <w:pPr>
              <w:adjustRightInd w:val="0"/>
              <w:snapToGrid w:val="0"/>
              <w:spacing w:line="520" w:lineRule="exact"/>
              <w:ind w:firstLine="480"/>
              <w:jc w:val="left"/>
            </w:pPr>
            <w:r>
              <w:t>项目压条生产线复合工序</w:t>
            </w:r>
            <w:r>
              <w:rPr>
                <w:rFonts w:hint="eastAsia"/>
              </w:rPr>
              <w:t>使用水性丙烯酸胶浆，胶浆直接使用不需要调配。胶桶密闭盖留有软管的进出口，软管与进出口的间隙会有少量的有机废气逸出，</w:t>
            </w:r>
            <w:r>
              <w:t>复合工序会产生有机废气</w:t>
            </w:r>
            <w:r>
              <w:rPr>
                <w:rFonts w:hint="eastAsia"/>
              </w:rPr>
              <w:t>，</w:t>
            </w:r>
            <w:r>
              <w:t>复合工序每天工作16小时，年工作300天。</w:t>
            </w:r>
          </w:p>
          <w:p w14:paraId="6F4B4ABE">
            <w:pPr>
              <w:autoSpaceDE w:val="0"/>
              <w:autoSpaceDN w:val="0"/>
              <w:adjustRightInd w:val="0"/>
              <w:spacing w:line="520" w:lineRule="exact"/>
              <w:ind w:firstLine="480"/>
            </w:pPr>
            <w:r>
              <w:t>根据产品抽样检测报告，水性丙烯酸胶浆挥发性有机物含量为</w:t>
            </w:r>
            <w:r>
              <w:rPr>
                <w:rFonts w:hint="eastAsia"/>
              </w:rPr>
              <w:t>7</w:t>
            </w:r>
            <w:r>
              <w:t>g/</w:t>
            </w:r>
            <w:r>
              <w:rPr>
                <w:rFonts w:hint="eastAsia"/>
                <w:lang w:val="en-US" w:eastAsia="zh-CN"/>
              </w:rPr>
              <w:t>L</w:t>
            </w:r>
            <w:r>
              <w:t>，符合《胶粘剂挥发性有机化合物限值》（GB 33372-2020）表3本体型—丙烯酸酯类—</w:t>
            </w:r>
            <w:r>
              <w:rPr>
                <w:rFonts w:hint="eastAsia"/>
              </w:rPr>
              <w:t>其他</w:t>
            </w:r>
            <w:r>
              <w:t>，挥发性有机化合物（VOCS）限值50</w:t>
            </w:r>
            <w:r>
              <w:rPr>
                <w:rFonts w:hint="eastAsia"/>
                <w:lang w:eastAsia="zh-CN"/>
              </w:rPr>
              <w:t>g/L</w:t>
            </w:r>
            <w:r>
              <w:t>要求（见附件）。</w:t>
            </w:r>
          </w:p>
          <w:p w14:paraId="760755FB">
            <w:pPr>
              <w:autoSpaceDE w:val="0"/>
              <w:autoSpaceDN w:val="0"/>
              <w:adjustRightInd w:val="0"/>
              <w:spacing w:line="520" w:lineRule="exact"/>
              <w:ind w:firstLine="480"/>
            </w:pPr>
            <w:r>
              <w:t>根据《污染源源强核算技术指南 准则》，本评价选用排污系数法进行污染源强核算，评价从严考虑，水性丙烯酸胶浆中的挥发成分在</w:t>
            </w:r>
            <w:r>
              <w:rPr>
                <w:rFonts w:hint="eastAsia"/>
              </w:rPr>
              <w:t>胶浆</w:t>
            </w:r>
            <w:r>
              <w:t>输送、复合过程中全部挥发。本项目水性丙烯酸胶浆使用量为</w:t>
            </w:r>
            <w:r>
              <w:rPr>
                <w:rFonts w:hint="eastAsia"/>
              </w:rPr>
              <w:t>5</w:t>
            </w:r>
            <w:r>
              <w:t>t/a，</w:t>
            </w:r>
            <w:r>
              <w:rPr>
                <w:rFonts w:hint="eastAsia"/>
                <w:lang w:eastAsia="zh-CN"/>
              </w:rPr>
              <w:t>密度为</w:t>
            </w:r>
            <w:r>
              <w:rPr>
                <w:rFonts w:hint="eastAsia"/>
                <w:lang w:val="en-US" w:eastAsia="zh-CN"/>
              </w:rPr>
              <w:t>1.0g/cm</w:t>
            </w:r>
            <w:r>
              <w:rPr>
                <w:rFonts w:hint="eastAsia"/>
                <w:vertAlign w:val="superscript"/>
                <w:lang w:val="en-US" w:eastAsia="zh-CN"/>
              </w:rPr>
              <w:t>3</w:t>
            </w:r>
            <w:r>
              <w:rPr>
                <w:rFonts w:hint="eastAsia"/>
                <w:lang w:val="en-US" w:eastAsia="zh-CN"/>
              </w:rPr>
              <w:t>，合计5m</w:t>
            </w:r>
            <w:r>
              <w:rPr>
                <w:rFonts w:hint="eastAsia"/>
                <w:vertAlign w:val="superscript"/>
                <w:lang w:val="en-US" w:eastAsia="zh-CN"/>
              </w:rPr>
              <w:t>3</w:t>
            </w:r>
            <w:r>
              <w:rPr>
                <w:rFonts w:hint="eastAsia"/>
                <w:lang w:val="en-US" w:eastAsia="zh-CN"/>
              </w:rPr>
              <w:t>/a，</w:t>
            </w:r>
            <w:r>
              <w:t>则挥发性有机物产生量为0.</w:t>
            </w:r>
            <w:r>
              <w:rPr>
                <w:rFonts w:hint="eastAsia"/>
              </w:rPr>
              <w:t>035</w:t>
            </w:r>
            <w:r>
              <w:t>t/a，本评价按非甲烷总烃计。</w:t>
            </w:r>
          </w:p>
          <w:p w14:paraId="7D67E4E5">
            <w:pPr>
              <w:adjustRightInd w:val="0"/>
              <w:snapToGrid w:val="0"/>
              <w:spacing w:line="520" w:lineRule="exact"/>
              <w:ind w:firstLine="482"/>
              <w:rPr>
                <w:b/>
                <w:bCs/>
              </w:rPr>
            </w:pPr>
            <w:r>
              <w:rPr>
                <w:rFonts w:hint="eastAsia"/>
                <w:b/>
                <w:bCs/>
                <w:kern w:val="0"/>
              </w:rPr>
              <w:t>3﹥高周波压花生产线压花、冷却定型</w:t>
            </w:r>
            <w:r>
              <w:rPr>
                <w:rFonts w:hint="eastAsia"/>
                <w:b/>
                <w:bCs/>
                <w:lang w:val="en-GB"/>
              </w:rPr>
              <w:t>工序产生的有机废气源强分析</w:t>
            </w:r>
          </w:p>
          <w:p w14:paraId="5FA61660">
            <w:pPr>
              <w:spacing w:line="520" w:lineRule="exact"/>
              <w:ind w:firstLine="480"/>
              <w:rPr>
                <w:bCs/>
              </w:rPr>
            </w:pPr>
            <w:r>
              <w:rPr>
                <w:rFonts w:hint="eastAsia"/>
                <w:kern w:val="0"/>
              </w:rPr>
              <w:t>项目压花工序利用高周波熔接机将基础布料和PU膜、魔术贴、离型纸进行熔接和PU膜、魔术贴、离型纸进行熔接、压花，设备采用电加热，加热温度为110℃-150℃，</w:t>
            </w:r>
            <w:r>
              <w:rPr>
                <w:rFonts w:hint="eastAsia"/>
                <w:bCs/>
              </w:rPr>
              <w:t>操作时间为1s，熔接、压花结束后进入风冷隧道冷却，定型。熔接、压花过程会产生有机废气、颗粒物</w:t>
            </w:r>
            <w:r>
              <w:rPr>
                <w:kern w:val="0"/>
              </w:rPr>
              <w:t>，</w:t>
            </w:r>
            <w:r>
              <w:rPr>
                <w:rFonts w:hint="eastAsia"/>
                <w:bCs/>
              </w:rPr>
              <w:t>冷却过程会产生有机废气。</w:t>
            </w:r>
            <w:r>
              <w:rPr>
                <w:rFonts w:hint="eastAsia"/>
                <w:kern w:val="0"/>
              </w:rPr>
              <w:t>压花生产线</w:t>
            </w:r>
            <w:r>
              <w:rPr>
                <w:kern w:val="0"/>
              </w:rPr>
              <w:t>工序每天工作</w:t>
            </w:r>
            <w:r>
              <w:rPr>
                <w:rFonts w:hint="eastAsia"/>
                <w:kern w:val="0"/>
              </w:rPr>
              <w:t>16</w:t>
            </w:r>
            <w:r>
              <w:rPr>
                <w:kern w:val="0"/>
              </w:rPr>
              <w:t>小时，年工作300天。</w:t>
            </w:r>
          </w:p>
          <w:p w14:paraId="53256FDD">
            <w:pPr>
              <w:spacing w:line="520" w:lineRule="exact"/>
              <w:ind w:firstLine="480"/>
              <w:rPr>
                <w:bCs/>
              </w:rPr>
            </w:pPr>
            <w:r>
              <w:rPr>
                <w:rFonts w:hint="eastAsia"/>
                <w:bCs/>
              </w:rPr>
              <w:t>本评价参照《排放源统计调查产排污核算和系数手册》（“1713 棉纺织及印染精加工行业系数手册”），整理工序挥发性有机废气的产生量为产污系数为161.80g/t·产品，颗粒物的产生量为产污系数为408.04g/t·产品，本项目年加工高周波压花布料为50万件，合计产量为150t/a，则颗粒物产生量为0.0612t/a；挥发性有机物产生量为0.0243t/a，本评价按非甲烷总烃计。</w:t>
            </w:r>
          </w:p>
          <w:p w14:paraId="4118E7B6">
            <w:pPr>
              <w:adjustRightInd w:val="0"/>
              <w:snapToGrid w:val="0"/>
              <w:spacing w:line="520" w:lineRule="exact"/>
              <w:ind w:firstLine="482"/>
              <w:rPr>
                <w:b/>
                <w:bCs/>
              </w:rPr>
            </w:pPr>
            <w:r>
              <w:rPr>
                <w:rFonts w:hint="eastAsia"/>
                <w:b/>
                <w:bCs/>
                <w:kern w:val="0"/>
              </w:rPr>
              <w:t>4﹥镭射雕花生产线雕花、清理</w:t>
            </w:r>
            <w:r>
              <w:rPr>
                <w:rFonts w:hint="eastAsia"/>
                <w:b/>
                <w:bCs/>
                <w:lang w:val="en-GB"/>
              </w:rPr>
              <w:t>工序产生的废气源强分析</w:t>
            </w:r>
          </w:p>
          <w:p w14:paraId="59483C59">
            <w:pPr>
              <w:spacing w:line="520" w:lineRule="exact"/>
              <w:ind w:firstLine="480"/>
              <w:rPr>
                <w:rFonts w:hint="eastAsia"/>
                <w:bCs/>
              </w:rPr>
            </w:pPr>
            <w:r>
              <w:rPr>
                <w:rFonts w:hint="eastAsia"/>
                <w:bCs/>
              </w:rPr>
              <w:t xml:space="preserve">项目镭射雕花工序利用高能量激光束对基材进行雕刻图案、文字或形状加工，雕刻温度为150℃- </w:t>
            </w:r>
            <w:r>
              <w:rPr>
                <w:rFonts w:hint="eastAsia"/>
                <w:bCs/>
                <w:lang w:val="en-US" w:eastAsia="zh-CN"/>
              </w:rPr>
              <w:t>18</w:t>
            </w:r>
            <w:r>
              <w:rPr>
                <w:rFonts w:hint="eastAsia"/>
                <w:bCs/>
              </w:rPr>
              <w:t>0℃，雕刻过程会产生颗粒物和挥发性有机废气，雕刻后清理工序会产生颗粒物。</w:t>
            </w:r>
          </w:p>
          <w:p w14:paraId="2A73111B">
            <w:pPr>
              <w:spacing w:line="520" w:lineRule="exact"/>
              <w:ind w:firstLine="480"/>
              <w:rPr>
                <w:rFonts w:hint="eastAsia"/>
                <w:bCs/>
                <w:lang w:val="en-US" w:eastAsia="zh-CN"/>
              </w:rPr>
            </w:pPr>
            <w:r>
              <w:rPr>
                <w:rFonts w:hint="eastAsia"/>
                <w:bCs/>
              </w:rPr>
              <w:t>本评价参照《排放源统计调查产排污核算和系数手册》（“1713 棉纺织及印染精加工行业系数手册”），整理工序挥发性有机废气的产生量为产污系数为161.80g/t·产品；颗粒物的产生量为产污系数为408.04g/t·产品，本项目年加工镭射雕花布料为100万件，合计产量为300t/a，则</w:t>
            </w:r>
            <w:r>
              <w:rPr>
                <w:rFonts w:hint="eastAsia"/>
                <w:bCs/>
                <w:lang w:eastAsia="zh-CN"/>
              </w:rPr>
              <w:t>雕花工序</w:t>
            </w:r>
            <w:r>
              <w:rPr>
                <w:rFonts w:hint="eastAsia"/>
                <w:bCs/>
              </w:rPr>
              <w:t>颗粒物产生量为0.</w:t>
            </w:r>
            <w:r>
              <w:rPr>
                <w:rFonts w:hint="eastAsia"/>
                <w:bCs/>
                <w:lang w:val="en-US" w:eastAsia="zh-CN"/>
              </w:rPr>
              <w:t>1224</w:t>
            </w:r>
            <w:r>
              <w:rPr>
                <w:rFonts w:hint="eastAsia"/>
                <w:bCs/>
              </w:rPr>
              <w:t>t/a，挥发性有机物产生量为0.0485t/a</w:t>
            </w:r>
            <w:r>
              <w:rPr>
                <w:rFonts w:hint="eastAsia"/>
                <w:bCs/>
                <w:lang w:eastAsia="zh-CN"/>
              </w:rPr>
              <w:t>；</w:t>
            </w:r>
            <w:r>
              <w:rPr>
                <w:rFonts w:hint="eastAsia"/>
                <w:bCs/>
              </w:rPr>
              <w:t>雕刻后清理工序颗粒物产生量为0.</w:t>
            </w:r>
            <w:r>
              <w:rPr>
                <w:rFonts w:hint="eastAsia"/>
                <w:bCs/>
                <w:lang w:val="en-US" w:eastAsia="zh-CN"/>
              </w:rPr>
              <w:t>1224</w:t>
            </w:r>
            <w:r>
              <w:rPr>
                <w:rFonts w:hint="eastAsia"/>
                <w:bCs/>
              </w:rPr>
              <w:t>t/a</w:t>
            </w:r>
            <w:r>
              <w:rPr>
                <w:rFonts w:hint="eastAsia"/>
                <w:bCs/>
                <w:lang w:val="en-US" w:eastAsia="zh-CN"/>
              </w:rPr>
              <w:t>。</w:t>
            </w:r>
          </w:p>
          <w:p w14:paraId="79C3E9BE">
            <w:pPr>
              <w:spacing w:line="520" w:lineRule="exact"/>
              <w:ind w:firstLine="480"/>
              <w:rPr>
                <w:rFonts w:hint="eastAsia" w:eastAsia="宋体"/>
                <w:bCs/>
                <w:lang w:eastAsia="zh-CN"/>
              </w:rPr>
            </w:pPr>
            <w:r>
              <w:rPr>
                <w:rFonts w:hint="eastAsia"/>
                <w:bCs/>
                <w:lang w:eastAsia="zh-CN"/>
              </w:rPr>
              <w:t>综上，雕花生产线颗粒物产生量为</w:t>
            </w:r>
            <w:r>
              <w:rPr>
                <w:rFonts w:hint="eastAsia"/>
                <w:bCs/>
              </w:rPr>
              <w:t>0.</w:t>
            </w:r>
            <w:r>
              <w:rPr>
                <w:rFonts w:hint="eastAsia"/>
                <w:bCs/>
                <w:lang w:val="en-US" w:eastAsia="zh-CN"/>
              </w:rPr>
              <w:t>2448</w:t>
            </w:r>
            <w:r>
              <w:rPr>
                <w:rFonts w:hint="eastAsia"/>
                <w:bCs/>
              </w:rPr>
              <w:t>t/a，挥发性有机物产生量为0.0485t/a</w:t>
            </w:r>
            <w:r>
              <w:rPr>
                <w:rFonts w:hint="eastAsia"/>
                <w:bCs/>
                <w:lang w:eastAsia="zh-CN"/>
              </w:rPr>
              <w:t>，</w:t>
            </w:r>
            <w:r>
              <w:rPr>
                <w:rFonts w:hint="eastAsia"/>
                <w:bCs/>
              </w:rPr>
              <w:t>挥发性有机废气以非甲烷总烃计。</w:t>
            </w:r>
          </w:p>
          <w:p w14:paraId="370BDA3D">
            <w:pPr>
              <w:pStyle w:val="2"/>
              <w:spacing w:before="0" w:after="0" w:line="520" w:lineRule="exact"/>
              <w:ind w:firstLine="482" w:firstLineChars="200"/>
              <w:jc w:val="left"/>
              <w:rPr>
                <w:rFonts w:eastAsia="宋体"/>
                <w:bCs w:val="0"/>
                <w:sz w:val="24"/>
              </w:rPr>
            </w:pPr>
            <w:r>
              <w:rPr>
                <w:rFonts w:hint="eastAsia" w:eastAsia="宋体"/>
                <w:bCs w:val="0"/>
                <w:sz w:val="24"/>
              </w:rPr>
              <w:t>5</w:t>
            </w:r>
            <w:r>
              <w:rPr>
                <w:rFonts w:eastAsia="宋体"/>
                <w:bCs w:val="0"/>
                <w:sz w:val="24"/>
              </w:rPr>
              <w:t>﹥</w:t>
            </w:r>
            <w:r>
              <w:rPr>
                <w:rFonts w:hint="eastAsia" w:eastAsia="宋体"/>
                <w:bCs w:val="0"/>
                <w:sz w:val="24"/>
              </w:rPr>
              <w:t>加装口袋</w:t>
            </w:r>
            <w:r>
              <w:rPr>
                <w:rFonts w:eastAsia="宋体"/>
                <w:bCs w:val="0"/>
                <w:sz w:val="24"/>
              </w:rPr>
              <w:t>生产线</w:t>
            </w:r>
            <w:r>
              <w:rPr>
                <w:rFonts w:hint="eastAsia" w:eastAsia="宋体"/>
                <w:bCs w:val="0"/>
                <w:sz w:val="24"/>
              </w:rPr>
              <w:t>开口</w:t>
            </w:r>
            <w:r>
              <w:rPr>
                <w:rFonts w:eastAsia="宋体"/>
                <w:bCs w:val="0"/>
                <w:sz w:val="24"/>
              </w:rPr>
              <w:t>工序产生的废气源强分析</w:t>
            </w:r>
          </w:p>
          <w:p w14:paraId="5C6B55EC">
            <w:pPr>
              <w:pStyle w:val="2"/>
              <w:spacing w:before="0" w:after="0" w:line="520" w:lineRule="exact"/>
              <w:ind w:firstLine="480" w:firstLineChars="200"/>
              <w:jc w:val="left"/>
              <w:rPr>
                <w:rFonts w:eastAsia="宋体"/>
                <w:b w:val="0"/>
                <w:sz w:val="24"/>
              </w:rPr>
            </w:pPr>
            <w:r>
              <w:rPr>
                <w:rFonts w:eastAsia="宋体"/>
                <w:b w:val="0"/>
                <w:sz w:val="24"/>
              </w:rPr>
              <w:t>项目加装口袋生产线</w:t>
            </w:r>
            <w:r>
              <w:rPr>
                <w:rFonts w:hint="eastAsia" w:eastAsia="宋体"/>
                <w:b w:val="0"/>
                <w:sz w:val="24"/>
              </w:rPr>
              <w:t>利用</w:t>
            </w:r>
            <w:r>
              <w:rPr>
                <w:rFonts w:hint="eastAsia" w:eastAsia="宋体"/>
                <w:b w:val="0"/>
                <w:sz w:val="24"/>
                <w:lang w:eastAsia="zh-CN"/>
              </w:rPr>
              <w:t>镭射机</w:t>
            </w:r>
            <w:r>
              <w:rPr>
                <w:rFonts w:eastAsia="宋体"/>
                <w:b w:val="0"/>
                <w:sz w:val="24"/>
              </w:rPr>
              <w:t>开口工序利用高能量激光束对基材进行</w:t>
            </w:r>
            <w:r>
              <w:rPr>
                <w:rFonts w:hint="eastAsia" w:eastAsia="宋体"/>
                <w:b w:val="0"/>
                <w:sz w:val="24"/>
              </w:rPr>
              <w:t>开口</w:t>
            </w:r>
            <w:r>
              <w:rPr>
                <w:rFonts w:eastAsia="宋体"/>
                <w:b w:val="0"/>
                <w:sz w:val="24"/>
              </w:rPr>
              <w:t>，雕刻温度为</w:t>
            </w:r>
            <w:r>
              <w:rPr>
                <w:b w:val="0"/>
                <w:sz w:val="24"/>
              </w:rPr>
              <w:t>2</w:t>
            </w:r>
            <w:r>
              <w:rPr>
                <w:rFonts w:hint="eastAsia"/>
                <w:b w:val="0"/>
                <w:sz w:val="24"/>
              </w:rPr>
              <w:t>0</w:t>
            </w:r>
            <w:r>
              <w:rPr>
                <w:b w:val="0"/>
                <w:sz w:val="24"/>
              </w:rPr>
              <w:t>0℃</w:t>
            </w:r>
            <w:r>
              <w:rPr>
                <w:rFonts w:eastAsia="宋体"/>
                <w:b w:val="0"/>
                <w:sz w:val="24"/>
              </w:rPr>
              <w:t>，</w:t>
            </w:r>
            <w:r>
              <w:rPr>
                <w:rFonts w:hint="eastAsia" w:eastAsia="宋体"/>
                <w:b w:val="0"/>
                <w:sz w:val="24"/>
              </w:rPr>
              <w:t>开口</w:t>
            </w:r>
            <w:r>
              <w:rPr>
                <w:rFonts w:eastAsia="宋体"/>
                <w:b w:val="0"/>
                <w:sz w:val="24"/>
              </w:rPr>
              <w:t>过程会产生颗粒物和挥发性有机废气。</w:t>
            </w:r>
          </w:p>
          <w:p w14:paraId="5C00BE19">
            <w:pPr>
              <w:pStyle w:val="2"/>
              <w:spacing w:before="0" w:after="0" w:line="520" w:lineRule="exact"/>
              <w:ind w:firstLine="480" w:firstLineChars="200"/>
              <w:jc w:val="left"/>
              <w:rPr>
                <w:rFonts w:eastAsia="宋体"/>
                <w:b w:val="0"/>
                <w:sz w:val="24"/>
              </w:rPr>
            </w:pPr>
            <w:r>
              <w:rPr>
                <w:rFonts w:eastAsia="宋体"/>
                <w:b w:val="0"/>
                <w:sz w:val="24"/>
              </w:rPr>
              <w:t>本评价参照《排放源统计调查产排污核算和系数手册》（“1713 棉纺织及印染精加工行业系数手册”），整理工序挥发性有机废气的产生量为产污系数为161.80g/t·产品；颗粒物的产生量为产污系数为408.04g/t·产品，本项目年加工镭射雕花布料为</w:t>
            </w:r>
            <w:r>
              <w:rPr>
                <w:rFonts w:hint="eastAsia" w:eastAsia="宋体"/>
                <w:b w:val="0"/>
                <w:sz w:val="24"/>
              </w:rPr>
              <w:t>2</w:t>
            </w:r>
            <w:r>
              <w:rPr>
                <w:rFonts w:eastAsia="宋体"/>
                <w:b w:val="0"/>
                <w:sz w:val="24"/>
              </w:rPr>
              <w:t>0万件，合计产量为</w:t>
            </w:r>
            <w:r>
              <w:rPr>
                <w:rFonts w:hint="eastAsia" w:eastAsia="宋体"/>
                <w:b w:val="0"/>
                <w:sz w:val="24"/>
              </w:rPr>
              <w:t>6</w:t>
            </w:r>
            <w:r>
              <w:rPr>
                <w:rFonts w:eastAsia="宋体"/>
                <w:b w:val="0"/>
                <w:sz w:val="24"/>
              </w:rPr>
              <w:t>0t/a，则颗粒物产生量为0.0</w:t>
            </w:r>
            <w:r>
              <w:rPr>
                <w:rFonts w:hint="eastAsia" w:eastAsia="宋体"/>
                <w:b w:val="0"/>
                <w:sz w:val="24"/>
              </w:rPr>
              <w:t>245</w:t>
            </w:r>
            <w:r>
              <w:rPr>
                <w:rFonts w:eastAsia="宋体"/>
                <w:b w:val="0"/>
                <w:sz w:val="24"/>
              </w:rPr>
              <w:t>t/a，挥发性有机物产生量为0.0</w:t>
            </w:r>
            <w:r>
              <w:rPr>
                <w:rFonts w:hint="eastAsia" w:eastAsia="宋体"/>
                <w:b w:val="0"/>
                <w:sz w:val="24"/>
              </w:rPr>
              <w:t>097</w:t>
            </w:r>
            <w:r>
              <w:rPr>
                <w:rFonts w:eastAsia="宋体"/>
                <w:b w:val="0"/>
                <w:sz w:val="24"/>
              </w:rPr>
              <w:t>t/a，挥发性有机废气以非甲烷总烃计。</w:t>
            </w:r>
          </w:p>
          <w:p w14:paraId="5DEE4A8B">
            <w:pPr>
              <w:pStyle w:val="100"/>
              <w:spacing w:line="520" w:lineRule="exact"/>
              <w:ind w:firstLine="482"/>
              <w:rPr>
                <w:b/>
                <w:bCs/>
                <w:lang w:val="en-GB"/>
              </w:rPr>
            </w:pPr>
            <w:r>
              <w:rPr>
                <w:rFonts w:hint="eastAsia"/>
                <w:b/>
                <w:bCs/>
                <w:lang w:val="en-GB"/>
              </w:rPr>
              <w:t>（</w:t>
            </w:r>
            <w:r>
              <w:rPr>
                <w:rFonts w:hint="eastAsia"/>
                <w:b/>
                <w:bCs/>
              </w:rPr>
              <w:t>2</w:t>
            </w:r>
            <w:r>
              <w:rPr>
                <w:rFonts w:hint="eastAsia"/>
                <w:b/>
                <w:bCs/>
                <w:lang w:val="en-GB"/>
              </w:rPr>
              <w:t>）</w:t>
            </w:r>
            <w:r>
              <w:rPr>
                <w:b/>
                <w:bCs/>
                <w:lang w:val="en-GB"/>
              </w:rPr>
              <w:t>废气处理措施</w:t>
            </w:r>
          </w:p>
          <w:p w14:paraId="1DF49E13">
            <w:pPr>
              <w:adjustRightInd w:val="0"/>
              <w:snapToGrid w:val="0"/>
              <w:spacing w:line="520" w:lineRule="exact"/>
              <w:ind w:firstLine="482"/>
              <w:rPr>
                <w:kern w:val="0"/>
              </w:rPr>
            </w:pPr>
            <w:r>
              <w:rPr>
                <w:rFonts w:hint="eastAsia"/>
                <w:b/>
                <w:bCs/>
                <w:lang w:val="en-GB"/>
              </w:rPr>
              <w:t>1﹥喷墨生产线废气处理措施</w:t>
            </w:r>
          </w:p>
          <w:p w14:paraId="482AEC39">
            <w:pPr>
              <w:spacing w:line="520" w:lineRule="exact"/>
              <w:ind w:firstLine="480"/>
            </w:pPr>
            <w:r>
              <w:rPr>
                <w:rFonts w:hint="eastAsia"/>
              </w:rPr>
              <w:t>项目建设喷墨印花机1台</w:t>
            </w:r>
            <w:r>
              <w:t>、</w:t>
            </w:r>
            <w:r>
              <w:rPr>
                <w:rFonts w:hint="eastAsia"/>
              </w:rPr>
              <w:t>烘干机1台</w:t>
            </w:r>
            <w:r>
              <w:t>，</w:t>
            </w:r>
            <w:r>
              <w:rPr>
                <w:rFonts w:hint="eastAsia"/>
              </w:rPr>
              <w:t>印花生产线二次密闭</w:t>
            </w:r>
            <w:r>
              <w:rPr>
                <w:rFonts w:hint="eastAsia"/>
                <w:lang w:eastAsia="zh-CN"/>
              </w:rPr>
              <w:t>，负压收集</w:t>
            </w:r>
            <w:r>
              <w:rPr>
                <w:rFonts w:hint="eastAsia"/>
              </w:rPr>
              <w:t>，喷墨印花机上方</w:t>
            </w:r>
            <w:r>
              <w:t>设置顶吸式集气罩、</w:t>
            </w:r>
            <w:r>
              <w:rPr>
                <w:rFonts w:hint="eastAsia"/>
              </w:rPr>
              <w:t>烘干机进出口</w:t>
            </w:r>
            <w:r>
              <w:t>上方设置集气罩，</w:t>
            </w:r>
            <w:r>
              <w:rPr>
                <w:rFonts w:hint="eastAsia"/>
              </w:rPr>
              <w:t>水性油墨桶</w:t>
            </w:r>
            <w:r>
              <w:t>加盖密闭保存，密闭转运至印</w:t>
            </w:r>
            <w:r>
              <w:rPr>
                <w:rFonts w:hint="eastAsia"/>
              </w:rPr>
              <w:t>花</w:t>
            </w:r>
            <w:r>
              <w:t>车间，通过自动供墨系统，利用软管自动泵</w:t>
            </w:r>
            <w:r>
              <w:rPr>
                <w:rFonts w:hint="eastAsia"/>
              </w:rPr>
              <w:t>至</w:t>
            </w:r>
            <w:r>
              <w:t>密闭墨槽，密闭盖仅留有软管的进出口，供墨</w:t>
            </w:r>
            <w:r>
              <w:rPr>
                <w:rFonts w:hint="eastAsia"/>
              </w:rPr>
              <w:t>、印花、烘干</w:t>
            </w:r>
            <w:r>
              <w:t>工序产生的废气经集气罩收集引至活性炭吸附/脱附-催化燃烧装置进行处理。</w:t>
            </w:r>
          </w:p>
          <w:p w14:paraId="433E8C64">
            <w:pPr>
              <w:adjustRightInd w:val="0"/>
              <w:snapToGrid w:val="0"/>
              <w:spacing w:line="520" w:lineRule="exact"/>
              <w:ind w:firstLine="482"/>
              <w:rPr>
                <w:kern w:val="0"/>
              </w:rPr>
            </w:pPr>
            <w:r>
              <w:rPr>
                <w:rFonts w:hint="eastAsia"/>
                <w:b/>
                <w:bCs/>
              </w:rPr>
              <w:t>2</w:t>
            </w:r>
            <w:r>
              <w:rPr>
                <w:rFonts w:hint="eastAsia"/>
                <w:b/>
                <w:bCs/>
                <w:lang w:val="en-GB"/>
              </w:rPr>
              <w:t>﹥压条生产线废气处理措施</w:t>
            </w:r>
          </w:p>
          <w:p w14:paraId="0CAED809">
            <w:pPr>
              <w:spacing w:line="520" w:lineRule="exact"/>
              <w:ind w:firstLine="480"/>
            </w:pPr>
            <w:r>
              <w:rPr>
                <w:rFonts w:hint="eastAsia"/>
              </w:rPr>
              <w:t>项目建设粘合机5台，复合工序二次密闭</w:t>
            </w:r>
            <w:r>
              <w:rPr>
                <w:rFonts w:hint="eastAsia"/>
                <w:lang w:eastAsia="zh-CN"/>
              </w:rPr>
              <w:t>，负压收集</w:t>
            </w:r>
            <w:r>
              <w:rPr>
                <w:rFonts w:hint="eastAsia"/>
              </w:rPr>
              <w:t>，粘合机上方</w:t>
            </w:r>
            <w:r>
              <w:t>设置顶吸式集气罩，</w:t>
            </w:r>
            <w:r>
              <w:rPr>
                <w:rFonts w:hint="eastAsia"/>
              </w:rPr>
              <w:t>胶</w:t>
            </w:r>
            <w:r>
              <w:t>桶加盖密闭保存，密闭转运至</w:t>
            </w:r>
            <w:r>
              <w:rPr>
                <w:rFonts w:hint="eastAsia"/>
              </w:rPr>
              <w:t>压条</w:t>
            </w:r>
            <w:r>
              <w:t>车间，通过自动供</w:t>
            </w:r>
            <w:r>
              <w:rPr>
                <w:rFonts w:hint="eastAsia"/>
              </w:rPr>
              <w:t>胶</w:t>
            </w:r>
            <w:r>
              <w:t>系统，利用软管自动泵</w:t>
            </w:r>
            <w:r>
              <w:rPr>
                <w:rFonts w:hint="eastAsia"/>
              </w:rPr>
              <w:t>至密闭</w:t>
            </w:r>
            <w:r>
              <w:t>胶槽，密闭盖仅留有软管的进出口，供</w:t>
            </w:r>
            <w:r>
              <w:rPr>
                <w:rFonts w:hint="eastAsia"/>
              </w:rPr>
              <w:t>胶、复合</w:t>
            </w:r>
            <w:r>
              <w:t>工序产生的废气经集气罩收集引至活性炭吸附/脱附-催化燃烧装置进行处理。</w:t>
            </w:r>
          </w:p>
          <w:p w14:paraId="796575B9">
            <w:pPr>
              <w:adjustRightInd w:val="0"/>
              <w:snapToGrid w:val="0"/>
              <w:spacing w:line="520" w:lineRule="exact"/>
              <w:ind w:firstLine="482"/>
              <w:rPr>
                <w:kern w:val="0"/>
              </w:rPr>
            </w:pPr>
            <w:r>
              <w:rPr>
                <w:rFonts w:hint="eastAsia"/>
                <w:b/>
                <w:bCs/>
              </w:rPr>
              <w:t>3</w:t>
            </w:r>
            <w:r>
              <w:rPr>
                <w:rFonts w:hint="eastAsia"/>
                <w:b/>
                <w:bCs/>
                <w:lang w:val="en-GB"/>
              </w:rPr>
              <w:t>﹥高周波压花生产线废气处理措施</w:t>
            </w:r>
          </w:p>
          <w:p w14:paraId="74A85B7E">
            <w:pPr>
              <w:spacing w:line="520" w:lineRule="exact"/>
              <w:ind w:firstLine="480"/>
            </w:pPr>
            <w:r>
              <w:rPr>
                <w:rFonts w:hint="eastAsia"/>
              </w:rPr>
              <w:t>项目建设高周波熔接机15台，</w:t>
            </w:r>
            <w:r>
              <w:rPr>
                <w:rFonts w:hint="eastAsia"/>
                <w:bCs/>
                <w:lang w:val="en-GB"/>
              </w:rPr>
              <w:t>高周波压花生产线</w:t>
            </w:r>
            <w:r>
              <w:rPr>
                <w:rFonts w:hint="eastAsia"/>
              </w:rPr>
              <w:t>二次密闭</w:t>
            </w:r>
            <w:r>
              <w:rPr>
                <w:rFonts w:hint="eastAsia"/>
                <w:lang w:eastAsia="zh-CN"/>
              </w:rPr>
              <w:t>，负压收集</w:t>
            </w:r>
            <w:r>
              <w:rPr>
                <w:rFonts w:hint="eastAsia"/>
              </w:rPr>
              <w:t>，高周波熔接机上方设置顶吸式集气罩，</w:t>
            </w:r>
            <w:r>
              <w:rPr>
                <w:rFonts w:hint="eastAsia"/>
                <w:bCs/>
              </w:rPr>
              <w:t>风冷隧道采取负压吸风，熔接、压花、冷却工序产生的废气先经</w:t>
            </w:r>
            <w:r>
              <w:rPr>
                <w:rFonts w:hint="eastAsia"/>
                <w:bCs/>
                <w:lang w:eastAsia="zh-CN"/>
              </w:rPr>
              <w:t>袋式除尘器</w:t>
            </w:r>
            <w:r>
              <w:rPr>
                <w:rFonts w:hint="eastAsia"/>
                <w:bCs/>
              </w:rPr>
              <w:t>预处理，然后</w:t>
            </w:r>
            <w:r>
              <w:t>引至活性炭吸附/脱附-催化燃烧装置进行处理。</w:t>
            </w:r>
          </w:p>
          <w:p w14:paraId="3D8CF548">
            <w:pPr>
              <w:adjustRightInd w:val="0"/>
              <w:snapToGrid w:val="0"/>
              <w:spacing w:line="520" w:lineRule="exact"/>
              <w:ind w:firstLine="482"/>
              <w:rPr>
                <w:kern w:val="0"/>
              </w:rPr>
            </w:pPr>
            <w:r>
              <w:rPr>
                <w:rFonts w:hint="eastAsia"/>
                <w:b/>
                <w:bCs/>
              </w:rPr>
              <w:t>4</w:t>
            </w:r>
            <w:r>
              <w:rPr>
                <w:rFonts w:hint="eastAsia"/>
                <w:b/>
                <w:bCs/>
                <w:lang w:val="en-GB"/>
              </w:rPr>
              <w:t>﹥高镭射雕花生产线废气处理措施</w:t>
            </w:r>
          </w:p>
          <w:p w14:paraId="01D5BFE6">
            <w:pPr>
              <w:spacing w:line="520" w:lineRule="exact"/>
              <w:ind w:firstLine="480"/>
            </w:pPr>
            <w:r>
              <w:rPr>
                <w:rFonts w:hint="eastAsia"/>
              </w:rPr>
              <w:t>项目高镭射雕花和口袋开口均利用镭射机完成，项目建设镭射机12台，</w:t>
            </w:r>
            <w:r>
              <w:rPr>
                <w:rFonts w:hint="eastAsia"/>
                <w:bCs/>
                <w:lang w:val="en-GB"/>
              </w:rPr>
              <w:t>镭射雕花</w:t>
            </w:r>
            <w:r>
              <w:rPr>
                <w:rFonts w:hint="eastAsia"/>
              </w:rPr>
              <w:t>工序二次密闭，</w:t>
            </w:r>
            <w:r>
              <w:rPr>
                <w:rFonts w:hint="eastAsia"/>
                <w:lang w:eastAsia="zh-CN"/>
              </w:rPr>
              <w:t>负压收集，</w:t>
            </w:r>
            <w:r>
              <w:rPr>
                <w:rFonts w:hint="eastAsia"/>
              </w:rPr>
              <w:t>镭射机上方设置</w:t>
            </w:r>
            <w:r>
              <w:t>顶吸式</w:t>
            </w:r>
            <w:r>
              <w:rPr>
                <w:rFonts w:hint="eastAsia"/>
              </w:rPr>
              <w:t>集气罩，</w:t>
            </w:r>
            <w:r>
              <w:rPr>
                <w:rFonts w:hint="eastAsia"/>
                <w:bCs/>
              </w:rPr>
              <w:t>雕花、开口工序产生的废气先经</w:t>
            </w:r>
            <w:r>
              <w:rPr>
                <w:rFonts w:hint="eastAsia"/>
                <w:bCs/>
                <w:lang w:eastAsia="zh-CN"/>
              </w:rPr>
              <w:t>袋式除尘器</w:t>
            </w:r>
            <w:r>
              <w:rPr>
                <w:rFonts w:hint="eastAsia"/>
                <w:bCs/>
              </w:rPr>
              <w:t>预处理，然后</w:t>
            </w:r>
            <w:r>
              <w:t>引至活性炭吸附/脱附-催化燃烧装置进行处理。</w:t>
            </w:r>
          </w:p>
          <w:p w14:paraId="0FB23374">
            <w:pPr>
              <w:pStyle w:val="100"/>
              <w:spacing w:line="520" w:lineRule="exact"/>
              <w:ind w:firstLine="482"/>
            </w:pPr>
            <w:r>
              <w:rPr>
                <w:rFonts w:hint="eastAsia"/>
                <w:b/>
                <w:bCs/>
                <w:szCs w:val="24"/>
              </w:rPr>
              <w:t>（3）</w:t>
            </w:r>
            <w:r>
              <w:rPr>
                <w:rFonts w:hint="eastAsia"/>
                <w:b/>
                <w:bCs/>
              </w:rPr>
              <w:t>风机风量核算</w:t>
            </w:r>
          </w:p>
          <w:p w14:paraId="50472771">
            <w:pPr>
              <w:pStyle w:val="2"/>
              <w:spacing w:before="0" w:after="0" w:line="520" w:lineRule="exact"/>
              <w:ind w:firstLine="480" w:firstLineChars="200"/>
              <w:jc w:val="left"/>
            </w:pPr>
            <w:r>
              <w:rPr>
                <w:rFonts w:hint="eastAsia" w:eastAsia="宋体"/>
                <w:b w:val="0"/>
                <w:bCs w:val="0"/>
                <w:color w:val="auto"/>
                <w:kern w:val="2"/>
                <w:sz w:val="24"/>
                <w:szCs w:val="24"/>
              </w:rPr>
              <w:t>项目</w:t>
            </w:r>
            <w:r>
              <w:rPr>
                <w:rFonts w:hint="eastAsia" w:eastAsia="宋体"/>
                <w:b w:val="0"/>
                <w:bCs w:val="0"/>
                <w:color w:val="auto"/>
                <w:kern w:val="2"/>
                <w:sz w:val="24"/>
                <w:szCs w:val="24"/>
                <w:lang w:eastAsia="zh-CN"/>
              </w:rPr>
              <w:t>喷墨</w:t>
            </w:r>
            <w:r>
              <w:rPr>
                <w:rFonts w:hint="eastAsia" w:eastAsia="宋体"/>
                <w:b w:val="0"/>
                <w:bCs w:val="0"/>
                <w:color w:val="auto"/>
                <w:kern w:val="2"/>
                <w:sz w:val="24"/>
                <w:szCs w:val="24"/>
                <w:lang w:val="en-GB" w:eastAsia="zh-CN"/>
              </w:rPr>
              <w:t>生产线、压条工序、高周波压花工序、镭射雕花工序二次密闭，负压收集，</w:t>
            </w:r>
            <w:r>
              <w:rPr>
                <w:rFonts w:hint="eastAsia" w:eastAsia="宋体"/>
                <w:b w:val="0"/>
                <w:bCs w:val="0"/>
                <w:color w:val="auto"/>
                <w:kern w:val="2"/>
                <w:sz w:val="24"/>
                <w:szCs w:val="24"/>
              </w:rPr>
              <w:t>喷墨印花机</w:t>
            </w:r>
            <w:r>
              <w:rPr>
                <w:rFonts w:hint="eastAsia" w:eastAsia="宋体"/>
                <w:b w:val="0"/>
                <w:bCs w:val="0"/>
                <w:color w:val="auto"/>
                <w:kern w:val="2"/>
                <w:sz w:val="24"/>
                <w:szCs w:val="24"/>
                <w:lang w:eastAsia="zh-CN"/>
              </w:rPr>
              <w:t>、</w:t>
            </w:r>
            <w:r>
              <w:rPr>
                <w:rFonts w:hint="eastAsia" w:eastAsia="宋体"/>
                <w:b w:val="0"/>
                <w:bCs w:val="0"/>
                <w:color w:val="auto"/>
                <w:kern w:val="2"/>
                <w:sz w:val="24"/>
                <w:szCs w:val="24"/>
              </w:rPr>
              <w:t>烘干机</w:t>
            </w:r>
            <w:r>
              <w:rPr>
                <w:rFonts w:hint="eastAsia" w:eastAsia="宋体"/>
                <w:b w:val="0"/>
                <w:bCs w:val="0"/>
                <w:color w:val="auto"/>
                <w:kern w:val="2"/>
                <w:sz w:val="24"/>
                <w:szCs w:val="24"/>
                <w:lang w:eastAsia="zh-CN"/>
              </w:rPr>
              <w:t>、</w:t>
            </w:r>
            <w:r>
              <w:rPr>
                <w:rFonts w:hint="eastAsia" w:eastAsia="宋体"/>
                <w:b w:val="0"/>
                <w:bCs w:val="0"/>
                <w:color w:val="auto"/>
                <w:kern w:val="2"/>
                <w:sz w:val="24"/>
                <w:szCs w:val="24"/>
              </w:rPr>
              <w:t>粘合机</w:t>
            </w:r>
            <w:r>
              <w:rPr>
                <w:rFonts w:hint="eastAsia" w:eastAsia="宋体"/>
                <w:b w:val="0"/>
                <w:bCs w:val="0"/>
                <w:color w:val="auto"/>
                <w:kern w:val="2"/>
                <w:sz w:val="24"/>
                <w:szCs w:val="24"/>
                <w:lang w:eastAsia="zh-CN"/>
              </w:rPr>
              <w:t>、</w:t>
            </w:r>
            <w:r>
              <w:rPr>
                <w:rFonts w:hint="eastAsia" w:eastAsia="宋体"/>
                <w:b w:val="0"/>
                <w:bCs w:val="0"/>
                <w:color w:val="auto"/>
                <w:kern w:val="2"/>
                <w:sz w:val="24"/>
                <w:szCs w:val="24"/>
              </w:rPr>
              <w:t>高周波熔接机</w:t>
            </w:r>
            <w:r>
              <w:rPr>
                <w:rFonts w:hint="eastAsia" w:eastAsia="宋体"/>
                <w:b w:val="0"/>
                <w:bCs w:val="0"/>
                <w:color w:val="auto"/>
                <w:kern w:val="2"/>
                <w:sz w:val="24"/>
                <w:szCs w:val="24"/>
                <w:lang w:eastAsia="zh-CN"/>
              </w:rPr>
              <w:t>、</w:t>
            </w:r>
            <w:r>
              <w:rPr>
                <w:rFonts w:hint="eastAsia" w:eastAsia="宋体"/>
                <w:b w:val="0"/>
                <w:bCs w:val="0"/>
                <w:color w:val="auto"/>
                <w:kern w:val="2"/>
                <w:sz w:val="24"/>
                <w:szCs w:val="24"/>
              </w:rPr>
              <w:t>镭射机</w:t>
            </w:r>
            <w:r>
              <w:rPr>
                <w:rFonts w:hint="eastAsia" w:eastAsia="宋体"/>
                <w:b w:val="0"/>
                <w:bCs w:val="0"/>
                <w:color w:val="auto"/>
                <w:kern w:val="2"/>
                <w:sz w:val="24"/>
                <w:szCs w:val="24"/>
                <w:lang w:eastAsia="zh-CN"/>
              </w:rPr>
              <w:t>上方均设置集气罩。喷墨</w:t>
            </w:r>
            <w:r>
              <w:rPr>
                <w:rFonts w:hint="eastAsia" w:eastAsia="宋体"/>
                <w:b w:val="0"/>
                <w:bCs w:val="0"/>
                <w:color w:val="auto"/>
                <w:kern w:val="2"/>
                <w:sz w:val="24"/>
                <w:szCs w:val="24"/>
                <w:lang w:val="en-GB" w:eastAsia="zh-CN"/>
              </w:rPr>
              <w:t>生产线密闭空间</w:t>
            </w:r>
            <w:r>
              <w:rPr>
                <w:rFonts w:hint="eastAsia" w:eastAsia="宋体"/>
                <w:b w:val="0"/>
                <w:bCs w:val="0"/>
                <w:color w:val="auto"/>
                <w:kern w:val="2"/>
                <w:sz w:val="24"/>
                <w:szCs w:val="24"/>
                <w:lang w:val="en-US" w:eastAsia="zh-CN"/>
              </w:rPr>
              <w:t>300</w:t>
            </w:r>
            <w:r>
              <w:rPr>
                <w:rFonts w:hint="eastAsia" w:eastAsia="宋体"/>
                <w:b w:val="0"/>
                <w:bCs w:val="0"/>
                <w:color w:val="auto"/>
                <w:kern w:val="2"/>
                <w:sz w:val="24"/>
                <w:szCs w:val="24"/>
                <w:lang w:val="en-GB" w:eastAsia="zh-CN"/>
              </w:rPr>
              <w:t>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vertAlign w:val="baseline"/>
                <w:lang w:val="en-GB" w:eastAsia="zh-CN"/>
              </w:rPr>
              <w:t>、</w:t>
            </w:r>
            <w:r>
              <w:rPr>
                <w:rFonts w:hint="eastAsia" w:eastAsia="宋体"/>
                <w:b w:val="0"/>
                <w:bCs w:val="0"/>
                <w:color w:val="auto"/>
                <w:kern w:val="2"/>
                <w:sz w:val="24"/>
                <w:szCs w:val="24"/>
                <w:lang w:val="en-GB" w:eastAsia="zh-CN"/>
              </w:rPr>
              <w:t>压条工序密闭空间</w:t>
            </w:r>
            <w:r>
              <w:rPr>
                <w:rFonts w:hint="eastAsia" w:eastAsia="宋体"/>
                <w:b w:val="0"/>
                <w:bCs w:val="0"/>
                <w:color w:val="auto"/>
                <w:kern w:val="2"/>
                <w:sz w:val="24"/>
                <w:szCs w:val="24"/>
                <w:lang w:val="en-US" w:eastAsia="zh-CN"/>
              </w:rPr>
              <w:t>100</w:t>
            </w:r>
            <w:r>
              <w:rPr>
                <w:rFonts w:hint="eastAsia" w:eastAsia="宋体"/>
                <w:b w:val="0"/>
                <w:bCs w:val="0"/>
                <w:color w:val="auto"/>
                <w:kern w:val="2"/>
                <w:sz w:val="24"/>
                <w:szCs w:val="24"/>
                <w:lang w:val="en-GB" w:eastAsia="zh-CN"/>
              </w:rPr>
              <w:t>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vertAlign w:val="baseline"/>
                <w:lang w:val="en-GB" w:eastAsia="zh-CN"/>
              </w:rPr>
              <w:t>、</w:t>
            </w:r>
            <w:r>
              <w:rPr>
                <w:rFonts w:hint="eastAsia" w:eastAsia="宋体"/>
                <w:b w:val="0"/>
                <w:bCs w:val="0"/>
                <w:color w:val="auto"/>
                <w:kern w:val="2"/>
                <w:sz w:val="24"/>
                <w:szCs w:val="24"/>
                <w:lang w:val="en-GB" w:eastAsia="zh-CN"/>
              </w:rPr>
              <w:t>压花工序密闭空间</w:t>
            </w:r>
            <w:r>
              <w:rPr>
                <w:rFonts w:hint="eastAsia" w:eastAsia="宋体"/>
                <w:b w:val="0"/>
                <w:bCs w:val="0"/>
                <w:color w:val="auto"/>
                <w:kern w:val="2"/>
                <w:sz w:val="24"/>
                <w:szCs w:val="24"/>
                <w:lang w:val="en-US" w:eastAsia="zh-CN"/>
              </w:rPr>
              <w:t>250</w:t>
            </w:r>
            <w:r>
              <w:rPr>
                <w:rFonts w:hint="eastAsia" w:eastAsia="宋体"/>
                <w:b w:val="0"/>
                <w:bCs w:val="0"/>
                <w:color w:val="auto"/>
                <w:kern w:val="2"/>
                <w:sz w:val="24"/>
                <w:szCs w:val="24"/>
                <w:lang w:val="en-GB" w:eastAsia="zh-CN"/>
              </w:rPr>
              <w:t>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vertAlign w:val="baseline"/>
                <w:lang w:val="en-GB" w:eastAsia="zh-CN"/>
              </w:rPr>
              <w:t>、</w:t>
            </w:r>
            <w:r>
              <w:rPr>
                <w:rFonts w:hint="eastAsia" w:eastAsia="宋体"/>
                <w:b w:val="0"/>
                <w:bCs w:val="0"/>
                <w:color w:val="auto"/>
                <w:kern w:val="2"/>
                <w:sz w:val="24"/>
                <w:szCs w:val="24"/>
                <w:lang w:val="en-GB" w:eastAsia="zh-CN"/>
              </w:rPr>
              <w:t>镭射雕花工序密闭空间</w:t>
            </w:r>
            <w:r>
              <w:rPr>
                <w:rFonts w:hint="eastAsia" w:eastAsia="宋体"/>
                <w:b w:val="0"/>
                <w:bCs w:val="0"/>
                <w:color w:val="auto"/>
                <w:kern w:val="2"/>
                <w:sz w:val="24"/>
                <w:szCs w:val="24"/>
                <w:lang w:val="en-US" w:eastAsia="zh-CN"/>
              </w:rPr>
              <w:t>200</w:t>
            </w:r>
            <w:r>
              <w:rPr>
                <w:rFonts w:hint="eastAsia" w:eastAsia="宋体"/>
                <w:b w:val="0"/>
                <w:bCs w:val="0"/>
                <w:color w:val="auto"/>
                <w:kern w:val="2"/>
                <w:sz w:val="24"/>
                <w:szCs w:val="24"/>
                <w:lang w:val="en-GB" w:eastAsia="zh-CN"/>
              </w:rPr>
              <w:t>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lang w:val="en-GB" w:eastAsia="zh-CN"/>
              </w:rPr>
              <w:t>，按换气次数</w:t>
            </w:r>
            <w:r>
              <w:rPr>
                <w:rFonts w:hint="eastAsia" w:eastAsia="宋体"/>
                <w:b w:val="0"/>
                <w:bCs w:val="0"/>
                <w:color w:val="auto"/>
                <w:kern w:val="2"/>
                <w:sz w:val="24"/>
                <w:szCs w:val="24"/>
                <w:lang w:val="en-US" w:eastAsia="zh-CN"/>
              </w:rPr>
              <w:t>2</w:t>
            </w:r>
            <w:r>
              <w:rPr>
                <w:rFonts w:hint="eastAsia" w:eastAsia="宋体"/>
                <w:b w:val="0"/>
                <w:bCs w:val="0"/>
                <w:color w:val="auto"/>
                <w:kern w:val="2"/>
                <w:sz w:val="24"/>
                <w:szCs w:val="24"/>
                <w:lang w:val="en-GB" w:eastAsia="zh-CN"/>
              </w:rPr>
              <w:t>0次/h计，废气风机风量为</w:t>
            </w:r>
            <w:r>
              <w:rPr>
                <w:rFonts w:hint="eastAsia" w:eastAsia="宋体"/>
                <w:b w:val="0"/>
                <w:bCs w:val="0"/>
                <w:color w:val="auto"/>
                <w:kern w:val="2"/>
                <w:sz w:val="24"/>
                <w:szCs w:val="24"/>
                <w:lang w:val="en-US" w:eastAsia="zh-CN"/>
              </w:rPr>
              <w:t>17</w:t>
            </w:r>
            <w:r>
              <w:rPr>
                <w:rFonts w:hint="eastAsia" w:eastAsia="宋体"/>
                <w:b w:val="0"/>
                <w:bCs w:val="0"/>
                <w:color w:val="auto"/>
                <w:kern w:val="2"/>
                <w:sz w:val="24"/>
                <w:szCs w:val="24"/>
                <w:lang w:val="en-GB" w:eastAsia="zh-CN"/>
              </w:rPr>
              <w:t>000m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lang w:val="en-GB" w:eastAsia="zh-CN"/>
              </w:rPr>
              <w:t>/h。高周波压花风冷隧道风量为1000m</w:t>
            </w:r>
            <w:r>
              <w:rPr>
                <w:rFonts w:hint="eastAsia" w:eastAsia="宋体"/>
                <w:b w:val="0"/>
                <w:bCs w:val="0"/>
                <w:color w:val="auto"/>
                <w:kern w:val="2"/>
                <w:sz w:val="24"/>
                <w:szCs w:val="24"/>
                <w:vertAlign w:val="superscript"/>
                <w:lang w:val="en-GB" w:eastAsia="zh-CN"/>
              </w:rPr>
              <w:t>3</w:t>
            </w:r>
            <w:r>
              <w:rPr>
                <w:rFonts w:hint="eastAsia" w:eastAsia="宋体"/>
                <w:b w:val="0"/>
                <w:bCs w:val="0"/>
                <w:color w:val="auto"/>
                <w:kern w:val="2"/>
                <w:sz w:val="24"/>
                <w:szCs w:val="24"/>
                <w:lang w:val="en-GB" w:eastAsia="zh-CN"/>
              </w:rPr>
              <w:t>/h。</w:t>
            </w:r>
          </w:p>
          <w:p w14:paraId="4A7F051F">
            <w:pPr>
              <w:spacing w:line="520" w:lineRule="exact"/>
              <w:ind w:firstLine="480"/>
              <w:rPr>
                <w:bCs/>
              </w:rPr>
            </w:pPr>
            <w:r>
              <w:rPr>
                <w:rFonts w:hint="eastAsia"/>
              </w:rPr>
              <w:t>综上，</w:t>
            </w:r>
            <w:r>
              <w:rPr>
                <w:rFonts w:hint="eastAsia"/>
                <w:lang w:eastAsia="zh-CN"/>
              </w:rPr>
              <w:t>风机</w:t>
            </w:r>
            <w:r>
              <w:rPr>
                <w:rFonts w:hint="eastAsia"/>
              </w:rPr>
              <w:t>总风量为</w:t>
            </w:r>
            <w:r>
              <w:rPr>
                <w:rFonts w:hint="eastAsia"/>
                <w:lang w:val="en-US" w:eastAsia="zh-CN"/>
              </w:rPr>
              <w:t>18</w:t>
            </w:r>
            <w:r>
              <w:rPr>
                <w:rFonts w:hint="eastAsia"/>
              </w:rPr>
              <w:t>000m</w:t>
            </w:r>
            <w:r>
              <w:rPr>
                <w:rFonts w:hint="eastAsia"/>
                <w:vertAlign w:val="superscript"/>
              </w:rPr>
              <w:t>3</w:t>
            </w:r>
            <w:r>
              <w:rPr>
                <w:rFonts w:hint="eastAsia"/>
              </w:rPr>
              <w:t>/h</w:t>
            </w:r>
            <w:r>
              <w:rPr>
                <w:rFonts w:hint="eastAsia"/>
                <w:lang w:eastAsia="zh-CN"/>
              </w:rPr>
              <w:t>，</w:t>
            </w:r>
            <w:r>
              <w:rPr>
                <w:rFonts w:hint="eastAsia"/>
              </w:rPr>
              <w:t>本评价按照</w:t>
            </w:r>
            <w:r>
              <w:rPr>
                <w:rFonts w:hint="eastAsia"/>
                <w:lang w:val="en-US" w:eastAsia="zh-CN"/>
              </w:rPr>
              <w:t>20</w:t>
            </w:r>
            <w:r>
              <w:rPr>
                <w:rFonts w:hint="eastAsia"/>
              </w:rPr>
              <w:t>000m</w:t>
            </w:r>
            <w:r>
              <w:rPr>
                <w:rFonts w:hint="eastAsia"/>
                <w:vertAlign w:val="superscript"/>
              </w:rPr>
              <w:t>3</w:t>
            </w:r>
            <w:r>
              <w:rPr>
                <w:rFonts w:hint="eastAsia"/>
              </w:rPr>
              <w:t>/h进行核算。</w:t>
            </w:r>
          </w:p>
          <w:p w14:paraId="6EA6E4E5">
            <w:pPr>
              <w:spacing w:line="520" w:lineRule="exact"/>
              <w:ind w:firstLine="482"/>
              <w:jc w:val="left"/>
              <w:rPr>
                <w:b/>
              </w:rPr>
            </w:pPr>
            <w:r>
              <w:rPr>
                <w:rFonts w:hint="eastAsia"/>
                <w:b/>
              </w:rPr>
              <w:t>（4）废气达标排放</w:t>
            </w:r>
          </w:p>
          <w:p w14:paraId="6FBE6231">
            <w:pPr>
              <w:spacing w:line="520" w:lineRule="exact"/>
              <w:ind w:firstLine="480"/>
            </w:pPr>
            <w:r>
              <w:rPr>
                <w:rFonts w:hint="eastAsia"/>
              </w:rPr>
              <w:t>项目产生废气的生产单元均二次密闭，</w:t>
            </w:r>
            <w:r>
              <w:rPr>
                <w:rFonts w:hint="eastAsia"/>
                <w:lang w:eastAsia="zh-CN"/>
              </w:rPr>
              <w:t>负压收集，</w:t>
            </w:r>
            <w:r>
              <w:rPr>
                <w:rFonts w:hint="eastAsia"/>
              </w:rPr>
              <w:t>生产设施上方设置集气罩，收集效率以9</w:t>
            </w:r>
            <w:r>
              <w:t>5</w:t>
            </w:r>
            <w:r>
              <w:rPr>
                <w:rFonts w:hint="eastAsia"/>
              </w:rPr>
              <w:t>%计，</w:t>
            </w:r>
            <w:r>
              <w:rPr>
                <w:rFonts w:hint="eastAsia"/>
                <w:lang w:eastAsia="zh-CN"/>
              </w:rPr>
              <w:t>袋式除尘器</w:t>
            </w:r>
            <w:r>
              <w:rPr>
                <w:rFonts w:hint="eastAsia"/>
              </w:rPr>
              <w:t>的去除效率以90%计；经查阅《吸附浓缩+催化燃烧工艺处理低浓度大风量有机废气》（《环境工程学报》第9卷第11期），采用“吸附浓缩+催化燃烧”工艺处理低浓度有机废气，活性炭吸附效率能够达到95%，催化燃烧净化效率能够达到99%。本次评价保守考虑“吸附浓缩+催化燃烧”装置对非甲烷总烃的去除效率为9</w:t>
            </w:r>
            <w:r>
              <w:t>5</w:t>
            </w:r>
            <w:r>
              <w:rPr>
                <w:rFonts w:hint="eastAsia"/>
              </w:rPr>
              <w:t>%。尾气经同1根15m排气筒DA001排放。</w:t>
            </w:r>
          </w:p>
          <w:p w14:paraId="1AE7CB37">
            <w:pPr>
              <w:spacing w:line="520" w:lineRule="exact"/>
              <w:ind w:firstLine="480"/>
              <w:jc w:val="left"/>
              <w:rPr>
                <w:rFonts w:eastAsia="黑体"/>
              </w:rPr>
            </w:pPr>
            <w:r>
              <w:rPr>
                <w:rFonts w:hint="eastAsia"/>
                <w:szCs w:val="32"/>
              </w:rPr>
              <w:t>本项目年工作300天，每天工作16小时，</w:t>
            </w:r>
            <w:r>
              <w:rPr>
                <w:rFonts w:hint="eastAsia"/>
                <w:lang w:val="en-GB"/>
              </w:rPr>
              <w:t>有机废气</w:t>
            </w:r>
            <w:r>
              <w:rPr>
                <w:rFonts w:hint="eastAsia"/>
                <w:szCs w:val="32"/>
              </w:rPr>
              <w:t>产排情况如下：</w:t>
            </w:r>
          </w:p>
          <w:p w14:paraId="746BB221">
            <w:pPr>
              <w:keepNext/>
              <w:keepLines/>
              <w:snapToGrid w:val="0"/>
              <w:spacing w:line="520" w:lineRule="exact"/>
              <w:ind w:firstLine="960" w:firstLineChars="400"/>
              <w:rPr>
                <w:b/>
                <w:bCs/>
              </w:rPr>
            </w:pPr>
            <w:r>
              <w:rPr>
                <w:rFonts w:eastAsia="黑体"/>
              </w:rPr>
              <w:t>表4-</w:t>
            </w:r>
            <w:r>
              <w:rPr>
                <w:rFonts w:hint="eastAsia"/>
              </w:rPr>
              <w:t xml:space="preserve">1      </w:t>
            </w:r>
            <w:r>
              <w:rPr>
                <w:rFonts w:eastAsia="黑体"/>
              </w:rPr>
              <w:t xml:space="preserve"> 项目有组织</w:t>
            </w:r>
            <w:r>
              <w:rPr>
                <w:rFonts w:hint="eastAsia" w:ascii="黑体" w:hAnsi="黑体" w:eastAsia="黑体" w:cs="黑体"/>
              </w:rPr>
              <w:t>废气</w:t>
            </w:r>
            <w:r>
              <w:rPr>
                <w:rFonts w:eastAsia="黑体"/>
              </w:rPr>
              <w:t>产排情况一览表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3"/>
              <w:gridCol w:w="794"/>
              <w:gridCol w:w="824"/>
              <w:gridCol w:w="884"/>
              <w:gridCol w:w="804"/>
              <w:gridCol w:w="802"/>
              <w:gridCol w:w="959"/>
              <w:gridCol w:w="794"/>
              <w:gridCol w:w="757"/>
              <w:gridCol w:w="646"/>
            </w:tblGrid>
            <w:tr w14:paraId="0C8C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vMerge w:val="restart"/>
                  <w:tcBorders>
                    <w:tl2br w:val="nil"/>
                    <w:tr2bl w:val="nil"/>
                  </w:tcBorders>
                  <w:vAlign w:val="center"/>
                </w:tcPr>
                <w:p w14:paraId="1A34FBB1">
                  <w:pPr>
                    <w:adjustRightInd w:val="0"/>
                    <w:snapToGrid w:val="0"/>
                    <w:spacing w:line="240" w:lineRule="auto"/>
                    <w:ind w:firstLine="0" w:firstLineChars="0"/>
                    <w:jc w:val="center"/>
                    <w:textAlignment w:val="baseline"/>
                    <w:rPr>
                      <w:b/>
                      <w:bCs/>
                      <w:sz w:val="21"/>
                      <w:szCs w:val="21"/>
                    </w:rPr>
                  </w:pPr>
                  <w:r>
                    <w:rPr>
                      <w:b/>
                      <w:bCs/>
                      <w:sz w:val="21"/>
                      <w:szCs w:val="21"/>
                    </w:rPr>
                    <w:t>污染源</w:t>
                  </w:r>
                </w:p>
              </w:tc>
              <w:tc>
                <w:tcPr>
                  <w:tcW w:w="795" w:type="dxa"/>
                  <w:vMerge w:val="restart"/>
                  <w:tcBorders>
                    <w:tl2br w:val="nil"/>
                    <w:tr2bl w:val="nil"/>
                  </w:tcBorders>
                  <w:vAlign w:val="center"/>
                </w:tcPr>
                <w:p w14:paraId="34933247">
                  <w:pPr>
                    <w:adjustRightInd w:val="0"/>
                    <w:snapToGrid w:val="0"/>
                    <w:spacing w:line="240" w:lineRule="auto"/>
                    <w:ind w:firstLine="0" w:firstLineChars="0"/>
                    <w:jc w:val="center"/>
                    <w:textAlignment w:val="baseline"/>
                    <w:rPr>
                      <w:b/>
                      <w:bCs/>
                      <w:sz w:val="21"/>
                      <w:szCs w:val="21"/>
                    </w:rPr>
                  </w:pPr>
                  <w:r>
                    <w:rPr>
                      <w:b/>
                      <w:bCs/>
                      <w:sz w:val="21"/>
                      <w:szCs w:val="21"/>
                    </w:rPr>
                    <w:t>污染物名称</w:t>
                  </w:r>
                </w:p>
              </w:tc>
              <w:tc>
                <w:tcPr>
                  <w:tcW w:w="2515" w:type="dxa"/>
                  <w:gridSpan w:val="3"/>
                  <w:tcBorders>
                    <w:tl2br w:val="nil"/>
                    <w:tr2bl w:val="nil"/>
                  </w:tcBorders>
                  <w:vAlign w:val="center"/>
                </w:tcPr>
                <w:p w14:paraId="1EE53CC8">
                  <w:pPr>
                    <w:adjustRightInd w:val="0"/>
                    <w:snapToGrid w:val="0"/>
                    <w:spacing w:line="240" w:lineRule="auto"/>
                    <w:ind w:firstLine="0" w:firstLineChars="0"/>
                    <w:jc w:val="center"/>
                    <w:textAlignment w:val="baseline"/>
                    <w:rPr>
                      <w:b/>
                      <w:bCs/>
                      <w:sz w:val="21"/>
                      <w:szCs w:val="21"/>
                    </w:rPr>
                  </w:pPr>
                  <w:r>
                    <w:rPr>
                      <w:b/>
                      <w:bCs/>
                      <w:sz w:val="21"/>
                      <w:szCs w:val="21"/>
                    </w:rPr>
                    <w:t>产生情况</w:t>
                  </w:r>
                </w:p>
              </w:tc>
              <w:tc>
                <w:tcPr>
                  <w:tcW w:w="1763" w:type="dxa"/>
                  <w:gridSpan w:val="2"/>
                  <w:vMerge w:val="restart"/>
                  <w:tcBorders>
                    <w:tl2br w:val="nil"/>
                    <w:tr2bl w:val="nil"/>
                  </w:tcBorders>
                  <w:vAlign w:val="center"/>
                </w:tcPr>
                <w:p w14:paraId="2D7E6483">
                  <w:pPr>
                    <w:adjustRightInd w:val="0"/>
                    <w:snapToGrid w:val="0"/>
                    <w:spacing w:line="240" w:lineRule="auto"/>
                    <w:ind w:firstLine="0" w:firstLineChars="0"/>
                    <w:jc w:val="center"/>
                    <w:textAlignment w:val="baseline"/>
                    <w:rPr>
                      <w:b/>
                      <w:bCs/>
                      <w:sz w:val="21"/>
                      <w:szCs w:val="21"/>
                    </w:rPr>
                  </w:pPr>
                  <w:r>
                    <w:rPr>
                      <w:b/>
                      <w:bCs/>
                      <w:sz w:val="21"/>
                      <w:szCs w:val="21"/>
                    </w:rPr>
                    <w:t>拟采取的处理方式</w:t>
                  </w:r>
                </w:p>
              </w:tc>
              <w:tc>
                <w:tcPr>
                  <w:tcW w:w="2200" w:type="dxa"/>
                  <w:gridSpan w:val="3"/>
                  <w:tcBorders>
                    <w:tl2br w:val="nil"/>
                    <w:tr2bl w:val="nil"/>
                  </w:tcBorders>
                  <w:vAlign w:val="center"/>
                </w:tcPr>
                <w:p w14:paraId="569A1E34">
                  <w:pPr>
                    <w:adjustRightInd w:val="0"/>
                    <w:snapToGrid w:val="0"/>
                    <w:spacing w:line="240" w:lineRule="auto"/>
                    <w:ind w:firstLine="0" w:firstLineChars="0"/>
                    <w:jc w:val="center"/>
                    <w:textAlignment w:val="baseline"/>
                    <w:rPr>
                      <w:b/>
                      <w:bCs/>
                      <w:sz w:val="21"/>
                      <w:szCs w:val="21"/>
                    </w:rPr>
                  </w:pPr>
                  <w:r>
                    <w:rPr>
                      <w:b/>
                      <w:bCs/>
                      <w:sz w:val="21"/>
                      <w:szCs w:val="21"/>
                    </w:rPr>
                    <w:t>排放情况</w:t>
                  </w:r>
                </w:p>
              </w:tc>
            </w:tr>
            <w:tr w14:paraId="5997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vMerge w:val="continue"/>
                  <w:tcBorders>
                    <w:tl2br w:val="nil"/>
                    <w:tr2bl w:val="nil"/>
                  </w:tcBorders>
                  <w:vAlign w:val="center"/>
                </w:tcPr>
                <w:p w14:paraId="4C6D0643">
                  <w:pPr>
                    <w:widowControl/>
                    <w:spacing w:line="240" w:lineRule="auto"/>
                    <w:ind w:firstLine="0" w:firstLineChars="0"/>
                    <w:jc w:val="center"/>
                    <w:rPr>
                      <w:b/>
                      <w:bCs/>
                      <w:sz w:val="21"/>
                      <w:szCs w:val="21"/>
                    </w:rPr>
                  </w:pPr>
                </w:p>
              </w:tc>
              <w:tc>
                <w:tcPr>
                  <w:tcW w:w="795" w:type="dxa"/>
                  <w:vMerge w:val="continue"/>
                  <w:tcBorders>
                    <w:tl2br w:val="nil"/>
                    <w:tr2bl w:val="nil"/>
                  </w:tcBorders>
                  <w:vAlign w:val="center"/>
                </w:tcPr>
                <w:p w14:paraId="25C51575">
                  <w:pPr>
                    <w:widowControl/>
                    <w:spacing w:line="240" w:lineRule="auto"/>
                    <w:ind w:firstLine="0" w:firstLineChars="0"/>
                    <w:jc w:val="center"/>
                    <w:rPr>
                      <w:b/>
                      <w:bCs/>
                      <w:sz w:val="21"/>
                      <w:szCs w:val="21"/>
                    </w:rPr>
                  </w:pPr>
                </w:p>
              </w:tc>
              <w:tc>
                <w:tcPr>
                  <w:tcW w:w="825" w:type="dxa"/>
                  <w:tcBorders>
                    <w:tl2br w:val="nil"/>
                    <w:tr2bl w:val="nil"/>
                  </w:tcBorders>
                  <w:vAlign w:val="center"/>
                </w:tcPr>
                <w:p w14:paraId="4A582431">
                  <w:pPr>
                    <w:adjustRightInd w:val="0"/>
                    <w:snapToGrid w:val="0"/>
                    <w:spacing w:line="240" w:lineRule="auto"/>
                    <w:ind w:firstLine="0" w:firstLineChars="0"/>
                    <w:jc w:val="center"/>
                    <w:textAlignment w:val="baseline"/>
                    <w:rPr>
                      <w:b/>
                      <w:bCs/>
                      <w:sz w:val="21"/>
                      <w:szCs w:val="21"/>
                    </w:rPr>
                  </w:pPr>
                  <w:r>
                    <w:rPr>
                      <w:b/>
                      <w:bCs/>
                      <w:sz w:val="21"/>
                      <w:szCs w:val="21"/>
                    </w:rPr>
                    <w:t>产生量t/a</w:t>
                  </w:r>
                </w:p>
              </w:tc>
              <w:tc>
                <w:tcPr>
                  <w:tcW w:w="885" w:type="dxa"/>
                  <w:tcBorders>
                    <w:tl2br w:val="nil"/>
                    <w:tr2bl w:val="nil"/>
                  </w:tcBorders>
                  <w:vAlign w:val="center"/>
                </w:tcPr>
                <w:p w14:paraId="2FDF9033">
                  <w:pPr>
                    <w:adjustRightInd w:val="0"/>
                    <w:snapToGrid w:val="0"/>
                    <w:spacing w:line="240" w:lineRule="auto"/>
                    <w:ind w:firstLine="0" w:firstLineChars="0"/>
                    <w:jc w:val="center"/>
                    <w:textAlignment w:val="baseline"/>
                    <w:rPr>
                      <w:b/>
                      <w:bCs/>
                      <w:sz w:val="21"/>
                      <w:szCs w:val="21"/>
                    </w:rPr>
                  </w:pPr>
                  <w:r>
                    <w:rPr>
                      <w:rFonts w:hint="eastAsia"/>
                      <w:b/>
                      <w:bCs/>
                      <w:sz w:val="21"/>
                      <w:szCs w:val="21"/>
                    </w:rPr>
                    <w:t>收集量t/a</w:t>
                  </w:r>
                </w:p>
              </w:tc>
              <w:tc>
                <w:tcPr>
                  <w:tcW w:w="805" w:type="dxa"/>
                  <w:tcBorders>
                    <w:tl2br w:val="nil"/>
                    <w:tr2bl w:val="nil"/>
                  </w:tcBorders>
                  <w:vAlign w:val="center"/>
                </w:tcPr>
                <w:p w14:paraId="04F9C2E2">
                  <w:pPr>
                    <w:widowControl/>
                    <w:spacing w:line="240" w:lineRule="auto"/>
                    <w:ind w:firstLine="0" w:firstLineChars="0"/>
                    <w:jc w:val="center"/>
                    <w:rPr>
                      <w:b/>
                      <w:bCs/>
                      <w:sz w:val="21"/>
                      <w:szCs w:val="21"/>
                    </w:rPr>
                  </w:pPr>
                  <w:r>
                    <w:rPr>
                      <w:b/>
                      <w:bCs/>
                      <w:sz w:val="21"/>
                      <w:szCs w:val="21"/>
                    </w:rPr>
                    <w:t>速率kg/h</w:t>
                  </w:r>
                </w:p>
              </w:tc>
              <w:tc>
                <w:tcPr>
                  <w:tcW w:w="1763" w:type="dxa"/>
                  <w:gridSpan w:val="2"/>
                  <w:vMerge w:val="continue"/>
                  <w:tcBorders>
                    <w:tl2br w:val="nil"/>
                    <w:tr2bl w:val="nil"/>
                  </w:tcBorders>
                  <w:vAlign w:val="center"/>
                </w:tcPr>
                <w:p w14:paraId="17005F99">
                  <w:pPr>
                    <w:widowControl/>
                    <w:spacing w:line="240" w:lineRule="auto"/>
                    <w:ind w:firstLine="0" w:firstLineChars="0"/>
                    <w:jc w:val="center"/>
                    <w:rPr>
                      <w:b/>
                      <w:bCs/>
                      <w:sz w:val="21"/>
                      <w:szCs w:val="21"/>
                    </w:rPr>
                  </w:pPr>
                </w:p>
              </w:tc>
              <w:tc>
                <w:tcPr>
                  <w:tcW w:w="795" w:type="dxa"/>
                  <w:tcBorders>
                    <w:tl2br w:val="nil"/>
                    <w:tr2bl w:val="nil"/>
                  </w:tcBorders>
                  <w:shd w:val="clear" w:color="auto" w:fill="auto"/>
                  <w:vAlign w:val="center"/>
                </w:tcPr>
                <w:p w14:paraId="182D9080">
                  <w:pPr>
                    <w:adjustRightInd w:val="0"/>
                    <w:snapToGrid w:val="0"/>
                    <w:spacing w:line="240" w:lineRule="auto"/>
                    <w:ind w:firstLine="0" w:firstLineChars="0"/>
                    <w:jc w:val="center"/>
                    <w:textAlignment w:val="baseline"/>
                    <w:rPr>
                      <w:b/>
                      <w:bCs/>
                      <w:sz w:val="21"/>
                      <w:szCs w:val="21"/>
                    </w:rPr>
                  </w:pPr>
                  <w:r>
                    <w:rPr>
                      <w:b/>
                      <w:bCs/>
                      <w:sz w:val="21"/>
                      <w:szCs w:val="21"/>
                    </w:rPr>
                    <w:t>排放量t/a</w:t>
                  </w:r>
                </w:p>
              </w:tc>
              <w:tc>
                <w:tcPr>
                  <w:tcW w:w="758" w:type="dxa"/>
                  <w:tcBorders>
                    <w:tl2br w:val="nil"/>
                    <w:tr2bl w:val="nil"/>
                  </w:tcBorders>
                  <w:shd w:val="clear" w:color="auto" w:fill="auto"/>
                  <w:vAlign w:val="center"/>
                </w:tcPr>
                <w:p w14:paraId="1FDB847F">
                  <w:pPr>
                    <w:widowControl/>
                    <w:spacing w:line="240" w:lineRule="auto"/>
                    <w:ind w:firstLine="0" w:firstLineChars="0"/>
                    <w:jc w:val="center"/>
                    <w:rPr>
                      <w:b/>
                      <w:bCs/>
                      <w:sz w:val="21"/>
                      <w:szCs w:val="21"/>
                    </w:rPr>
                  </w:pPr>
                  <w:r>
                    <w:rPr>
                      <w:b/>
                      <w:bCs/>
                      <w:sz w:val="21"/>
                      <w:szCs w:val="21"/>
                    </w:rPr>
                    <w:t>速率kg/h</w:t>
                  </w:r>
                </w:p>
              </w:tc>
              <w:tc>
                <w:tcPr>
                  <w:tcW w:w="647" w:type="dxa"/>
                  <w:tcBorders>
                    <w:tl2br w:val="nil"/>
                    <w:tr2bl w:val="nil"/>
                  </w:tcBorders>
                  <w:vAlign w:val="center"/>
                </w:tcPr>
                <w:p w14:paraId="3C4C5CD4">
                  <w:pPr>
                    <w:widowControl/>
                    <w:spacing w:line="240" w:lineRule="auto"/>
                    <w:ind w:firstLine="0" w:firstLineChars="0"/>
                    <w:jc w:val="center"/>
                    <w:rPr>
                      <w:b/>
                      <w:bCs/>
                      <w:sz w:val="21"/>
                      <w:szCs w:val="21"/>
                    </w:rPr>
                  </w:pPr>
                  <w:r>
                    <w:rPr>
                      <w:b/>
                      <w:bCs/>
                      <w:sz w:val="21"/>
                      <w:szCs w:val="21"/>
                    </w:rPr>
                    <w:t>浓度mg/m</w:t>
                  </w:r>
                  <w:r>
                    <w:rPr>
                      <w:b/>
                      <w:bCs/>
                      <w:sz w:val="21"/>
                      <w:szCs w:val="21"/>
                      <w:vertAlign w:val="superscript"/>
                    </w:rPr>
                    <w:t>3</w:t>
                  </w:r>
                </w:p>
              </w:tc>
            </w:tr>
            <w:tr w14:paraId="6DA9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3BECB3FB">
                  <w:pPr>
                    <w:adjustRightInd w:val="0"/>
                    <w:snapToGrid w:val="0"/>
                    <w:spacing w:line="240" w:lineRule="auto"/>
                    <w:ind w:firstLine="0" w:firstLineChars="0"/>
                    <w:jc w:val="center"/>
                    <w:textAlignment w:val="baseline"/>
                    <w:rPr>
                      <w:sz w:val="21"/>
                      <w:szCs w:val="21"/>
                    </w:rPr>
                  </w:pPr>
                  <w:r>
                    <w:rPr>
                      <w:rFonts w:hint="eastAsia"/>
                      <w:sz w:val="21"/>
                      <w:szCs w:val="21"/>
                      <w:lang w:val="en-GB"/>
                    </w:rPr>
                    <w:t>印花</w:t>
                  </w:r>
                  <w:r>
                    <w:rPr>
                      <w:rFonts w:hint="eastAsia"/>
                      <w:sz w:val="21"/>
                      <w:szCs w:val="21"/>
                    </w:rPr>
                    <w:t>工序</w:t>
                  </w:r>
                </w:p>
              </w:tc>
              <w:tc>
                <w:tcPr>
                  <w:tcW w:w="795" w:type="dxa"/>
                  <w:vMerge w:val="restart"/>
                  <w:tcBorders>
                    <w:tl2br w:val="nil"/>
                    <w:tr2bl w:val="nil"/>
                  </w:tcBorders>
                  <w:vAlign w:val="center"/>
                </w:tcPr>
                <w:p w14:paraId="6307CFC8">
                  <w:pPr>
                    <w:adjustRightInd w:val="0"/>
                    <w:spacing w:line="240" w:lineRule="auto"/>
                    <w:ind w:firstLine="0" w:firstLineChars="0"/>
                    <w:jc w:val="center"/>
                    <w:textAlignment w:val="baseline"/>
                    <w:rPr>
                      <w:sz w:val="21"/>
                      <w:szCs w:val="21"/>
                    </w:rPr>
                  </w:pPr>
                  <w:r>
                    <w:rPr>
                      <w:rFonts w:hint="eastAsia"/>
                      <w:sz w:val="21"/>
                      <w:szCs w:val="21"/>
                    </w:rPr>
                    <w:t>非甲烷总烃</w:t>
                  </w:r>
                </w:p>
              </w:tc>
              <w:tc>
                <w:tcPr>
                  <w:tcW w:w="825" w:type="dxa"/>
                  <w:tcBorders>
                    <w:tl2br w:val="nil"/>
                    <w:tr2bl w:val="nil"/>
                  </w:tcBorders>
                  <w:vAlign w:val="center"/>
                </w:tcPr>
                <w:p w14:paraId="1A59CCF2">
                  <w:pPr>
                    <w:widowControl/>
                    <w:spacing w:line="240" w:lineRule="auto"/>
                    <w:ind w:firstLine="0" w:firstLineChars="0"/>
                    <w:jc w:val="center"/>
                    <w:textAlignment w:val="center"/>
                    <w:rPr>
                      <w:rFonts w:hint="default" w:eastAsia="宋体"/>
                      <w:sz w:val="21"/>
                      <w:szCs w:val="21"/>
                      <w:lang w:val="en-US" w:eastAsia="zh-CN"/>
                    </w:rPr>
                  </w:pPr>
                  <w:r>
                    <w:rPr>
                      <w:rFonts w:hint="eastAsia"/>
                      <w:sz w:val="21"/>
                      <w:szCs w:val="21"/>
                      <w:lang w:val="en-US" w:eastAsia="zh-CN"/>
                    </w:rPr>
                    <w:t>0.675</w:t>
                  </w:r>
                </w:p>
              </w:tc>
              <w:tc>
                <w:tcPr>
                  <w:tcW w:w="885" w:type="dxa"/>
                  <w:vMerge w:val="restart"/>
                  <w:tcBorders>
                    <w:tl2br w:val="nil"/>
                    <w:tr2bl w:val="nil"/>
                  </w:tcBorders>
                  <w:vAlign w:val="center"/>
                </w:tcPr>
                <w:p w14:paraId="452A09B9">
                  <w:pPr>
                    <w:widowControl/>
                    <w:spacing w:line="240" w:lineRule="auto"/>
                    <w:ind w:firstLine="0" w:firstLineChars="0"/>
                    <w:jc w:val="center"/>
                    <w:textAlignment w:val="center"/>
                    <w:rPr>
                      <w:rFonts w:hint="default" w:eastAsia="宋体"/>
                      <w:sz w:val="21"/>
                      <w:szCs w:val="21"/>
                      <w:lang w:val="en-US" w:eastAsia="zh-CN"/>
                    </w:rPr>
                  </w:pPr>
                  <w:r>
                    <w:rPr>
                      <w:rFonts w:hint="eastAsia"/>
                      <w:color w:val="000000"/>
                      <w:kern w:val="0"/>
                      <w:sz w:val="21"/>
                      <w:szCs w:val="21"/>
                      <w:lang w:val="en-US" w:eastAsia="zh-CN" w:bidi="ar"/>
                    </w:rPr>
                    <w:t>0.7529</w:t>
                  </w:r>
                </w:p>
              </w:tc>
              <w:tc>
                <w:tcPr>
                  <w:tcW w:w="805" w:type="dxa"/>
                  <w:vMerge w:val="restart"/>
                  <w:tcBorders>
                    <w:tl2br w:val="nil"/>
                    <w:tr2bl w:val="nil"/>
                  </w:tcBorders>
                  <w:vAlign w:val="center"/>
                </w:tcPr>
                <w:p w14:paraId="3026A256">
                  <w:pPr>
                    <w:widowControl/>
                    <w:spacing w:line="240" w:lineRule="auto"/>
                    <w:ind w:firstLine="0" w:firstLineChars="0"/>
                    <w:jc w:val="center"/>
                    <w:textAlignment w:val="center"/>
                    <w:rPr>
                      <w:rFonts w:hint="default" w:eastAsia="宋体"/>
                      <w:sz w:val="21"/>
                      <w:szCs w:val="21"/>
                      <w:lang w:val="en-US" w:eastAsia="zh-CN"/>
                    </w:rPr>
                  </w:pPr>
                  <w:r>
                    <w:rPr>
                      <w:color w:val="000000"/>
                      <w:kern w:val="0"/>
                      <w:sz w:val="21"/>
                      <w:szCs w:val="21"/>
                      <w:lang w:bidi="ar"/>
                    </w:rPr>
                    <w:t>0.</w:t>
                  </w:r>
                  <w:r>
                    <w:rPr>
                      <w:rFonts w:hint="eastAsia"/>
                      <w:color w:val="000000"/>
                      <w:kern w:val="0"/>
                      <w:sz w:val="21"/>
                      <w:szCs w:val="21"/>
                      <w:lang w:val="en-US" w:eastAsia="zh-CN" w:bidi="ar"/>
                    </w:rPr>
                    <w:t>1569</w:t>
                  </w:r>
                </w:p>
              </w:tc>
              <w:tc>
                <w:tcPr>
                  <w:tcW w:w="803" w:type="dxa"/>
                  <w:vMerge w:val="restart"/>
                  <w:tcBorders>
                    <w:tl2br w:val="nil"/>
                    <w:tr2bl w:val="nil"/>
                  </w:tcBorders>
                  <w:vAlign w:val="center"/>
                </w:tcPr>
                <w:p w14:paraId="72999535">
                  <w:pPr>
                    <w:snapToGrid w:val="0"/>
                    <w:spacing w:line="240" w:lineRule="auto"/>
                    <w:ind w:firstLine="0" w:firstLineChars="0"/>
                    <w:jc w:val="center"/>
                    <w:rPr>
                      <w:sz w:val="21"/>
                      <w:szCs w:val="21"/>
                    </w:rPr>
                  </w:pPr>
                  <w:r>
                    <w:rPr>
                      <w:rFonts w:hint="eastAsia"/>
                      <w:sz w:val="21"/>
                      <w:szCs w:val="21"/>
                    </w:rPr>
                    <w:t>/</w:t>
                  </w:r>
                </w:p>
              </w:tc>
              <w:tc>
                <w:tcPr>
                  <w:tcW w:w="960" w:type="dxa"/>
                  <w:vMerge w:val="restart"/>
                  <w:tcBorders>
                    <w:tl2br w:val="nil"/>
                    <w:tr2bl w:val="nil"/>
                  </w:tcBorders>
                  <w:vAlign w:val="center"/>
                </w:tcPr>
                <w:p w14:paraId="4F9E5483">
                  <w:pPr>
                    <w:snapToGrid w:val="0"/>
                    <w:spacing w:line="240" w:lineRule="auto"/>
                    <w:ind w:firstLine="0" w:firstLineChars="0"/>
                    <w:jc w:val="center"/>
                    <w:rPr>
                      <w:sz w:val="21"/>
                      <w:szCs w:val="21"/>
                    </w:rPr>
                  </w:pPr>
                  <w:r>
                    <w:rPr>
                      <w:sz w:val="21"/>
                      <w:szCs w:val="21"/>
                    </w:rPr>
                    <w:t>活性炭吸附/脱附-催化燃烧装置</w:t>
                  </w:r>
                  <w:r>
                    <w:rPr>
                      <w:rFonts w:hint="eastAsia"/>
                      <w:sz w:val="21"/>
                      <w:szCs w:val="21"/>
                    </w:rPr>
                    <w:t>+15m排气筒</w:t>
                  </w:r>
                </w:p>
              </w:tc>
              <w:tc>
                <w:tcPr>
                  <w:tcW w:w="795" w:type="dxa"/>
                  <w:vMerge w:val="restart"/>
                  <w:tcBorders>
                    <w:tl2br w:val="nil"/>
                    <w:tr2bl w:val="nil"/>
                  </w:tcBorders>
                  <w:vAlign w:val="center"/>
                </w:tcPr>
                <w:p w14:paraId="75267A17">
                  <w:pPr>
                    <w:widowControl/>
                    <w:spacing w:line="240" w:lineRule="auto"/>
                    <w:ind w:firstLine="0" w:firstLineChars="0"/>
                    <w:jc w:val="center"/>
                    <w:textAlignment w:val="center"/>
                    <w:rPr>
                      <w:rFonts w:hint="default" w:eastAsia="宋体"/>
                      <w:lang w:val="en-US" w:eastAsia="zh-CN"/>
                    </w:rPr>
                  </w:pPr>
                  <w:r>
                    <w:rPr>
                      <w:rFonts w:hint="eastAsia"/>
                      <w:color w:val="000000"/>
                      <w:kern w:val="0"/>
                      <w:sz w:val="21"/>
                      <w:szCs w:val="21"/>
                      <w:lang w:bidi="ar"/>
                    </w:rPr>
                    <w:t>0.</w:t>
                  </w:r>
                  <w:r>
                    <w:rPr>
                      <w:rFonts w:hint="eastAsia"/>
                      <w:color w:val="000000"/>
                      <w:kern w:val="0"/>
                      <w:sz w:val="21"/>
                      <w:szCs w:val="21"/>
                      <w:lang w:val="en-US" w:eastAsia="zh-CN" w:bidi="ar"/>
                    </w:rPr>
                    <w:t>0376</w:t>
                  </w:r>
                </w:p>
              </w:tc>
              <w:tc>
                <w:tcPr>
                  <w:tcW w:w="758" w:type="dxa"/>
                  <w:vMerge w:val="restart"/>
                  <w:tcBorders>
                    <w:tl2br w:val="nil"/>
                    <w:tr2bl w:val="nil"/>
                  </w:tcBorders>
                  <w:vAlign w:val="center"/>
                </w:tcPr>
                <w:p w14:paraId="5F580A24">
                  <w:pPr>
                    <w:widowControl/>
                    <w:spacing w:line="240" w:lineRule="auto"/>
                    <w:ind w:firstLine="0" w:firstLineChars="0"/>
                    <w:jc w:val="center"/>
                    <w:textAlignment w:val="center"/>
                    <w:rPr>
                      <w:rFonts w:hint="default" w:eastAsia="宋体"/>
                      <w:sz w:val="21"/>
                      <w:szCs w:val="21"/>
                      <w:lang w:val="en-US" w:eastAsia="zh-CN"/>
                    </w:rPr>
                  </w:pPr>
                  <w:r>
                    <w:rPr>
                      <w:rFonts w:hint="eastAsia"/>
                      <w:color w:val="000000"/>
                      <w:kern w:val="0"/>
                      <w:sz w:val="21"/>
                      <w:szCs w:val="21"/>
                      <w:lang w:bidi="ar"/>
                    </w:rPr>
                    <w:t>0.0</w:t>
                  </w:r>
                  <w:r>
                    <w:rPr>
                      <w:rFonts w:hint="eastAsia"/>
                      <w:color w:val="000000"/>
                      <w:kern w:val="0"/>
                      <w:sz w:val="21"/>
                      <w:szCs w:val="21"/>
                      <w:lang w:val="en-US" w:eastAsia="zh-CN" w:bidi="ar"/>
                    </w:rPr>
                    <w:t>078</w:t>
                  </w:r>
                </w:p>
              </w:tc>
              <w:tc>
                <w:tcPr>
                  <w:tcW w:w="647" w:type="dxa"/>
                  <w:vMerge w:val="restart"/>
                  <w:tcBorders>
                    <w:tl2br w:val="nil"/>
                    <w:tr2bl w:val="nil"/>
                  </w:tcBorders>
                  <w:vAlign w:val="center"/>
                </w:tcPr>
                <w:p w14:paraId="195AD2CB">
                  <w:pPr>
                    <w:widowControl/>
                    <w:spacing w:line="240" w:lineRule="auto"/>
                    <w:ind w:firstLine="0" w:firstLineChars="0"/>
                    <w:jc w:val="center"/>
                    <w:textAlignment w:val="center"/>
                    <w:rPr>
                      <w:rFonts w:hint="eastAsia" w:eastAsia="宋体"/>
                      <w:sz w:val="21"/>
                      <w:szCs w:val="21"/>
                      <w:lang w:val="en-US" w:eastAsia="zh-CN"/>
                    </w:rPr>
                  </w:pPr>
                  <w:r>
                    <w:rPr>
                      <w:rFonts w:hint="eastAsia"/>
                      <w:sz w:val="21"/>
                      <w:szCs w:val="21"/>
                      <w:lang w:eastAsia="zh-CN"/>
                    </w:rPr>
                    <w:t>0.39</w:t>
                  </w:r>
                </w:p>
              </w:tc>
            </w:tr>
            <w:tr w14:paraId="2EDE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587AD0AD">
                  <w:pPr>
                    <w:adjustRightInd w:val="0"/>
                    <w:snapToGrid w:val="0"/>
                    <w:spacing w:line="240" w:lineRule="auto"/>
                    <w:ind w:firstLine="0" w:firstLineChars="0"/>
                    <w:jc w:val="center"/>
                    <w:textAlignment w:val="baseline"/>
                    <w:rPr>
                      <w:sz w:val="21"/>
                      <w:szCs w:val="21"/>
                      <w:lang w:val="en-GB"/>
                    </w:rPr>
                  </w:pPr>
                  <w:r>
                    <w:rPr>
                      <w:rFonts w:hint="eastAsia"/>
                      <w:sz w:val="21"/>
                      <w:szCs w:val="21"/>
                      <w:lang w:val="en-GB"/>
                    </w:rPr>
                    <w:t>复合工序</w:t>
                  </w:r>
                </w:p>
              </w:tc>
              <w:tc>
                <w:tcPr>
                  <w:tcW w:w="795" w:type="dxa"/>
                  <w:vMerge w:val="continue"/>
                  <w:tcBorders>
                    <w:tl2br w:val="nil"/>
                    <w:tr2bl w:val="nil"/>
                  </w:tcBorders>
                  <w:vAlign w:val="center"/>
                </w:tcPr>
                <w:p w14:paraId="5647515F">
                  <w:pPr>
                    <w:adjustRightInd w:val="0"/>
                    <w:spacing w:line="240" w:lineRule="auto"/>
                    <w:ind w:firstLine="0" w:firstLineChars="0"/>
                    <w:jc w:val="center"/>
                    <w:textAlignment w:val="baseline"/>
                    <w:rPr>
                      <w:sz w:val="21"/>
                      <w:szCs w:val="21"/>
                    </w:rPr>
                  </w:pPr>
                </w:p>
              </w:tc>
              <w:tc>
                <w:tcPr>
                  <w:tcW w:w="825" w:type="dxa"/>
                  <w:tcBorders>
                    <w:tl2br w:val="nil"/>
                    <w:tr2bl w:val="nil"/>
                  </w:tcBorders>
                  <w:vAlign w:val="center"/>
                </w:tcPr>
                <w:p w14:paraId="67141CDF">
                  <w:pPr>
                    <w:widowControl/>
                    <w:spacing w:line="240" w:lineRule="auto"/>
                    <w:ind w:firstLine="0" w:firstLineChars="0"/>
                    <w:jc w:val="center"/>
                    <w:textAlignment w:val="center"/>
                    <w:rPr>
                      <w:sz w:val="21"/>
                      <w:szCs w:val="21"/>
                    </w:rPr>
                  </w:pPr>
                  <w:r>
                    <w:rPr>
                      <w:rFonts w:hint="eastAsia"/>
                      <w:sz w:val="21"/>
                      <w:szCs w:val="21"/>
                    </w:rPr>
                    <w:t>0.035</w:t>
                  </w:r>
                </w:p>
              </w:tc>
              <w:tc>
                <w:tcPr>
                  <w:tcW w:w="885" w:type="dxa"/>
                  <w:vMerge w:val="continue"/>
                  <w:tcBorders>
                    <w:tl2br w:val="nil"/>
                    <w:tr2bl w:val="nil"/>
                  </w:tcBorders>
                  <w:vAlign w:val="center"/>
                </w:tcPr>
                <w:p w14:paraId="4C8C1E05">
                  <w:pPr>
                    <w:widowControl/>
                    <w:spacing w:line="240" w:lineRule="auto"/>
                    <w:ind w:firstLine="0" w:firstLineChars="0"/>
                    <w:jc w:val="center"/>
                    <w:textAlignment w:val="center"/>
                    <w:rPr>
                      <w:kern w:val="0"/>
                      <w:sz w:val="21"/>
                      <w:szCs w:val="21"/>
                      <w:lang w:bidi="ar"/>
                    </w:rPr>
                  </w:pPr>
                </w:p>
              </w:tc>
              <w:tc>
                <w:tcPr>
                  <w:tcW w:w="805" w:type="dxa"/>
                  <w:vMerge w:val="continue"/>
                  <w:tcBorders>
                    <w:tl2br w:val="nil"/>
                    <w:tr2bl w:val="nil"/>
                  </w:tcBorders>
                  <w:vAlign w:val="center"/>
                </w:tcPr>
                <w:p w14:paraId="372AF77E">
                  <w:pPr>
                    <w:widowControl/>
                    <w:spacing w:line="240" w:lineRule="auto"/>
                    <w:ind w:firstLine="0" w:firstLineChars="0"/>
                    <w:jc w:val="center"/>
                    <w:textAlignment w:val="center"/>
                    <w:rPr>
                      <w:sz w:val="21"/>
                      <w:szCs w:val="21"/>
                    </w:rPr>
                  </w:pPr>
                </w:p>
              </w:tc>
              <w:tc>
                <w:tcPr>
                  <w:tcW w:w="803" w:type="dxa"/>
                  <w:vMerge w:val="continue"/>
                  <w:tcBorders>
                    <w:tl2br w:val="nil"/>
                    <w:tr2bl w:val="nil"/>
                  </w:tcBorders>
                  <w:vAlign w:val="center"/>
                </w:tcPr>
                <w:p w14:paraId="258939F9">
                  <w:pPr>
                    <w:snapToGrid w:val="0"/>
                    <w:spacing w:line="240" w:lineRule="auto"/>
                    <w:ind w:firstLine="0" w:firstLineChars="0"/>
                    <w:jc w:val="center"/>
                    <w:rPr>
                      <w:sz w:val="21"/>
                      <w:szCs w:val="21"/>
                    </w:rPr>
                  </w:pPr>
                </w:p>
              </w:tc>
              <w:tc>
                <w:tcPr>
                  <w:tcW w:w="960" w:type="dxa"/>
                  <w:vMerge w:val="continue"/>
                  <w:tcBorders>
                    <w:tl2br w:val="nil"/>
                    <w:tr2bl w:val="nil"/>
                  </w:tcBorders>
                  <w:vAlign w:val="center"/>
                </w:tcPr>
                <w:p w14:paraId="1C8E0C69">
                  <w:pPr>
                    <w:snapToGrid w:val="0"/>
                    <w:spacing w:line="240" w:lineRule="auto"/>
                    <w:ind w:firstLine="0" w:firstLineChars="0"/>
                    <w:jc w:val="center"/>
                    <w:rPr>
                      <w:sz w:val="21"/>
                      <w:szCs w:val="21"/>
                    </w:rPr>
                  </w:pPr>
                </w:p>
              </w:tc>
              <w:tc>
                <w:tcPr>
                  <w:tcW w:w="795" w:type="dxa"/>
                  <w:vMerge w:val="continue"/>
                  <w:tcBorders>
                    <w:tl2br w:val="nil"/>
                    <w:tr2bl w:val="nil"/>
                  </w:tcBorders>
                  <w:vAlign w:val="center"/>
                </w:tcPr>
                <w:p w14:paraId="1D79BEC8">
                  <w:pPr>
                    <w:widowControl/>
                    <w:spacing w:line="240" w:lineRule="auto"/>
                    <w:ind w:firstLine="0" w:firstLineChars="0"/>
                    <w:jc w:val="center"/>
                    <w:textAlignment w:val="center"/>
                    <w:rPr>
                      <w:kern w:val="0"/>
                      <w:sz w:val="21"/>
                      <w:szCs w:val="21"/>
                      <w:lang w:bidi="ar"/>
                    </w:rPr>
                  </w:pPr>
                </w:p>
              </w:tc>
              <w:tc>
                <w:tcPr>
                  <w:tcW w:w="758" w:type="dxa"/>
                  <w:vMerge w:val="continue"/>
                  <w:tcBorders>
                    <w:tl2br w:val="nil"/>
                    <w:tr2bl w:val="nil"/>
                  </w:tcBorders>
                  <w:vAlign w:val="center"/>
                </w:tcPr>
                <w:p w14:paraId="2C6A7C41">
                  <w:pPr>
                    <w:widowControl/>
                    <w:spacing w:line="240" w:lineRule="auto"/>
                    <w:ind w:firstLine="0" w:firstLineChars="0"/>
                    <w:jc w:val="center"/>
                    <w:textAlignment w:val="center"/>
                    <w:rPr>
                      <w:kern w:val="0"/>
                      <w:sz w:val="21"/>
                      <w:szCs w:val="21"/>
                      <w:lang w:bidi="ar"/>
                    </w:rPr>
                  </w:pPr>
                </w:p>
              </w:tc>
              <w:tc>
                <w:tcPr>
                  <w:tcW w:w="647" w:type="dxa"/>
                  <w:vMerge w:val="continue"/>
                  <w:tcBorders>
                    <w:tl2br w:val="nil"/>
                    <w:tr2bl w:val="nil"/>
                  </w:tcBorders>
                  <w:vAlign w:val="center"/>
                </w:tcPr>
                <w:p w14:paraId="04C1117C">
                  <w:pPr>
                    <w:widowControl/>
                    <w:spacing w:line="240" w:lineRule="auto"/>
                    <w:ind w:firstLine="0" w:firstLineChars="0"/>
                    <w:jc w:val="center"/>
                    <w:textAlignment w:val="center"/>
                    <w:rPr>
                      <w:kern w:val="0"/>
                      <w:sz w:val="21"/>
                      <w:szCs w:val="21"/>
                      <w:lang w:bidi="ar"/>
                    </w:rPr>
                  </w:pPr>
                </w:p>
              </w:tc>
            </w:tr>
            <w:tr w14:paraId="026A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792F913C">
                  <w:pPr>
                    <w:adjustRightInd w:val="0"/>
                    <w:snapToGrid w:val="0"/>
                    <w:spacing w:line="240" w:lineRule="auto"/>
                    <w:ind w:firstLine="0" w:firstLineChars="0"/>
                    <w:jc w:val="center"/>
                    <w:textAlignment w:val="baseline"/>
                    <w:rPr>
                      <w:sz w:val="21"/>
                      <w:szCs w:val="21"/>
                      <w:lang w:val="en-GB"/>
                    </w:rPr>
                  </w:pPr>
                  <w:r>
                    <w:rPr>
                      <w:rFonts w:hint="eastAsia"/>
                      <w:sz w:val="21"/>
                      <w:szCs w:val="21"/>
                      <w:lang w:val="en-GB"/>
                    </w:rPr>
                    <w:t>压花工序</w:t>
                  </w:r>
                </w:p>
              </w:tc>
              <w:tc>
                <w:tcPr>
                  <w:tcW w:w="795" w:type="dxa"/>
                  <w:vMerge w:val="continue"/>
                  <w:tcBorders>
                    <w:tl2br w:val="nil"/>
                    <w:tr2bl w:val="nil"/>
                  </w:tcBorders>
                  <w:vAlign w:val="center"/>
                </w:tcPr>
                <w:p w14:paraId="4123ED11">
                  <w:pPr>
                    <w:adjustRightInd w:val="0"/>
                    <w:spacing w:line="240" w:lineRule="auto"/>
                    <w:ind w:firstLine="0" w:firstLineChars="0"/>
                    <w:jc w:val="center"/>
                    <w:textAlignment w:val="baseline"/>
                    <w:rPr>
                      <w:sz w:val="21"/>
                      <w:szCs w:val="21"/>
                    </w:rPr>
                  </w:pPr>
                </w:p>
              </w:tc>
              <w:tc>
                <w:tcPr>
                  <w:tcW w:w="825" w:type="dxa"/>
                  <w:tcBorders>
                    <w:tl2br w:val="nil"/>
                    <w:tr2bl w:val="nil"/>
                  </w:tcBorders>
                  <w:vAlign w:val="center"/>
                </w:tcPr>
                <w:p w14:paraId="20E43E5C">
                  <w:pPr>
                    <w:widowControl/>
                    <w:spacing w:line="240" w:lineRule="auto"/>
                    <w:ind w:firstLine="0" w:firstLineChars="0"/>
                    <w:jc w:val="center"/>
                    <w:textAlignment w:val="center"/>
                    <w:rPr>
                      <w:sz w:val="21"/>
                      <w:szCs w:val="21"/>
                    </w:rPr>
                  </w:pPr>
                  <w:r>
                    <w:rPr>
                      <w:rFonts w:hint="eastAsia"/>
                      <w:sz w:val="21"/>
                      <w:szCs w:val="21"/>
                    </w:rPr>
                    <w:t>0.0243</w:t>
                  </w:r>
                </w:p>
              </w:tc>
              <w:tc>
                <w:tcPr>
                  <w:tcW w:w="885" w:type="dxa"/>
                  <w:vMerge w:val="continue"/>
                  <w:tcBorders>
                    <w:tl2br w:val="nil"/>
                    <w:tr2bl w:val="nil"/>
                  </w:tcBorders>
                  <w:vAlign w:val="center"/>
                </w:tcPr>
                <w:p w14:paraId="5905B335">
                  <w:pPr>
                    <w:widowControl/>
                    <w:spacing w:line="240" w:lineRule="auto"/>
                    <w:ind w:firstLine="0" w:firstLineChars="0"/>
                    <w:jc w:val="center"/>
                    <w:textAlignment w:val="center"/>
                    <w:rPr>
                      <w:kern w:val="0"/>
                      <w:sz w:val="21"/>
                      <w:szCs w:val="21"/>
                      <w:lang w:bidi="ar"/>
                    </w:rPr>
                  </w:pPr>
                </w:p>
              </w:tc>
              <w:tc>
                <w:tcPr>
                  <w:tcW w:w="805" w:type="dxa"/>
                  <w:vMerge w:val="continue"/>
                  <w:tcBorders>
                    <w:tl2br w:val="nil"/>
                    <w:tr2bl w:val="nil"/>
                  </w:tcBorders>
                  <w:vAlign w:val="center"/>
                </w:tcPr>
                <w:p w14:paraId="23D78326">
                  <w:pPr>
                    <w:widowControl/>
                    <w:spacing w:line="240" w:lineRule="auto"/>
                    <w:ind w:firstLine="0" w:firstLineChars="0"/>
                    <w:jc w:val="center"/>
                    <w:textAlignment w:val="center"/>
                    <w:rPr>
                      <w:sz w:val="21"/>
                      <w:szCs w:val="21"/>
                    </w:rPr>
                  </w:pPr>
                </w:p>
              </w:tc>
              <w:tc>
                <w:tcPr>
                  <w:tcW w:w="803" w:type="dxa"/>
                  <w:vMerge w:val="continue"/>
                  <w:tcBorders>
                    <w:tl2br w:val="nil"/>
                    <w:tr2bl w:val="nil"/>
                  </w:tcBorders>
                  <w:vAlign w:val="center"/>
                </w:tcPr>
                <w:p w14:paraId="7EB8CB21">
                  <w:pPr>
                    <w:snapToGrid w:val="0"/>
                    <w:spacing w:line="240" w:lineRule="auto"/>
                    <w:ind w:firstLine="0" w:firstLineChars="0"/>
                    <w:jc w:val="center"/>
                    <w:rPr>
                      <w:sz w:val="21"/>
                      <w:szCs w:val="21"/>
                    </w:rPr>
                  </w:pPr>
                </w:p>
              </w:tc>
              <w:tc>
                <w:tcPr>
                  <w:tcW w:w="960" w:type="dxa"/>
                  <w:vMerge w:val="continue"/>
                  <w:tcBorders>
                    <w:tl2br w:val="nil"/>
                    <w:tr2bl w:val="nil"/>
                  </w:tcBorders>
                  <w:vAlign w:val="center"/>
                </w:tcPr>
                <w:p w14:paraId="5EC35B2D">
                  <w:pPr>
                    <w:snapToGrid w:val="0"/>
                    <w:spacing w:line="240" w:lineRule="auto"/>
                    <w:ind w:firstLine="0" w:firstLineChars="0"/>
                    <w:jc w:val="center"/>
                    <w:rPr>
                      <w:sz w:val="21"/>
                      <w:szCs w:val="21"/>
                    </w:rPr>
                  </w:pPr>
                </w:p>
              </w:tc>
              <w:tc>
                <w:tcPr>
                  <w:tcW w:w="795" w:type="dxa"/>
                  <w:vMerge w:val="continue"/>
                  <w:tcBorders>
                    <w:tl2br w:val="nil"/>
                    <w:tr2bl w:val="nil"/>
                  </w:tcBorders>
                  <w:vAlign w:val="center"/>
                </w:tcPr>
                <w:p w14:paraId="43C34408">
                  <w:pPr>
                    <w:widowControl/>
                    <w:spacing w:line="240" w:lineRule="auto"/>
                    <w:ind w:firstLine="0" w:firstLineChars="0"/>
                    <w:jc w:val="center"/>
                    <w:textAlignment w:val="center"/>
                    <w:rPr>
                      <w:kern w:val="0"/>
                      <w:sz w:val="21"/>
                      <w:szCs w:val="21"/>
                      <w:lang w:bidi="ar"/>
                    </w:rPr>
                  </w:pPr>
                </w:p>
              </w:tc>
              <w:tc>
                <w:tcPr>
                  <w:tcW w:w="758" w:type="dxa"/>
                  <w:vMerge w:val="continue"/>
                  <w:tcBorders>
                    <w:tl2br w:val="nil"/>
                    <w:tr2bl w:val="nil"/>
                  </w:tcBorders>
                  <w:vAlign w:val="center"/>
                </w:tcPr>
                <w:p w14:paraId="0D0E49F7">
                  <w:pPr>
                    <w:widowControl/>
                    <w:spacing w:line="240" w:lineRule="auto"/>
                    <w:ind w:firstLine="0" w:firstLineChars="0"/>
                    <w:jc w:val="center"/>
                    <w:textAlignment w:val="center"/>
                    <w:rPr>
                      <w:kern w:val="0"/>
                      <w:sz w:val="21"/>
                      <w:szCs w:val="21"/>
                      <w:lang w:bidi="ar"/>
                    </w:rPr>
                  </w:pPr>
                </w:p>
              </w:tc>
              <w:tc>
                <w:tcPr>
                  <w:tcW w:w="647" w:type="dxa"/>
                  <w:vMerge w:val="continue"/>
                  <w:tcBorders>
                    <w:tl2br w:val="nil"/>
                    <w:tr2bl w:val="nil"/>
                  </w:tcBorders>
                  <w:vAlign w:val="center"/>
                </w:tcPr>
                <w:p w14:paraId="3CB25344">
                  <w:pPr>
                    <w:widowControl/>
                    <w:spacing w:line="240" w:lineRule="auto"/>
                    <w:ind w:firstLine="0" w:firstLineChars="0"/>
                    <w:jc w:val="center"/>
                    <w:textAlignment w:val="center"/>
                    <w:rPr>
                      <w:kern w:val="0"/>
                      <w:sz w:val="21"/>
                      <w:szCs w:val="21"/>
                      <w:lang w:bidi="ar"/>
                    </w:rPr>
                  </w:pPr>
                </w:p>
              </w:tc>
            </w:tr>
            <w:tr w14:paraId="791A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314BDE72">
                  <w:pPr>
                    <w:adjustRightInd w:val="0"/>
                    <w:snapToGrid w:val="0"/>
                    <w:spacing w:line="240" w:lineRule="auto"/>
                    <w:ind w:firstLine="0" w:firstLineChars="0"/>
                    <w:jc w:val="center"/>
                    <w:textAlignment w:val="baseline"/>
                    <w:rPr>
                      <w:sz w:val="21"/>
                      <w:szCs w:val="21"/>
                      <w:lang w:val="en-GB"/>
                    </w:rPr>
                  </w:pPr>
                  <w:r>
                    <w:rPr>
                      <w:rFonts w:hint="eastAsia"/>
                      <w:sz w:val="21"/>
                      <w:szCs w:val="21"/>
                      <w:lang w:val="en-GB"/>
                    </w:rPr>
                    <w:t>雕花工序</w:t>
                  </w:r>
                </w:p>
              </w:tc>
              <w:tc>
                <w:tcPr>
                  <w:tcW w:w="795" w:type="dxa"/>
                  <w:vMerge w:val="continue"/>
                  <w:tcBorders>
                    <w:tl2br w:val="nil"/>
                    <w:tr2bl w:val="nil"/>
                  </w:tcBorders>
                  <w:vAlign w:val="center"/>
                </w:tcPr>
                <w:p w14:paraId="12BFBF0F">
                  <w:pPr>
                    <w:adjustRightInd w:val="0"/>
                    <w:spacing w:line="240" w:lineRule="auto"/>
                    <w:ind w:firstLine="0" w:firstLineChars="0"/>
                    <w:jc w:val="center"/>
                    <w:textAlignment w:val="baseline"/>
                    <w:rPr>
                      <w:sz w:val="21"/>
                      <w:szCs w:val="21"/>
                    </w:rPr>
                  </w:pPr>
                </w:p>
              </w:tc>
              <w:tc>
                <w:tcPr>
                  <w:tcW w:w="825" w:type="dxa"/>
                  <w:tcBorders>
                    <w:tl2br w:val="nil"/>
                    <w:tr2bl w:val="nil"/>
                  </w:tcBorders>
                  <w:vAlign w:val="center"/>
                </w:tcPr>
                <w:p w14:paraId="7BDA1A98">
                  <w:pPr>
                    <w:widowControl/>
                    <w:spacing w:line="240" w:lineRule="auto"/>
                    <w:ind w:firstLine="0" w:firstLineChars="0"/>
                    <w:jc w:val="center"/>
                    <w:textAlignment w:val="center"/>
                    <w:rPr>
                      <w:sz w:val="21"/>
                      <w:szCs w:val="21"/>
                    </w:rPr>
                  </w:pPr>
                  <w:r>
                    <w:rPr>
                      <w:rFonts w:hint="eastAsia"/>
                      <w:sz w:val="21"/>
                      <w:szCs w:val="21"/>
                    </w:rPr>
                    <w:t>0.0485</w:t>
                  </w:r>
                </w:p>
              </w:tc>
              <w:tc>
                <w:tcPr>
                  <w:tcW w:w="885" w:type="dxa"/>
                  <w:vMerge w:val="continue"/>
                  <w:tcBorders>
                    <w:tl2br w:val="nil"/>
                    <w:tr2bl w:val="nil"/>
                  </w:tcBorders>
                  <w:vAlign w:val="center"/>
                </w:tcPr>
                <w:p w14:paraId="65884855">
                  <w:pPr>
                    <w:widowControl/>
                    <w:spacing w:line="240" w:lineRule="auto"/>
                    <w:ind w:firstLine="0" w:firstLineChars="0"/>
                    <w:jc w:val="center"/>
                    <w:textAlignment w:val="center"/>
                    <w:rPr>
                      <w:kern w:val="0"/>
                      <w:sz w:val="21"/>
                      <w:szCs w:val="21"/>
                      <w:lang w:bidi="ar"/>
                    </w:rPr>
                  </w:pPr>
                </w:p>
              </w:tc>
              <w:tc>
                <w:tcPr>
                  <w:tcW w:w="805" w:type="dxa"/>
                  <w:vMerge w:val="continue"/>
                  <w:tcBorders>
                    <w:tl2br w:val="nil"/>
                    <w:tr2bl w:val="nil"/>
                  </w:tcBorders>
                  <w:vAlign w:val="center"/>
                </w:tcPr>
                <w:p w14:paraId="4664BF66">
                  <w:pPr>
                    <w:widowControl/>
                    <w:spacing w:line="240" w:lineRule="auto"/>
                    <w:ind w:firstLine="0" w:firstLineChars="0"/>
                    <w:jc w:val="center"/>
                    <w:textAlignment w:val="center"/>
                    <w:rPr>
                      <w:sz w:val="21"/>
                      <w:szCs w:val="21"/>
                    </w:rPr>
                  </w:pPr>
                </w:p>
              </w:tc>
              <w:tc>
                <w:tcPr>
                  <w:tcW w:w="803" w:type="dxa"/>
                  <w:vMerge w:val="continue"/>
                  <w:tcBorders>
                    <w:tl2br w:val="nil"/>
                    <w:tr2bl w:val="nil"/>
                  </w:tcBorders>
                  <w:vAlign w:val="center"/>
                </w:tcPr>
                <w:p w14:paraId="5B08776D">
                  <w:pPr>
                    <w:snapToGrid w:val="0"/>
                    <w:spacing w:line="240" w:lineRule="auto"/>
                    <w:ind w:firstLine="0" w:firstLineChars="0"/>
                    <w:jc w:val="center"/>
                    <w:rPr>
                      <w:sz w:val="21"/>
                      <w:szCs w:val="21"/>
                    </w:rPr>
                  </w:pPr>
                </w:p>
              </w:tc>
              <w:tc>
                <w:tcPr>
                  <w:tcW w:w="960" w:type="dxa"/>
                  <w:vMerge w:val="continue"/>
                  <w:tcBorders>
                    <w:tl2br w:val="nil"/>
                    <w:tr2bl w:val="nil"/>
                  </w:tcBorders>
                  <w:vAlign w:val="center"/>
                </w:tcPr>
                <w:p w14:paraId="010ED50D">
                  <w:pPr>
                    <w:snapToGrid w:val="0"/>
                    <w:spacing w:line="240" w:lineRule="auto"/>
                    <w:ind w:firstLine="0" w:firstLineChars="0"/>
                    <w:jc w:val="center"/>
                    <w:rPr>
                      <w:sz w:val="21"/>
                      <w:szCs w:val="21"/>
                    </w:rPr>
                  </w:pPr>
                </w:p>
              </w:tc>
              <w:tc>
                <w:tcPr>
                  <w:tcW w:w="795" w:type="dxa"/>
                  <w:vMerge w:val="continue"/>
                  <w:tcBorders>
                    <w:tl2br w:val="nil"/>
                    <w:tr2bl w:val="nil"/>
                  </w:tcBorders>
                  <w:vAlign w:val="center"/>
                </w:tcPr>
                <w:p w14:paraId="0A2C8C69">
                  <w:pPr>
                    <w:widowControl/>
                    <w:spacing w:line="240" w:lineRule="auto"/>
                    <w:ind w:firstLine="0" w:firstLineChars="0"/>
                    <w:jc w:val="center"/>
                    <w:textAlignment w:val="center"/>
                    <w:rPr>
                      <w:kern w:val="0"/>
                      <w:sz w:val="21"/>
                      <w:szCs w:val="21"/>
                      <w:lang w:bidi="ar"/>
                    </w:rPr>
                  </w:pPr>
                </w:p>
              </w:tc>
              <w:tc>
                <w:tcPr>
                  <w:tcW w:w="758" w:type="dxa"/>
                  <w:vMerge w:val="continue"/>
                  <w:tcBorders>
                    <w:tl2br w:val="nil"/>
                    <w:tr2bl w:val="nil"/>
                  </w:tcBorders>
                  <w:vAlign w:val="center"/>
                </w:tcPr>
                <w:p w14:paraId="36F0DC74">
                  <w:pPr>
                    <w:widowControl/>
                    <w:spacing w:line="240" w:lineRule="auto"/>
                    <w:ind w:firstLine="0" w:firstLineChars="0"/>
                    <w:jc w:val="center"/>
                    <w:textAlignment w:val="center"/>
                    <w:rPr>
                      <w:kern w:val="0"/>
                      <w:sz w:val="21"/>
                      <w:szCs w:val="21"/>
                      <w:lang w:bidi="ar"/>
                    </w:rPr>
                  </w:pPr>
                </w:p>
              </w:tc>
              <w:tc>
                <w:tcPr>
                  <w:tcW w:w="647" w:type="dxa"/>
                  <w:vMerge w:val="continue"/>
                  <w:tcBorders>
                    <w:tl2br w:val="nil"/>
                    <w:tr2bl w:val="nil"/>
                  </w:tcBorders>
                  <w:vAlign w:val="center"/>
                </w:tcPr>
                <w:p w14:paraId="734212D0">
                  <w:pPr>
                    <w:widowControl/>
                    <w:spacing w:line="240" w:lineRule="auto"/>
                    <w:ind w:firstLine="0" w:firstLineChars="0"/>
                    <w:jc w:val="center"/>
                    <w:textAlignment w:val="center"/>
                    <w:rPr>
                      <w:kern w:val="0"/>
                      <w:sz w:val="21"/>
                      <w:szCs w:val="21"/>
                      <w:lang w:bidi="ar"/>
                    </w:rPr>
                  </w:pPr>
                </w:p>
              </w:tc>
            </w:tr>
            <w:tr w14:paraId="53B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37979283">
                  <w:pPr>
                    <w:adjustRightInd w:val="0"/>
                    <w:snapToGrid w:val="0"/>
                    <w:spacing w:line="240" w:lineRule="auto"/>
                    <w:ind w:firstLine="0" w:firstLineChars="0"/>
                    <w:jc w:val="center"/>
                    <w:textAlignment w:val="baseline"/>
                    <w:rPr>
                      <w:sz w:val="21"/>
                      <w:szCs w:val="21"/>
                      <w:lang w:val="en-GB"/>
                    </w:rPr>
                  </w:pPr>
                  <w:r>
                    <w:rPr>
                      <w:rFonts w:hint="eastAsia"/>
                      <w:sz w:val="21"/>
                      <w:szCs w:val="21"/>
                      <w:lang w:val="en-GB"/>
                    </w:rPr>
                    <w:t>开口工序</w:t>
                  </w:r>
                </w:p>
              </w:tc>
              <w:tc>
                <w:tcPr>
                  <w:tcW w:w="795" w:type="dxa"/>
                  <w:vMerge w:val="continue"/>
                  <w:tcBorders>
                    <w:tl2br w:val="nil"/>
                    <w:tr2bl w:val="nil"/>
                  </w:tcBorders>
                  <w:vAlign w:val="center"/>
                </w:tcPr>
                <w:p w14:paraId="0623FA76">
                  <w:pPr>
                    <w:adjustRightInd w:val="0"/>
                    <w:spacing w:line="240" w:lineRule="auto"/>
                    <w:ind w:firstLine="0" w:firstLineChars="0"/>
                    <w:jc w:val="center"/>
                    <w:textAlignment w:val="baseline"/>
                    <w:rPr>
                      <w:sz w:val="21"/>
                      <w:szCs w:val="21"/>
                    </w:rPr>
                  </w:pPr>
                </w:p>
              </w:tc>
              <w:tc>
                <w:tcPr>
                  <w:tcW w:w="825" w:type="dxa"/>
                  <w:tcBorders>
                    <w:tl2br w:val="nil"/>
                    <w:tr2bl w:val="nil"/>
                  </w:tcBorders>
                  <w:vAlign w:val="center"/>
                </w:tcPr>
                <w:p w14:paraId="06140CCA">
                  <w:pPr>
                    <w:widowControl/>
                    <w:spacing w:line="240" w:lineRule="auto"/>
                    <w:ind w:firstLine="0" w:firstLineChars="0"/>
                    <w:jc w:val="center"/>
                    <w:textAlignment w:val="center"/>
                    <w:rPr>
                      <w:sz w:val="21"/>
                      <w:szCs w:val="21"/>
                    </w:rPr>
                  </w:pPr>
                  <w:r>
                    <w:rPr>
                      <w:rFonts w:hint="eastAsia"/>
                      <w:sz w:val="21"/>
                      <w:szCs w:val="21"/>
                    </w:rPr>
                    <w:t>0.0097</w:t>
                  </w:r>
                </w:p>
              </w:tc>
              <w:tc>
                <w:tcPr>
                  <w:tcW w:w="885" w:type="dxa"/>
                  <w:vMerge w:val="continue"/>
                  <w:tcBorders>
                    <w:tl2br w:val="nil"/>
                    <w:tr2bl w:val="nil"/>
                  </w:tcBorders>
                  <w:vAlign w:val="center"/>
                </w:tcPr>
                <w:p w14:paraId="397D6998">
                  <w:pPr>
                    <w:widowControl/>
                    <w:spacing w:line="240" w:lineRule="auto"/>
                    <w:ind w:firstLine="0" w:firstLineChars="0"/>
                    <w:jc w:val="center"/>
                    <w:textAlignment w:val="center"/>
                    <w:rPr>
                      <w:kern w:val="0"/>
                      <w:sz w:val="21"/>
                      <w:szCs w:val="21"/>
                      <w:lang w:bidi="ar"/>
                    </w:rPr>
                  </w:pPr>
                </w:p>
              </w:tc>
              <w:tc>
                <w:tcPr>
                  <w:tcW w:w="805" w:type="dxa"/>
                  <w:vMerge w:val="continue"/>
                  <w:tcBorders>
                    <w:tl2br w:val="nil"/>
                    <w:tr2bl w:val="nil"/>
                  </w:tcBorders>
                  <w:vAlign w:val="center"/>
                </w:tcPr>
                <w:p w14:paraId="0B9FECD3">
                  <w:pPr>
                    <w:widowControl/>
                    <w:spacing w:line="240" w:lineRule="auto"/>
                    <w:ind w:firstLine="0" w:firstLineChars="0"/>
                    <w:jc w:val="center"/>
                    <w:textAlignment w:val="center"/>
                    <w:rPr>
                      <w:sz w:val="21"/>
                      <w:szCs w:val="21"/>
                    </w:rPr>
                  </w:pPr>
                </w:p>
              </w:tc>
              <w:tc>
                <w:tcPr>
                  <w:tcW w:w="803" w:type="dxa"/>
                  <w:vMerge w:val="continue"/>
                  <w:tcBorders>
                    <w:tl2br w:val="nil"/>
                    <w:tr2bl w:val="nil"/>
                  </w:tcBorders>
                  <w:vAlign w:val="center"/>
                </w:tcPr>
                <w:p w14:paraId="3A501357">
                  <w:pPr>
                    <w:snapToGrid w:val="0"/>
                    <w:spacing w:line="240" w:lineRule="auto"/>
                    <w:ind w:firstLine="0" w:firstLineChars="0"/>
                    <w:jc w:val="center"/>
                    <w:rPr>
                      <w:sz w:val="21"/>
                      <w:szCs w:val="21"/>
                    </w:rPr>
                  </w:pPr>
                </w:p>
              </w:tc>
              <w:tc>
                <w:tcPr>
                  <w:tcW w:w="960" w:type="dxa"/>
                  <w:vMerge w:val="continue"/>
                  <w:tcBorders>
                    <w:tl2br w:val="nil"/>
                    <w:tr2bl w:val="nil"/>
                  </w:tcBorders>
                  <w:vAlign w:val="center"/>
                </w:tcPr>
                <w:p w14:paraId="6214C910">
                  <w:pPr>
                    <w:snapToGrid w:val="0"/>
                    <w:spacing w:line="240" w:lineRule="auto"/>
                    <w:ind w:firstLine="0" w:firstLineChars="0"/>
                    <w:jc w:val="center"/>
                    <w:rPr>
                      <w:sz w:val="21"/>
                      <w:szCs w:val="21"/>
                    </w:rPr>
                  </w:pPr>
                </w:p>
              </w:tc>
              <w:tc>
                <w:tcPr>
                  <w:tcW w:w="795" w:type="dxa"/>
                  <w:vMerge w:val="continue"/>
                  <w:tcBorders>
                    <w:tl2br w:val="nil"/>
                    <w:tr2bl w:val="nil"/>
                  </w:tcBorders>
                  <w:vAlign w:val="center"/>
                </w:tcPr>
                <w:p w14:paraId="27BD2619">
                  <w:pPr>
                    <w:widowControl/>
                    <w:spacing w:line="240" w:lineRule="auto"/>
                    <w:ind w:firstLine="0" w:firstLineChars="0"/>
                    <w:jc w:val="center"/>
                    <w:textAlignment w:val="center"/>
                    <w:rPr>
                      <w:kern w:val="0"/>
                      <w:sz w:val="21"/>
                      <w:szCs w:val="21"/>
                      <w:lang w:bidi="ar"/>
                    </w:rPr>
                  </w:pPr>
                </w:p>
              </w:tc>
              <w:tc>
                <w:tcPr>
                  <w:tcW w:w="758" w:type="dxa"/>
                  <w:vMerge w:val="continue"/>
                  <w:tcBorders>
                    <w:tl2br w:val="nil"/>
                    <w:tr2bl w:val="nil"/>
                  </w:tcBorders>
                  <w:vAlign w:val="center"/>
                </w:tcPr>
                <w:p w14:paraId="16178E05">
                  <w:pPr>
                    <w:widowControl/>
                    <w:spacing w:line="240" w:lineRule="auto"/>
                    <w:ind w:firstLine="0" w:firstLineChars="0"/>
                    <w:jc w:val="center"/>
                    <w:textAlignment w:val="center"/>
                    <w:rPr>
                      <w:kern w:val="0"/>
                      <w:sz w:val="21"/>
                      <w:szCs w:val="21"/>
                      <w:lang w:bidi="ar"/>
                    </w:rPr>
                  </w:pPr>
                </w:p>
              </w:tc>
              <w:tc>
                <w:tcPr>
                  <w:tcW w:w="647" w:type="dxa"/>
                  <w:vMerge w:val="continue"/>
                  <w:tcBorders>
                    <w:tl2br w:val="nil"/>
                    <w:tr2bl w:val="nil"/>
                  </w:tcBorders>
                  <w:vAlign w:val="center"/>
                </w:tcPr>
                <w:p w14:paraId="0E963B94">
                  <w:pPr>
                    <w:widowControl/>
                    <w:spacing w:line="240" w:lineRule="auto"/>
                    <w:ind w:firstLine="0" w:firstLineChars="0"/>
                    <w:jc w:val="center"/>
                    <w:textAlignment w:val="center"/>
                    <w:rPr>
                      <w:kern w:val="0"/>
                      <w:sz w:val="21"/>
                      <w:szCs w:val="21"/>
                      <w:lang w:bidi="ar"/>
                    </w:rPr>
                  </w:pPr>
                </w:p>
              </w:tc>
            </w:tr>
            <w:tr w14:paraId="03A5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5EA83A72">
                  <w:pPr>
                    <w:adjustRightInd w:val="0"/>
                    <w:snapToGrid w:val="0"/>
                    <w:spacing w:line="240" w:lineRule="auto"/>
                    <w:ind w:firstLine="0" w:firstLineChars="0"/>
                    <w:jc w:val="center"/>
                    <w:textAlignment w:val="baseline"/>
                    <w:rPr>
                      <w:sz w:val="21"/>
                      <w:szCs w:val="21"/>
                      <w:lang w:val="en-GB"/>
                    </w:rPr>
                  </w:pPr>
                  <w:r>
                    <w:rPr>
                      <w:rFonts w:hint="eastAsia"/>
                      <w:sz w:val="21"/>
                      <w:szCs w:val="21"/>
                      <w:lang w:val="en-GB"/>
                    </w:rPr>
                    <w:t>压花工序</w:t>
                  </w:r>
                </w:p>
              </w:tc>
              <w:tc>
                <w:tcPr>
                  <w:tcW w:w="795" w:type="dxa"/>
                  <w:vMerge w:val="restart"/>
                  <w:tcBorders>
                    <w:tl2br w:val="nil"/>
                    <w:tr2bl w:val="nil"/>
                  </w:tcBorders>
                  <w:vAlign w:val="center"/>
                </w:tcPr>
                <w:p w14:paraId="74CCDAC6">
                  <w:pPr>
                    <w:adjustRightInd w:val="0"/>
                    <w:spacing w:line="240" w:lineRule="auto"/>
                    <w:ind w:firstLine="0" w:firstLineChars="0"/>
                    <w:jc w:val="center"/>
                    <w:textAlignment w:val="baseline"/>
                    <w:rPr>
                      <w:sz w:val="21"/>
                      <w:szCs w:val="21"/>
                    </w:rPr>
                  </w:pPr>
                  <w:r>
                    <w:rPr>
                      <w:rFonts w:hint="eastAsia"/>
                      <w:sz w:val="21"/>
                      <w:szCs w:val="21"/>
                    </w:rPr>
                    <w:t>颗粒物</w:t>
                  </w:r>
                </w:p>
              </w:tc>
              <w:tc>
                <w:tcPr>
                  <w:tcW w:w="825" w:type="dxa"/>
                  <w:tcBorders>
                    <w:tl2br w:val="nil"/>
                    <w:tr2bl w:val="nil"/>
                  </w:tcBorders>
                  <w:vAlign w:val="center"/>
                </w:tcPr>
                <w:p w14:paraId="640734C8">
                  <w:pPr>
                    <w:widowControl/>
                    <w:spacing w:line="240" w:lineRule="auto"/>
                    <w:ind w:firstLine="0" w:firstLineChars="0"/>
                    <w:jc w:val="center"/>
                    <w:textAlignment w:val="center"/>
                    <w:rPr>
                      <w:sz w:val="21"/>
                      <w:szCs w:val="21"/>
                    </w:rPr>
                  </w:pPr>
                  <w:r>
                    <w:rPr>
                      <w:rFonts w:hint="eastAsia"/>
                      <w:sz w:val="21"/>
                      <w:szCs w:val="21"/>
                    </w:rPr>
                    <w:t>0.0612</w:t>
                  </w:r>
                </w:p>
              </w:tc>
              <w:tc>
                <w:tcPr>
                  <w:tcW w:w="885" w:type="dxa"/>
                  <w:vMerge w:val="restart"/>
                  <w:tcBorders>
                    <w:tl2br w:val="nil"/>
                    <w:tr2bl w:val="nil"/>
                  </w:tcBorders>
                  <w:vAlign w:val="center"/>
                </w:tcPr>
                <w:p w14:paraId="3BFEBDB4">
                  <w:pPr>
                    <w:widowControl/>
                    <w:spacing w:line="240" w:lineRule="auto"/>
                    <w:ind w:firstLine="0" w:firstLineChars="0"/>
                    <w:jc w:val="center"/>
                    <w:textAlignment w:val="center"/>
                    <w:rPr>
                      <w:rFonts w:hint="default" w:eastAsia="宋体"/>
                      <w:kern w:val="0"/>
                      <w:sz w:val="21"/>
                      <w:szCs w:val="21"/>
                      <w:lang w:val="en-US" w:eastAsia="zh-CN" w:bidi="ar"/>
                    </w:rPr>
                  </w:pPr>
                  <w:r>
                    <w:rPr>
                      <w:color w:val="000000"/>
                      <w:kern w:val="0"/>
                      <w:sz w:val="21"/>
                      <w:szCs w:val="21"/>
                      <w:lang w:bidi="ar"/>
                    </w:rPr>
                    <w:t>0.</w:t>
                  </w:r>
                  <w:r>
                    <w:rPr>
                      <w:rFonts w:hint="eastAsia"/>
                      <w:color w:val="000000"/>
                      <w:kern w:val="0"/>
                      <w:sz w:val="21"/>
                      <w:szCs w:val="21"/>
                      <w:lang w:val="en-US" w:eastAsia="zh-CN" w:bidi="ar"/>
                    </w:rPr>
                    <w:t>314</w:t>
                  </w:r>
                </w:p>
              </w:tc>
              <w:tc>
                <w:tcPr>
                  <w:tcW w:w="805" w:type="dxa"/>
                  <w:vMerge w:val="restart"/>
                  <w:tcBorders>
                    <w:tl2br w:val="nil"/>
                    <w:tr2bl w:val="nil"/>
                  </w:tcBorders>
                  <w:vAlign w:val="center"/>
                </w:tcPr>
                <w:p w14:paraId="47464A3C">
                  <w:pPr>
                    <w:widowControl/>
                    <w:spacing w:line="240" w:lineRule="auto"/>
                    <w:ind w:firstLine="0" w:firstLineChars="0"/>
                    <w:jc w:val="center"/>
                    <w:textAlignment w:val="center"/>
                    <w:rPr>
                      <w:rFonts w:hint="default" w:eastAsia="宋体"/>
                      <w:sz w:val="21"/>
                      <w:szCs w:val="21"/>
                      <w:lang w:val="en-US" w:eastAsia="zh-CN"/>
                    </w:rPr>
                  </w:pPr>
                  <w:r>
                    <w:rPr>
                      <w:color w:val="000000"/>
                      <w:kern w:val="0"/>
                      <w:sz w:val="21"/>
                      <w:szCs w:val="21"/>
                      <w:lang w:bidi="ar"/>
                    </w:rPr>
                    <w:t>0.06</w:t>
                  </w:r>
                  <w:r>
                    <w:rPr>
                      <w:rFonts w:hint="eastAsia"/>
                      <w:color w:val="000000"/>
                      <w:kern w:val="0"/>
                      <w:sz w:val="21"/>
                      <w:szCs w:val="21"/>
                      <w:lang w:val="en-US" w:eastAsia="zh-CN" w:bidi="ar"/>
                    </w:rPr>
                    <w:t>55</w:t>
                  </w:r>
                </w:p>
              </w:tc>
              <w:tc>
                <w:tcPr>
                  <w:tcW w:w="803" w:type="dxa"/>
                  <w:vMerge w:val="restart"/>
                  <w:tcBorders>
                    <w:tl2br w:val="nil"/>
                    <w:tr2bl w:val="nil"/>
                  </w:tcBorders>
                  <w:vAlign w:val="center"/>
                </w:tcPr>
                <w:p w14:paraId="33CC9FB9">
                  <w:pPr>
                    <w:snapToGrid w:val="0"/>
                    <w:spacing w:line="240" w:lineRule="auto"/>
                    <w:ind w:firstLine="0" w:firstLineChars="0"/>
                    <w:jc w:val="center"/>
                    <w:rPr>
                      <w:rFonts w:hint="eastAsia" w:eastAsia="宋体"/>
                      <w:sz w:val="21"/>
                      <w:szCs w:val="21"/>
                      <w:lang w:eastAsia="zh-CN"/>
                    </w:rPr>
                  </w:pPr>
                  <w:r>
                    <w:rPr>
                      <w:rFonts w:hint="eastAsia"/>
                      <w:sz w:val="21"/>
                      <w:szCs w:val="21"/>
                      <w:lang w:eastAsia="zh-CN"/>
                    </w:rPr>
                    <w:t>袋式除尘器</w:t>
                  </w:r>
                </w:p>
              </w:tc>
              <w:tc>
                <w:tcPr>
                  <w:tcW w:w="960" w:type="dxa"/>
                  <w:vMerge w:val="continue"/>
                  <w:tcBorders>
                    <w:tl2br w:val="nil"/>
                    <w:tr2bl w:val="nil"/>
                  </w:tcBorders>
                  <w:vAlign w:val="center"/>
                </w:tcPr>
                <w:p w14:paraId="78B5DDE4">
                  <w:pPr>
                    <w:snapToGrid w:val="0"/>
                    <w:spacing w:line="240" w:lineRule="auto"/>
                    <w:ind w:firstLine="0" w:firstLineChars="0"/>
                    <w:jc w:val="center"/>
                    <w:rPr>
                      <w:sz w:val="21"/>
                      <w:szCs w:val="21"/>
                    </w:rPr>
                  </w:pPr>
                </w:p>
              </w:tc>
              <w:tc>
                <w:tcPr>
                  <w:tcW w:w="795" w:type="dxa"/>
                  <w:vMerge w:val="restart"/>
                  <w:tcBorders>
                    <w:tl2br w:val="nil"/>
                    <w:tr2bl w:val="nil"/>
                  </w:tcBorders>
                  <w:vAlign w:val="center"/>
                </w:tcPr>
                <w:p w14:paraId="7312C786">
                  <w:pPr>
                    <w:widowControl/>
                    <w:spacing w:line="240" w:lineRule="auto"/>
                    <w:ind w:firstLine="0" w:firstLineChars="0"/>
                    <w:jc w:val="center"/>
                    <w:textAlignment w:val="center"/>
                    <w:rPr>
                      <w:rFonts w:hint="default" w:eastAsia="宋体"/>
                      <w:kern w:val="0"/>
                      <w:sz w:val="21"/>
                      <w:szCs w:val="21"/>
                      <w:lang w:val="en-US" w:eastAsia="zh-CN" w:bidi="ar"/>
                    </w:rPr>
                  </w:pPr>
                  <w:r>
                    <w:rPr>
                      <w:color w:val="000000"/>
                      <w:kern w:val="0"/>
                      <w:sz w:val="21"/>
                      <w:szCs w:val="21"/>
                      <w:lang w:bidi="ar"/>
                    </w:rPr>
                    <w:t>0.0</w:t>
                  </w:r>
                  <w:r>
                    <w:rPr>
                      <w:rFonts w:hint="eastAsia"/>
                      <w:color w:val="000000"/>
                      <w:kern w:val="0"/>
                      <w:sz w:val="21"/>
                      <w:szCs w:val="21"/>
                      <w:lang w:val="en-US" w:eastAsia="zh-CN" w:bidi="ar"/>
                    </w:rPr>
                    <w:t>314</w:t>
                  </w:r>
                </w:p>
              </w:tc>
              <w:tc>
                <w:tcPr>
                  <w:tcW w:w="758" w:type="dxa"/>
                  <w:vMerge w:val="restart"/>
                  <w:tcBorders>
                    <w:tl2br w:val="nil"/>
                    <w:tr2bl w:val="nil"/>
                  </w:tcBorders>
                  <w:vAlign w:val="center"/>
                </w:tcPr>
                <w:p w14:paraId="213E4FDE">
                  <w:pPr>
                    <w:widowControl/>
                    <w:spacing w:line="240" w:lineRule="auto"/>
                    <w:ind w:firstLine="0" w:firstLineChars="0"/>
                    <w:jc w:val="center"/>
                    <w:textAlignment w:val="center"/>
                    <w:rPr>
                      <w:rFonts w:hint="eastAsia" w:eastAsia="宋体"/>
                      <w:kern w:val="0"/>
                      <w:sz w:val="21"/>
                      <w:szCs w:val="21"/>
                      <w:lang w:eastAsia="zh-CN" w:bidi="ar"/>
                    </w:rPr>
                  </w:pPr>
                  <w:r>
                    <w:rPr>
                      <w:color w:val="000000"/>
                      <w:kern w:val="0"/>
                      <w:sz w:val="21"/>
                      <w:szCs w:val="21"/>
                      <w:lang w:bidi="ar"/>
                    </w:rPr>
                    <w:t>0.006</w:t>
                  </w:r>
                  <w:r>
                    <w:rPr>
                      <w:rFonts w:hint="eastAsia"/>
                      <w:color w:val="000000"/>
                      <w:kern w:val="0"/>
                      <w:sz w:val="21"/>
                      <w:szCs w:val="21"/>
                      <w:lang w:val="en-US" w:eastAsia="zh-CN" w:bidi="ar"/>
                    </w:rPr>
                    <w:t>5</w:t>
                  </w:r>
                </w:p>
              </w:tc>
              <w:tc>
                <w:tcPr>
                  <w:tcW w:w="647" w:type="dxa"/>
                  <w:vMerge w:val="restart"/>
                  <w:tcBorders>
                    <w:tl2br w:val="nil"/>
                    <w:tr2bl w:val="nil"/>
                  </w:tcBorders>
                  <w:vAlign w:val="center"/>
                </w:tcPr>
                <w:p w14:paraId="1B62788E">
                  <w:pPr>
                    <w:widowControl/>
                    <w:spacing w:line="240" w:lineRule="auto"/>
                    <w:ind w:firstLine="0" w:firstLineChars="0"/>
                    <w:jc w:val="center"/>
                    <w:textAlignment w:val="center"/>
                    <w:rPr>
                      <w:rFonts w:hint="eastAsia" w:eastAsia="宋体"/>
                      <w:kern w:val="0"/>
                      <w:sz w:val="21"/>
                      <w:szCs w:val="21"/>
                      <w:lang w:val="en-US" w:eastAsia="zh-CN" w:bidi="ar"/>
                    </w:rPr>
                  </w:pPr>
                  <w:r>
                    <w:rPr>
                      <w:rFonts w:hint="eastAsia"/>
                      <w:kern w:val="0"/>
                      <w:sz w:val="21"/>
                      <w:szCs w:val="21"/>
                      <w:lang w:eastAsia="zh-CN" w:bidi="ar"/>
                    </w:rPr>
                    <w:t>0.33</w:t>
                  </w:r>
                </w:p>
              </w:tc>
            </w:tr>
            <w:tr w14:paraId="55A9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6558587A">
                  <w:pPr>
                    <w:adjustRightInd w:val="0"/>
                    <w:snapToGrid w:val="0"/>
                    <w:spacing w:line="240" w:lineRule="auto"/>
                    <w:ind w:firstLine="0" w:firstLineChars="0"/>
                    <w:jc w:val="center"/>
                    <w:textAlignment w:val="baseline"/>
                    <w:rPr>
                      <w:sz w:val="21"/>
                      <w:szCs w:val="21"/>
                    </w:rPr>
                  </w:pPr>
                  <w:r>
                    <w:rPr>
                      <w:rFonts w:hint="eastAsia"/>
                      <w:sz w:val="21"/>
                      <w:szCs w:val="21"/>
                      <w:lang w:val="en-GB"/>
                    </w:rPr>
                    <w:t>雕花工序</w:t>
                  </w:r>
                </w:p>
              </w:tc>
              <w:tc>
                <w:tcPr>
                  <w:tcW w:w="795" w:type="dxa"/>
                  <w:vMerge w:val="continue"/>
                  <w:tcBorders>
                    <w:tl2br w:val="nil"/>
                    <w:tr2bl w:val="nil"/>
                  </w:tcBorders>
                  <w:vAlign w:val="center"/>
                </w:tcPr>
                <w:p w14:paraId="36B392A0">
                  <w:pPr>
                    <w:adjustRightInd w:val="0"/>
                    <w:spacing w:line="240" w:lineRule="auto"/>
                    <w:ind w:firstLine="0" w:firstLineChars="0"/>
                    <w:jc w:val="center"/>
                    <w:textAlignment w:val="baseline"/>
                    <w:rPr>
                      <w:sz w:val="21"/>
                      <w:szCs w:val="21"/>
                    </w:rPr>
                  </w:pPr>
                </w:p>
              </w:tc>
              <w:tc>
                <w:tcPr>
                  <w:tcW w:w="825" w:type="dxa"/>
                  <w:tcBorders>
                    <w:tl2br w:val="nil"/>
                    <w:tr2bl w:val="nil"/>
                  </w:tcBorders>
                  <w:vAlign w:val="center"/>
                </w:tcPr>
                <w:p w14:paraId="48246745">
                  <w:pPr>
                    <w:widowControl/>
                    <w:spacing w:line="240" w:lineRule="auto"/>
                    <w:ind w:firstLine="0" w:firstLineChars="0"/>
                    <w:jc w:val="center"/>
                    <w:textAlignment w:val="center"/>
                    <w:rPr>
                      <w:sz w:val="21"/>
                      <w:szCs w:val="21"/>
                    </w:rPr>
                  </w:pPr>
                  <w:r>
                    <w:rPr>
                      <w:rFonts w:hint="eastAsia"/>
                      <w:sz w:val="21"/>
                      <w:szCs w:val="21"/>
                    </w:rPr>
                    <w:t>0.2448</w:t>
                  </w:r>
                </w:p>
              </w:tc>
              <w:tc>
                <w:tcPr>
                  <w:tcW w:w="885" w:type="dxa"/>
                  <w:vMerge w:val="continue"/>
                  <w:tcBorders>
                    <w:tl2br w:val="nil"/>
                    <w:tr2bl w:val="nil"/>
                  </w:tcBorders>
                  <w:vAlign w:val="center"/>
                </w:tcPr>
                <w:p w14:paraId="6AAB3328">
                  <w:pPr>
                    <w:widowControl/>
                    <w:spacing w:line="240" w:lineRule="auto"/>
                    <w:ind w:firstLine="0" w:firstLineChars="0"/>
                    <w:jc w:val="center"/>
                    <w:textAlignment w:val="center"/>
                    <w:rPr>
                      <w:kern w:val="0"/>
                      <w:sz w:val="21"/>
                      <w:szCs w:val="21"/>
                      <w:lang w:bidi="ar"/>
                    </w:rPr>
                  </w:pPr>
                </w:p>
              </w:tc>
              <w:tc>
                <w:tcPr>
                  <w:tcW w:w="805" w:type="dxa"/>
                  <w:vMerge w:val="continue"/>
                  <w:tcBorders>
                    <w:tl2br w:val="nil"/>
                    <w:tr2bl w:val="nil"/>
                  </w:tcBorders>
                  <w:vAlign w:val="center"/>
                </w:tcPr>
                <w:p w14:paraId="68CF1516">
                  <w:pPr>
                    <w:widowControl/>
                    <w:spacing w:line="240" w:lineRule="auto"/>
                    <w:ind w:firstLine="0" w:firstLineChars="0"/>
                    <w:jc w:val="right"/>
                    <w:textAlignment w:val="center"/>
                    <w:rPr>
                      <w:sz w:val="21"/>
                      <w:szCs w:val="21"/>
                    </w:rPr>
                  </w:pPr>
                </w:p>
              </w:tc>
              <w:tc>
                <w:tcPr>
                  <w:tcW w:w="803" w:type="dxa"/>
                  <w:vMerge w:val="continue"/>
                  <w:tcBorders>
                    <w:tl2br w:val="nil"/>
                    <w:tr2bl w:val="nil"/>
                  </w:tcBorders>
                  <w:vAlign w:val="center"/>
                </w:tcPr>
                <w:p w14:paraId="09B6FB6A">
                  <w:pPr>
                    <w:snapToGrid w:val="0"/>
                    <w:spacing w:line="240" w:lineRule="auto"/>
                    <w:ind w:firstLine="0" w:firstLineChars="0"/>
                    <w:jc w:val="center"/>
                    <w:rPr>
                      <w:sz w:val="21"/>
                      <w:szCs w:val="21"/>
                    </w:rPr>
                  </w:pPr>
                </w:p>
              </w:tc>
              <w:tc>
                <w:tcPr>
                  <w:tcW w:w="960" w:type="dxa"/>
                  <w:vMerge w:val="continue"/>
                  <w:tcBorders>
                    <w:tl2br w:val="nil"/>
                    <w:tr2bl w:val="nil"/>
                  </w:tcBorders>
                  <w:vAlign w:val="center"/>
                </w:tcPr>
                <w:p w14:paraId="0E258388">
                  <w:pPr>
                    <w:snapToGrid w:val="0"/>
                    <w:spacing w:line="240" w:lineRule="auto"/>
                    <w:ind w:firstLine="0" w:firstLineChars="0"/>
                    <w:jc w:val="center"/>
                    <w:rPr>
                      <w:sz w:val="21"/>
                      <w:szCs w:val="21"/>
                    </w:rPr>
                  </w:pPr>
                </w:p>
              </w:tc>
              <w:tc>
                <w:tcPr>
                  <w:tcW w:w="795" w:type="dxa"/>
                  <w:vMerge w:val="continue"/>
                  <w:tcBorders>
                    <w:tl2br w:val="nil"/>
                    <w:tr2bl w:val="nil"/>
                  </w:tcBorders>
                  <w:vAlign w:val="center"/>
                </w:tcPr>
                <w:p w14:paraId="1BAE8EE2">
                  <w:pPr>
                    <w:widowControl/>
                    <w:spacing w:line="240" w:lineRule="auto"/>
                    <w:ind w:firstLine="0" w:firstLineChars="0"/>
                    <w:jc w:val="center"/>
                    <w:textAlignment w:val="center"/>
                    <w:rPr>
                      <w:kern w:val="0"/>
                      <w:sz w:val="21"/>
                      <w:szCs w:val="21"/>
                      <w:lang w:bidi="ar"/>
                    </w:rPr>
                  </w:pPr>
                </w:p>
              </w:tc>
              <w:tc>
                <w:tcPr>
                  <w:tcW w:w="758" w:type="dxa"/>
                  <w:vMerge w:val="continue"/>
                  <w:tcBorders>
                    <w:tl2br w:val="nil"/>
                    <w:tr2bl w:val="nil"/>
                  </w:tcBorders>
                  <w:vAlign w:val="center"/>
                </w:tcPr>
                <w:p w14:paraId="2ECEF33F">
                  <w:pPr>
                    <w:widowControl/>
                    <w:spacing w:line="240" w:lineRule="auto"/>
                    <w:ind w:firstLine="0" w:firstLineChars="0"/>
                    <w:jc w:val="center"/>
                    <w:textAlignment w:val="center"/>
                    <w:rPr>
                      <w:kern w:val="0"/>
                      <w:sz w:val="21"/>
                      <w:szCs w:val="21"/>
                      <w:lang w:bidi="ar"/>
                    </w:rPr>
                  </w:pPr>
                </w:p>
              </w:tc>
              <w:tc>
                <w:tcPr>
                  <w:tcW w:w="647" w:type="dxa"/>
                  <w:vMerge w:val="continue"/>
                  <w:tcBorders>
                    <w:tl2br w:val="nil"/>
                    <w:tr2bl w:val="nil"/>
                  </w:tcBorders>
                  <w:vAlign w:val="center"/>
                </w:tcPr>
                <w:p w14:paraId="68EDF177">
                  <w:pPr>
                    <w:widowControl/>
                    <w:spacing w:line="240" w:lineRule="auto"/>
                    <w:ind w:firstLine="0" w:firstLineChars="0"/>
                    <w:jc w:val="center"/>
                    <w:textAlignment w:val="center"/>
                    <w:rPr>
                      <w:kern w:val="0"/>
                      <w:sz w:val="21"/>
                      <w:szCs w:val="21"/>
                      <w:lang w:bidi="ar"/>
                    </w:rPr>
                  </w:pPr>
                </w:p>
              </w:tc>
            </w:tr>
            <w:tr w14:paraId="1239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54" w:type="dxa"/>
                  <w:tcBorders>
                    <w:tl2br w:val="nil"/>
                    <w:tr2bl w:val="nil"/>
                  </w:tcBorders>
                  <w:vAlign w:val="center"/>
                </w:tcPr>
                <w:p w14:paraId="0D676008">
                  <w:pPr>
                    <w:widowControl/>
                    <w:spacing w:line="240" w:lineRule="auto"/>
                    <w:ind w:firstLine="0" w:firstLineChars="0"/>
                    <w:jc w:val="center"/>
                    <w:textAlignment w:val="center"/>
                    <w:rPr>
                      <w:sz w:val="21"/>
                      <w:szCs w:val="21"/>
                      <w:lang w:val="en-GB"/>
                    </w:rPr>
                  </w:pPr>
                  <w:r>
                    <w:rPr>
                      <w:rFonts w:hint="eastAsia"/>
                      <w:sz w:val="21"/>
                      <w:szCs w:val="21"/>
                      <w:lang w:val="en-GB"/>
                    </w:rPr>
                    <w:t>开口工序</w:t>
                  </w:r>
                </w:p>
              </w:tc>
              <w:tc>
                <w:tcPr>
                  <w:tcW w:w="795" w:type="dxa"/>
                  <w:vMerge w:val="continue"/>
                  <w:tcBorders>
                    <w:tl2br w:val="nil"/>
                    <w:tr2bl w:val="nil"/>
                  </w:tcBorders>
                  <w:vAlign w:val="center"/>
                </w:tcPr>
                <w:p w14:paraId="11034D87">
                  <w:pPr>
                    <w:widowControl/>
                    <w:spacing w:line="240" w:lineRule="auto"/>
                    <w:ind w:firstLine="0" w:firstLineChars="0"/>
                    <w:jc w:val="center"/>
                    <w:textAlignment w:val="center"/>
                    <w:rPr>
                      <w:sz w:val="21"/>
                      <w:szCs w:val="21"/>
                      <w:lang w:val="en-GB"/>
                    </w:rPr>
                  </w:pPr>
                </w:p>
              </w:tc>
              <w:tc>
                <w:tcPr>
                  <w:tcW w:w="825" w:type="dxa"/>
                  <w:tcBorders>
                    <w:tl2br w:val="nil"/>
                    <w:tr2bl w:val="nil"/>
                  </w:tcBorders>
                  <w:vAlign w:val="center"/>
                </w:tcPr>
                <w:p w14:paraId="425FC581">
                  <w:pPr>
                    <w:widowControl/>
                    <w:spacing w:line="240" w:lineRule="auto"/>
                    <w:ind w:firstLine="0" w:firstLineChars="0"/>
                    <w:jc w:val="center"/>
                    <w:textAlignment w:val="center"/>
                    <w:rPr>
                      <w:rFonts w:hint="eastAsia" w:eastAsia="宋体"/>
                      <w:sz w:val="21"/>
                      <w:szCs w:val="21"/>
                      <w:lang w:eastAsia="zh-CN"/>
                    </w:rPr>
                  </w:pPr>
                  <w:r>
                    <w:rPr>
                      <w:rFonts w:hint="eastAsia"/>
                      <w:sz w:val="21"/>
                      <w:szCs w:val="21"/>
                    </w:rPr>
                    <w:t>0.024</w:t>
                  </w:r>
                  <w:r>
                    <w:rPr>
                      <w:rFonts w:hint="eastAsia"/>
                      <w:sz w:val="21"/>
                      <w:szCs w:val="21"/>
                      <w:lang w:val="en-US" w:eastAsia="zh-CN"/>
                    </w:rPr>
                    <w:t>5</w:t>
                  </w:r>
                </w:p>
              </w:tc>
              <w:tc>
                <w:tcPr>
                  <w:tcW w:w="885" w:type="dxa"/>
                  <w:vMerge w:val="continue"/>
                  <w:tcBorders>
                    <w:tl2br w:val="nil"/>
                    <w:tr2bl w:val="nil"/>
                  </w:tcBorders>
                  <w:vAlign w:val="center"/>
                </w:tcPr>
                <w:p w14:paraId="1A7F2658">
                  <w:pPr>
                    <w:widowControl/>
                    <w:spacing w:line="240" w:lineRule="auto"/>
                    <w:ind w:firstLine="0" w:firstLineChars="0"/>
                    <w:jc w:val="center"/>
                    <w:textAlignment w:val="center"/>
                    <w:rPr>
                      <w:sz w:val="21"/>
                      <w:szCs w:val="21"/>
                      <w:lang w:val="en-GB"/>
                    </w:rPr>
                  </w:pPr>
                </w:p>
              </w:tc>
              <w:tc>
                <w:tcPr>
                  <w:tcW w:w="805" w:type="dxa"/>
                  <w:vMerge w:val="continue"/>
                  <w:tcBorders>
                    <w:tl2br w:val="nil"/>
                    <w:tr2bl w:val="nil"/>
                  </w:tcBorders>
                  <w:vAlign w:val="center"/>
                </w:tcPr>
                <w:p w14:paraId="762C3A54">
                  <w:pPr>
                    <w:widowControl/>
                    <w:spacing w:line="240" w:lineRule="auto"/>
                    <w:ind w:firstLine="0" w:firstLineChars="0"/>
                    <w:jc w:val="center"/>
                    <w:textAlignment w:val="center"/>
                    <w:rPr>
                      <w:sz w:val="21"/>
                      <w:szCs w:val="21"/>
                      <w:lang w:val="en-GB"/>
                    </w:rPr>
                  </w:pPr>
                </w:p>
              </w:tc>
              <w:tc>
                <w:tcPr>
                  <w:tcW w:w="803" w:type="dxa"/>
                  <w:vMerge w:val="continue"/>
                  <w:tcBorders>
                    <w:tl2br w:val="nil"/>
                    <w:tr2bl w:val="nil"/>
                  </w:tcBorders>
                  <w:vAlign w:val="center"/>
                </w:tcPr>
                <w:p w14:paraId="070D49E8">
                  <w:pPr>
                    <w:widowControl/>
                    <w:spacing w:line="240" w:lineRule="auto"/>
                    <w:ind w:firstLine="0" w:firstLineChars="0"/>
                    <w:jc w:val="center"/>
                    <w:textAlignment w:val="center"/>
                    <w:rPr>
                      <w:sz w:val="21"/>
                      <w:szCs w:val="21"/>
                      <w:lang w:val="en-GB"/>
                    </w:rPr>
                  </w:pPr>
                </w:p>
              </w:tc>
              <w:tc>
                <w:tcPr>
                  <w:tcW w:w="960" w:type="dxa"/>
                  <w:vMerge w:val="continue"/>
                  <w:tcBorders>
                    <w:tl2br w:val="nil"/>
                    <w:tr2bl w:val="nil"/>
                  </w:tcBorders>
                  <w:vAlign w:val="center"/>
                </w:tcPr>
                <w:p w14:paraId="5E76C3EA">
                  <w:pPr>
                    <w:widowControl/>
                    <w:spacing w:line="240" w:lineRule="auto"/>
                    <w:ind w:firstLine="0" w:firstLineChars="0"/>
                    <w:jc w:val="center"/>
                    <w:textAlignment w:val="center"/>
                    <w:rPr>
                      <w:sz w:val="21"/>
                      <w:szCs w:val="21"/>
                      <w:lang w:val="en-GB"/>
                    </w:rPr>
                  </w:pPr>
                </w:p>
              </w:tc>
              <w:tc>
                <w:tcPr>
                  <w:tcW w:w="795" w:type="dxa"/>
                  <w:vMerge w:val="continue"/>
                  <w:tcBorders>
                    <w:tl2br w:val="nil"/>
                    <w:tr2bl w:val="nil"/>
                  </w:tcBorders>
                  <w:vAlign w:val="center"/>
                </w:tcPr>
                <w:p w14:paraId="51C1A32C">
                  <w:pPr>
                    <w:widowControl/>
                    <w:spacing w:line="240" w:lineRule="auto"/>
                    <w:ind w:firstLine="0" w:firstLineChars="0"/>
                    <w:jc w:val="center"/>
                    <w:textAlignment w:val="center"/>
                    <w:rPr>
                      <w:sz w:val="21"/>
                      <w:szCs w:val="21"/>
                      <w:lang w:val="en-GB"/>
                    </w:rPr>
                  </w:pPr>
                </w:p>
              </w:tc>
              <w:tc>
                <w:tcPr>
                  <w:tcW w:w="758" w:type="dxa"/>
                  <w:vMerge w:val="continue"/>
                  <w:tcBorders>
                    <w:tl2br w:val="nil"/>
                    <w:tr2bl w:val="nil"/>
                  </w:tcBorders>
                  <w:vAlign w:val="center"/>
                </w:tcPr>
                <w:p w14:paraId="01923E00">
                  <w:pPr>
                    <w:widowControl/>
                    <w:spacing w:line="240" w:lineRule="auto"/>
                    <w:ind w:firstLine="0" w:firstLineChars="0"/>
                    <w:jc w:val="center"/>
                    <w:textAlignment w:val="center"/>
                    <w:rPr>
                      <w:sz w:val="21"/>
                      <w:szCs w:val="21"/>
                      <w:lang w:val="en-GB"/>
                    </w:rPr>
                  </w:pPr>
                </w:p>
              </w:tc>
              <w:tc>
                <w:tcPr>
                  <w:tcW w:w="647" w:type="dxa"/>
                  <w:vMerge w:val="continue"/>
                  <w:tcBorders>
                    <w:tl2br w:val="nil"/>
                    <w:tr2bl w:val="nil"/>
                  </w:tcBorders>
                  <w:vAlign w:val="center"/>
                </w:tcPr>
                <w:p w14:paraId="6B3608CD">
                  <w:pPr>
                    <w:widowControl/>
                    <w:spacing w:line="240" w:lineRule="auto"/>
                    <w:ind w:firstLine="0" w:firstLineChars="0"/>
                    <w:jc w:val="center"/>
                    <w:textAlignment w:val="center"/>
                    <w:rPr>
                      <w:sz w:val="21"/>
                      <w:szCs w:val="21"/>
                      <w:lang w:val="en-GB"/>
                    </w:rPr>
                  </w:pPr>
                </w:p>
              </w:tc>
            </w:tr>
          </w:tbl>
          <w:p w14:paraId="4FAEFCED">
            <w:pPr>
              <w:spacing w:line="520" w:lineRule="exact"/>
              <w:ind w:firstLine="480"/>
              <w:textAlignment w:val="baseline"/>
            </w:pPr>
            <w:r>
              <w:rPr>
                <w:rFonts w:hint="eastAsia"/>
              </w:rPr>
              <w:t>由上表可知</w:t>
            </w:r>
            <w:r>
              <w:t>，</w:t>
            </w:r>
            <w:r>
              <w:rPr>
                <w:rFonts w:hint="eastAsia"/>
              </w:rPr>
              <w:t>废气排放口（DA001）非甲烷总烃、颗粒物的排放速率和浓度满足《大气污染物综合排放标准》（GB16297-1996）表2中二级排放标准（当排气筒高度为15m时，非甲烷总烃排放浓度限值120 mg/m</w:t>
            </w:r>
            <w:r>
              <w:rPr>
                <w:rFonts w:hint="eastAsia"/>
                <w:vertAlign w:val="superscript"/>
              </w:rPr>
              <w:t>3</w:t>
            </w:r>
            <w:r>
              <w:rPr>
                <w:rFonts w:hint="eastAsia"/>
              </w:rPr>
              <w:t>，排放速率限值10kg/h；颗粒物排放浓度限值120 mg/m</w:t>
            </w:r>
            <w:r>
              <w:rPr>
                <w:rFonts w:hint="eastAsia"/>
                <w:vertAlign w:val="superscript"/>
              </w:rPr>
              <w:t>3</w:t>
            </w:r>
            <w:r>
              <w:rPr>
                <w:rFonts w:hint="eastAsia"/>
              </w:rPr>
              <w:t>，排放速率限值3.5kg/h），同时满足《河南省重污染天气重点行业应急减排措施制定技术指南</w:t>
            </w:r>
            <w:r>
              <w:rPr>
                <w:rFonts w:hint="eastAsia"/>
                <w:lang w:eastAsia="zh-CN"/>
              </w:rPr>
              <w:t xml:space="preserve">（2024年修订版）》 </w:t>
            </w:r>
            <w:r>
              <w:rPr>
                <w:rFonts w:hint="eastAsia"/>
              </w:rPr>
              <w:t>“纺织印染与服饰制造”绩效分级A级要求（颗粒物排放浓度限值10mg/m</w:t>
            </w:r>
            <w:r>
              <w:rPr>
                <w:rFonts w:hint="eastAsia"/>
                <w:vertAlign w:val="superscript"/>
              </w:rPr>
              <w:t>3</w:t>
            </w:r>
            <w:r>
              <w:rPr>
                <w:rFonts w:hint="eastAsia"/>
              </w:rPr>
              <w:t>，非甲烷总烃40mg/m</w:t>
            </w:r>
            <w:r>
              <w:rPr>
                <w:rFonts w:hint="eastAsia"/>
                <w:vertAlign w:val="superscript"/>
              </w:rPr>
              <w:t>3</w:t>
            </w:r>
            <w:r>
              <w:rPr>
                <w:rFonts w:hint="eastAsia"/>
              </w:rPr>
              <w:t>，去除效率不低于90%）和《新乡市生态环境局关于进一步规范工业企业颗粒物排放限值的通知》限值要求（颗粒物浓度限值10mg/m</w:t>
            </w:r>
            <w:r>
              <w:rPr>
                <w:rFonts w:hint="eastAsia"/>
                <w:vertAlign w:val="superscript"/>
              </w:rPr>
              <w:t>3</w:t>
            </w:r>
            <w:r>
              <w:rPr>
                <w:rFonts w:hint="eastAsia"/>
              </w:rPr>
              <w:t>）。</w:t>
            </w:r>
          </w:p>
          <w:p w14:paraId="012F18C6">
            <w:pPr>
              <w:keepLines w:val="0"/>
              <w:pageBreakBefore w:val="0"/>
              <w:widowControl w:val="0"/>
              <w:kinsoku/>
              <w:wordWrap/>
              <w:topLinePunct w:val="0"/>
              <w:autoSpaceDE w:val="0"/>
              <w:autoSpaceDN w:val="0"/>
              <w:bidi w:val="0"/>
              <w:adjustRightInd w:val="0"/>
              <w:spacing w:line="520" w:lineRule="exact"/>
              <w:ind w:firstLine="482"/>
              <w:textAlignment w:val="auto"/>
              <w:rPr>
                <w:b/>
                <w:bCs/>
                <w:kern w:val="0"/>
                <w:szCs w:val="28"/>
              </w:rPr>
            </w:pPr>
            <w:r>
              <w:rPr>
                <w:b/>
                <w:bCs/>
                <w:kern w:val="0"/>
                <w:szCs w:val="28"/>
              </w:rPr>
              <w:t>1.2 无组织排放</w:t>
            </w:r>
          </w:p>
          <w:p w14:paraId="1F47F0B1">
            <w:pPr>
              <w:keepLines w:val="0"/>
              <w:pageBreakBefore w:val="0"/>
              <w:widowControl w:val="0"/>
              <w:kinsoku/>
              <w:wordWrap/>
              <w:topLinePunct w:val="0"/>
              <w:bidi w:val="0"/>
              <w:adjustRightInd w:val="0"/>
              <w:snapToGrid w:val="0"/>
              <w:spacing w:line="520" w:lineRule="exact"/>
              <w:ind w:firstLine="482"/>
              <w:textAlignment w:val="auto"/>
              <w:rPr>
                <w:rFonts w:hint="eastAsia"/>
                <w:b/>
                <w:bCs/>
                <w:kern w:val="0"/>
              </w:rPr>
            </w:pPr>
            <w:r>
              <w:rPr>
                <w:rFonts w:hint="eastAsia"/>
                <w:b w:val="0"/>
                <w:bCs w:val="0"/>
                <w:kern w:val="0"/>
              </w:rPr>
              <w:t>根据《河南省重污染天气重点行业应急减排措施制定技术指南》(2024年修订版)中“纺织印染与服饰制造”A级企业绩效分级指标和《挥发性有机物无组织排放控制标准》（GB37822-2019）提成无组织控制措施</w:t>
            </w:r>
            <w:r>
              <w:rPr>
                <w:rFonts w:hint="eastAsia"/>
                <w:b w:val="0"/>
                <w:bCs w:val="0"/>
                <w:kern w:val="0"/>
                <w:lang w:eastAsia="zh-CN"/>
              </w:rPr>
              <w:t>。</w:t>
            </w:r>
          </w:p>
          <w:p w14:paraId="0DB38BD3">
            <w:pPr>
              <w:keepLines w:val="0"/>
              <w:pageBreakBefore w:val="0"/>
              <w:widowControl w:val="0"/>
              <w:kinsoku/>
              <w:wordWrap/>
              <w:topLinePunct w:val="0"/>
              <w:bidi w:val="0"/>
              <w:adjustRightInd w:val="0"/>
              <w:snapToGrid w:val="0"/>
              <w:spacing w:line="520" w:lineRule="exact"/>
              <w:ind w:firstLine="482"/>
              <w:textAlignment w:val="auto"/>
              <w:rPr>
                <w:b/>
                <w:bCs/>
              </w:rPr>
            </w:pPr>
            <w:r>
              <w:rPr>
                <w:rFonts w:hint="eastAsia"/>
                <w:b/>
                <w:bCs/>
                <w:kern w:val="0"/>
              </w:rPr>
              <w:t>1﹥</w:t>
            </w:r>
            <w:r>
              <w:rPr>
                <w:b/>
                <w:bCs/>
              </w:rPr>
              <w:t>废气无组织排放控制措施</w:t>
            </w:r>
          </w:p>
          <w:p w14:paraId="186D38AB">
            <w:pPr>
              <w:keepLines w:val="0"/>
              <w:pageBreakBefore w:val="0"/>
              <w:widowControl w:val="0"/>
              <w:kinsoku/>
              <w:wordWrap/>
              <w:topLinePunct w:val="0"/>
              <w:bidi w:val="0"/>
              <w:spacing w:line="520" w:lineRule="exact"/>
              <w:ind w:firstLine="480"/>
              <w:textAlignment w:val="auto"/>
            </w:pPr>
            <w:r>
              <w:fldChar w:fldCharType="begin"/>
            </w:r>
            <w:r>
              <w:instrText xml:space="preserve"> = 1 \* GB3 \* MERGEFORMAT </w:instrText>
            </w:r>
            <w:r>
              <w:fldChar w:fldCharType="separate"/>
            </w:r>
            <w:r>
              <w:t>①</w:t>
            </w:r>
            <w:r>
              <w:fldChar w:fldCharType="end"/>
            </w:r>
            <w:r>
              <w:t>存储过程</w:t>
            </w:r>
          </w:p>
          <w:p w14:paraId="6DC4192B">
            <w:pPr>
              <w:keepLines w:val="0"/>
              <w:pageBreakBefore w:val="0"/>
              <w:widowControl w:val="0"/>
              <w:kinsoku/>
              <w:wordWrap/>
              <w:topLinePunct w:val="0"/>
              <w:bidi w:val="0"/>
              <w:spacing w:line="520" w:lineRule="exact"/>
              <w:ind w:firstLine="480"/>
              <w:textAlignment w:val="auto"/>
            </w:pPr>
            <w:r>
              <w:t>项目VOCs物料为水性丙烯酸胶浆、</w:t>
            </w:r>
            <w:r>
              <w:rPr>
                <w:rFonts w:hint="eastAsia"/>
                <w:lang w:eastAsia="zh-CN"/>
              </w:rPr>
              <w:t>水性丙烯酸油墨</w:t>
            </w:r>
            <w:r>
              <w:t>，均为密闭桶装，存储于无阳光直射的密闭原料库。废包装桶、废抹布、废活性炭等</w:t>
            </w:r>
            <w:r>
              <w:rPr>
                <w:rFonts w:hint="eastAsia"/>
              </w:rPr>
              <w:t>危险</w:t>
            </w:r>
            <w:r>
              <w:t>废物分类放置于贴有标识的容器内，加盖密封，存放于</w:t>
            </w:r>
            <w:r>
              <w:rPr>
                <w:rFonts w:hint="eastAsia"/>
              </w:rPr>
              <w:t>危险废物暂存间</w:t>
            </w:r>
            <w:r>
              <w:t>，</w:t>
            </w:r>
            <w:r>
              <w:rPr>
                <w:rFonts w:hint="eastAsia"/>
              </w:rPr>
              <w:t>危险废物暂存间</w:t>
            </w:r>
            <w:r>
              <w:t>废气负压收集引至有机废气处理装置进行处理。</w:t>
            </w:r>
          </w:p>
          <w:p w14:paraId="0F99FEAE">
            <w:pPr>
              <w:keepLines w:val="0"/>
              <w:pageBreakBefore w:val="0"/>
              <w:widowControl w:val="0"/>
              <w:kinsoku/>
              <w:wordWrap/>
              <w:topLinePunct w:val="0"/>
              <w:bidi w:val="0"/>
              <w:spacing w:line="520" w:lineRule="exact"/>
              <w:ind w:firstLine="480"/>
              <w:textAlignment w:val="auto"/>
            </w:pPr>
            <w:r>
              <w:fldChar w:fldCharType="begin"/>
            </w:r>
            <w:r>
              <w:instrText xml:space="preserve"> = 2 \* GB3 \* MERGEFORMAT </w:instrText>
            </w:r>
            <w:r>
              <w:fldChar w:fldCharType="separate"/>
            </w:r>
            <w:r>
              <w:t>②</w:t>
            </w:r>
            <w:r>
              <w:fldChar w:fldCharType="end"/>
            </w:r>
            <w:r>
              <w:t>供墨</w:t>
            </w:r>
            <w:r>
              <w:rPr>
                <w:rFonts w:hint="eastAsia"/>
              </w:rPr>
              <w:t>、供胶</w:t>
            </w:r>
            <w:r>
              <w:t>过程</w:t>
            </w:r>
          </w:p>
          <w:p w14:paraId="4F504F38">
            <w:pPr>
              <w:keepLines w:val="0"/>
              <w:pageBreakBefore w:val="0"/>
              <w:widowControl w:val="0"/>
              <w:kinsoku/>
              <w:wordWrap/>
              <w:topLinePunct w:val="0"/>
              <w:bidi w:val="0"/>
              <w:spacing w:line="520" w:lineRule="exact"/>
              <w:ind w:firstLine="480"/>
              <w:textAlignment w:val="auto"/>
            </w:pPr>
            <w:r>
              <w:rPr>
                <w:rFonts w:hint="eastAsia"/>
              </w:rPr>
              <w:t>喷墨印花机</w:t>
            </w:r>
            <w:r>
              <w:t>、</w:t>
            </w:r>
            <w:r>
              <w:rPr>
                <w:rFonts w:hint="eastAsia"/>
              </w:rPr>
              <w:t>粘</w:t>
            </w:r>
            <w:r>
              <w:t>合机上方设置集气罩，调色桶</w:t>
            </w:r>
            <w:r>
              <w:rPr>
                <w:rFonts w:hint="eastAsia"/>
              </w:rPr>
              <w:t>、</w:t>
            </w:r>
            <w:r>
              <w:t>调胶桶加盖密闭保存，密闭转运至印刷车间或复合车间，通过自动供墨/供胶系统，利用软管自动泵密闭墨槽或胶槽，密闭盖仅留有软管的进出口，供墨/供胶工序产生的废气与印</w:t>
            </w:r>
            <w:r>
              <w:rPr>
                <w:rFonts w:hint="eastAsia"/>
              </w:rPr>
              <w:t>花</w:t>
            </w:r>
            <w:r>
              <w:t>/复合工序产生的废气经集气罩收集引至有机废气处理装置进行处理。</w:t>
            </w:r>
          </w:p>
          <w:p w14:paraId="5C43DECD">
            <w:pPr>
              <w:pStyle w:val="6"/>
              <w:keepLines w:val="0"/>
              <w:pageBreakBefore w:val="0"/>
              <w:widowControl w:val="0"/>
              <w:kinsoku/>
              <w:wordWrap/>
              <w:topLinePunct w:val="0"/>
              <w:bidi w:val="0"/>
              <w:adjustRightInd w:val="0"/>
              <w:snapToGrid w:val="0"/>
              <w:spacing w:line="520" w:lineRule="exact"/>
              <w:ind w:firstLine="480"/>
              <w:textAlignment w:val="auto"/>
              <w:rPr>
                <w:sz w:val="24"/>
                <w:szCs w:val="24"/>
              </w:rPr>
            </w:pPr>
            <w:r>
              <w:rPr>
                <w:sz w:val="24"/>
                <w:szCs w:val="24"/>
              </w:rPr>
              <w:fldChar w:fldCharType="begin"/>
            </w:r>
            <w:r>
              <w:rPr>
                <w:sz w:val="24"/>
                <w:szCs w:val="24"/>
              </w:rPr>
              <w:instrText xml:space="preserve"> = 3 \* GB3 \* MERGEFORMAT </w:instrText>
            </w:r>
            <w:r>
              <w:rPr>
                <w:sz w:val="24"/>
                <w:szCs w:val="24"/>
              </w:rPr>
              <w:fldChar w:fldCharType="separate"/>
            </w:r>
            <w:r>
              <w:rPr>
                <w:sz w:val="24"/>
                <w:szCs w:val="24"/>
              </w:rPr>
              <w:t>③</w:t>
            </w:r>
            <w:r>
              <w:rPr>
                <w:sz w:val="24"/>
                <w:szCs w:val="24"/>
              </w:rPr>
              <w:fldChar w:fldCharType="end"/>
            </w:r>
            <w:r>
              <w:rPr>
                <w:sz w:val="24"/>
                <w:szCs w:val="24"/>
              </w:rPr>
              <w:t>印</w:t>
            </w:r>
            <w:r>
              <w:rPr>
                <w:rFonts w:hint="eastAsia"/>
                <w:sz w:val="24"/>
                <w:szCs w:val="24"/>
              </w:rPr>
              <w:t>花</w:t>
            </w:r>
            <w:r>
              <w:rPr>
                <w:sz w:val="24"/>
                <w:szCs w:val="24"/>
              </w:rPr>
              <w:t>、复合</w:t>
            </w:r>
            <w:r>
              <w:rPr>
                <w:rFonts w:hint="eastAsia"/>
                <w:sz w:val="24"/>
                <w:szCs w:val="24"/>
              </w:rPr>
              <w:t>、雕花、压花、清理、开口</w:t>
            </w:r>
            <w:r>
              <w:rPr>
                <w:sz w:val="24"/>
                <w:szCs w:val="24"/>
              </w:rPr>
              <w:t>工序</w:t>
            </w:r>
          </w:p>
          <w:p w14:paraId="55C3A4D1">
            <w:pPr>
              <w:pStyle w:val="6"/>
              <w:keepLines w:val="0"/>
              <w:pageBreakBefore w:val="0"/>
              <w:widowControl w:val="0"/>
              <w:kinsoku/>
              <w:wordWrap/>
              <w:topLinePunct w:val="0"/>
              <w:bidi w:val="0"/>
              <w:adjustRightInd w:val="0"/>
              <w:snapToGrid w:val="0"/>
              <w:spacing w:line="520" w:lineRule="exact"/>
              <w:ind w:firstLine="480"/>
              <w:textAlignment w:val="auto"/>
              <w:rPr>
                <w:sz w:val="24"/>
                <w:szCs w:val="24"/>
              </w:rPr>
            </w:pPr>
            <w:r>
              <w:rPr>
                <w:rFonts w:hint="eastAsia"/>
                <w:sz w:val="24"/>
                <w:szCs w:val="24"/>
              </w:rPr>
              <w:t>项目生产工序均置于密闭生产车间，产生废气生产设备上方设置集气罩，收集效率为9</w:t>
            </w:r>
            <w:r>
              <w:rPr>
                <w:rFonts w:hint="eastAsia"/>
                <w:sz w:val="24"/>
                <w:szCs w:val="24"/>
                <w:lang w:val="en-US" w:eastAsia="zh-CN"/>
              </w:rPr>
              <w:t>5</w:t>
            </w:r>
            <w:r>
              <w:rPr>
                <w:rFonts w:hint="eastAsia"/>
                <w:sz w:val="24"/>
                <w:szCs w:val="24"/>
              </w:rPr>
              <w:t>%，</w:t>
            </w:r>
            <w:r>
              <w:rPr>
                <w:rFonts w:hint="eastAsia"/>
                <w:bCs/>
                <w:sz w:val="24"/>
                <w:szCs w:val="24"/>
              </w:rPr>
              <w:t>未被收集的非甲烷总烃为</w:t>
            </w:r>
            <w:r>
              <w:rPr>
                <w:rFonts w:hint="eastAsia"/>
                <w:bCs/>
                <w:sz w:val="24"/>
                <w:szCs w:val="24"/>
                <w:lang w:eastAsia="zh-CN"/>
              </w:rPr>
              <w:t>0.</w:t>
            </w:r>
            <w:r>
              <w:rPr>
                <w:rFonts w:hint="eastAsia"/>
                <w:bCs/>
                <w:sz w:val="24"/>
                <w:szCs w:val="24"/>
                <w:lang w:val="en-US" w:eastAsia="zh-CN"/>
              </w:rPr>
              <w:t>0396</w:t>
            </w:r>
            <w:r>
              <w:rPr>
                <w:rFonts w:hint="eastAsia"/>
                <w:bCs/>
                <w:sz w:val="24"/>
                <w:szCs w:val="24"/>
              </w:rPr>
              <w:t>t/a；</w:t>
            </w:r>
            <w:r>
              <w:rPr>
                <w:rFonts w:hint="eastAsia"/>
                <w:sz w:val="24"/>
                <w:szCs w:val="24"/>
              </w:rPr>
              <w:t>颗粒物为</w:t>
            </w:r>
            <w:r>
              <w:rPr>
                <w:rFonts w:hint="eastAsia"/>
                <w:sz w:val="24"/>
                <w:szCs w:val="24"/>
                <w:lang w:eastAsia="zh-CN"/>
              </w:rPr>
              <w:t>0.0165</w:t>
            </w:r>
            <w:r>
              <w:rPr>
                <w:rFonts w:hint="eastAsia"/>
                <w:bCs/>
                <w:sz w:val="24"/>
                <w:szCs w:val="24"/>
              </w:rPr>
              <w:t>t/a</w:t>
            </w:r>
            <w:r>
              <w:rPr>
                <w:rFonts w:hint="eastAsia"/>
                <w:sz w:val="24"/>
                <w:szCs w:val="24"/>
              </w:rPr>
              <w:t>。颗粒物经</w:t>
            </w:r>
            <w:r>
              <w:rPr>
                <w:rFonts w:hint="eastAsia"/>
                <w:sz w:val="24"/>
                <w:szCs w:val="24"/>
                <w:lang w:eastAsia="zh-CN"/>
              </w:rPr>
              <w:t>袋式除尘器</w:t>
            </w:r>
            <w:r>
              <w:rPr>
                <w:rFonts w:hint="eastAsia"/>
                <w:sz w:val="24"/>
                <w:szCs w:val="24"/>
              </w:rPr>
              <w:t>处理，有机废气经</w:t>
            </w:r>
            <w:r>
              <w:rPr>
                <w:sz w:val="24"/>
                <w:szCs w:val="24"/>
              </w:rPr>
              <w:t>活性炭吸附/脱附-催化燃烧装置</w:t>
            </w:r>
            <w:r>
              <w:rPr>
                <w:rFonts w:hint="eastAsia"/>
                <w:sz w:val="24"/>
                <w:szCs w:val="24"/>
              </w:rPr>
              <w:t>，各污染物就能达标排放。</w:t>
            </w:r>
          </w:p>
          <w:p w14:paraId="15FBDC3B">
            <w:pPr>
              <w:keepLines w:val="0"/>
              <w:pageBreakBefore w:val="0"/>
              <w:widowControl w:val="0"/>
              <w:kinsoku/>
              <w:wordWrap/>
              <w:topLinePunct w:val="0"/>
              <w:bidi w:val="0"/>
              <w:spacing w:line="520" w:lineRule="exact"/>
              <w:ind w:firstLine="480"/>
              <w:textAlignment w:val="auto"/>
            </w:pPr>
            <w:r>
              <w:rPr>
                <w:sz w:val="24"/>
                <w:szCs w:val="24"/>
              </w:rPr>
              <w:fldChar w:fldCharType="begin"/>
            </w:r>
            <w:r>
              <w:rPr>
                <w:sz w:val="24"/>
                <w:szCs w:val="24"/>
              </w:rPr>
              <w:instrText xml:space="preserve"> = 4 \* GB3 \* MERGEFORMAT </w:instrText>
            </w:r>
            <w:r>
              <w:rPr>
                <w:sz w:val="24"/>
                <w:szCs w:val="24"/>
              </w:rPr>
              <w:fldChar w:fldCharType="separate"/>
            </w:r>
            <w:r>
              <w:rPr>
                <w:sz w:val="24"/>
                <w:szCs w:val="24"/>
              </w:rPr>
              <w:t>④</w:t>
            </w:r>
            <w:r>
              <w:rPr>
                <w:sz w:val="24"/>
                <w:szCs w:val="24"/>
              </w:rPr>
              <w:fldChar w:fldCharType="end"/>
            </w:r>
            <w:r>
              <w:t>厂区所有地面完成硬化，</w:t>
            </w:r>
            <w:r>
              <w:rPr>
                <w:rFonts w:hint="eastAsia"/>
              </w:rPr>
              <w:t>及时清扫降落到地面的灰尘；</w:t>
            </w:r>
            <w:r>
              <w:t>除尘器卸灰不直接卸落到地面，卸灰区封闭；本项目生产过程均在密闭生产车间，产尘节点安装</w:t>
            </w:r>
            <w:r>
              <w:rPr>
                <w:rFonts w:hint="eastAsia"/>
              </w:rPr>
              <w:t>集气罩或密闭操作间</w:t>
            </w:r>
            <w:r>
              <w:t>并配备</w:t>
            </w:r>
            <w:r>
              <w:rPr>
                <w:rFonts w:hint="eastAsia"/>
                <w:lang w:eastAsia="zh-CN"/>
              </w:rPr>
              <w:t>袋式除尘器</w:t>
            </w:r>
            <w:r>
              <w:t>；厂区道路硬化，定期洒水清扫。</w:t>
            </w:r>
          </w:p>
          <w:p w14:paraId="0300233C">
            <w:pPr>
              <w:keepLines w:val="0"/>
              <w:pageBreakBefore w:val="0"/>
              <w:widowControl w:val="0"/>
              <w:kinsoku/>
              <w:wordWrap/>
              <w:topLinePunct w:val="0"/>
              <w:bidi w:val="0"/>
              <w:spacing w:line="520" w:lineRule="exact"/>
              <w:ind w:firstLine="480"/>
              <w:textAlignment w:val="auto"/>
            </w:pPr>
            <w:r>
              <w:t>评价提出要求企业加强设备密闭，保证废气收集效率，尽量减少无组织排放，保证颗粒物无组织排放浓度</w:t>
            </w:r>
            <w:r>
              <w:rPr>
                <w:rFonts w:hint="eastAsia"/>
              </w:rPr>
              <w:t>满足《大气污染物综合排放标准》（GB16297-1996）</w:t>
            </w:r>
            <w:r>
              <w:t>企业边界</w:t>
            </w:r>
            <w:r>
              <w:rPr>
                <w:rFonts w:hint="eastAsia"/>
              </w:rPr>
              <w:t>颗粒物</w:t>
            </w:r>
            <w:r>
              <w:t>浓度限值</w:t>
            </w:r>
            <w:r>
              <w:rPr>
                <w:rFonts w:hint="eastAsia"/>
              </w:rPr>
              <w:t>1.0</w:t>
            </w:r>
            <w:r>
              <w:t>mg/m</w:t>
            </w:r>
            <w:r>
              <w:rPr>
                <w:vertAlign w:val="superscript"/>
              </w:rPr>
              <w:t>3</w:t>
            </w:r>
            <w:r>
              <w:rPr>
                <w:rFonts w:hint="eastAsia"/>
              </w:rPr>
              <w:t>；非甲烷总烃</w:t>
            </w:r>
            <w:r>
              <w:t>浓度限值</w:t>
            </w:r>
            <w:r>
              <w:rPr>
                <w:rFonts w:hint="eastAsia"/>
              </w:rPr>
              <w:t>4.0</w:t>
            </w:r>
            <w:r>
              <w:t>mg/m</w:t>
            </w:r>
            <w:r>
              <w:rPr>
                <w:vertAlign w:val="superscript"/>
              </w:rPr>
              <w:t>3</w:t>
            </w:r>
            <w:r>
              <w:t>的限值要求</w:t>
            </w:r>
            <w:r>
              <w:rPr>
                <w:rFonts w:hint="eastAsia"/>
              </w:rPr>
              <w:t>、</w:t>
            </w:r>
            <w:r>
              <w:t>《新乡市生态环境局关于进一步规范工业企业颗粒物排放限值的通知》企业边界大气污染物浓度限值0.5mg/m</w:t>
            </w:r>
            <w:r>
              <w:rPr>
                <w:vertAlign w:val="superscript"/>
              </w:rPr>
              <w:t>3</w:t>
            </w:r>
            <w:r>
              <w:t>的限值要求</w:t>
            </w:r>
            <w:r>
              <w:rPr>
                <w:rFonts w:hint="eastAsia"/>
              </w:rPr>
              <w:t>；非甲烷总烃</w:t>
            </w:r>
            <w:r>
              <w:t>无组织排放浓度能够满足</w:t>
            </w:r>
            <w:r>
              <w:rPr>
                <w:rFonts w:hint="eastAsia"/>
              </w:rPr>
              <w:t>《河南省重污染天气重点行业应急减排措施制定技术指南</w:t>
            </w:r>
            <w:r>
              <w:rPr>
                <w:rFonts w:hint="eastAsia"/>
                <w:lang w:eastAsia="zh-CN"/>
              </w:rPr>
              <w:t xml:space="preserve">（2024年修订版）》 </w:t>
            </w:r>
            <w:r>
              <w:rPr>
                <w:rFonts w:hint="eastAsia"/>
              </w:rPr>
              <w:t>“纺织印染与服饰制造”绩效分级A级</w:t>
            </w:r>
            <w:r>
              <w:t>企业边界</w:t>
            </w:r>
            <w:r>
              <w:rPr>
                <w:rFonts w:hint="eastAsia"/>
              </w:rPr>
              <w:t>非甲烷总烃</w:t>
            </w:r>
            <w:r>
              <w:t>排放浓度2.0mg/m</w:t>
            </w:r>
            <w:r>
              <w:rPr>
                <w:vertAlign w:val="superscript"/>
              </w:rPr>
              <w:t>3</w:t>
            </w:r>
            <w:r>
              <w:t>的标准要求。</w:t>
            </w:r>
          </w:p>
          <w:p w14:paraId="7CF77176">
            <w:pPr>
              <w:keepLines w:val="0"/>
              <w:pageBreakBefore w:val="0"/>
              <w:widowControl w:val="0"/>
              <w:kinsoku/>
              <w:wordWrap/>
              <w:topLinePunct w:val="0"/>
              <w:bidi w:val="0"/>
              <w:snapToGrid w:val="0"/>
              <w:spacing w:line="520" w:lineRule="exact"/>
              <w:ind w:firstLine="482"/>
              <w:textAlignment w:val="auto"/>
              <w:rPr>
                <w:b/>
              </w:rPr>
            </w:pPr>
            <w:r>
              <w:rPr>
                <w:rFonts w:hint="eastAsia"/>
                <w:b/>
              </w:rPr>
              <w:t>1.3 废气治理措施可行性分析</w:t>
            </w:r>
          </w:p>
          <w:p w14:paraId="1C115CBD">
            <w:pPr>
              <w:keepLines w:val="0"/>
              <w:pageBreakBefore w:val="0"/>
              <w:widowControl w:val="0"/>
              <w:kinsoku/>
              <w:wordWrap/>
              <w:topLinePunct w:val="0"/>
              <w:bidi w:val="0"/>
              <w:snapToGrid w:val="0"/>
              <w:spacing w:line="520" w:lineRule="exact"/>
              <w:ind w:firstLine="480"/>
              <w:textAlignment w:val="auto"/>
            </w:pPr>
            <w:r>
              <w:t>根据《排污许可申请与核发技术规范</w:t>
            </w:r>
            <w:r>
              <w:rPr>
                <w:rFonts w:hint="eastAsia"/>
              </w:rPr>
              <w:t xml:space="preserve"> </w:t>
            </w:r>
            <w:r>
              <w:t>纺织印染工业》（HJ861-2017）和《纺织工业污染防治可行技术指南》（HJ1177-2021），印染、印花工艺废气（烘干定型环节）可行的处理工艺包括：喷淋洗涤、吸附、喷淋洗涤+静电处理、喷淋洗涤+吸附、吸附+催化燃烧、冷却+静电处理等。此外，对照《河南省重污染天气重点行业应急减排措施制定技术指南》（2024年修订版），</w:t>
            </w:r>
            <w:r>
              <w:rPr>
                <w:rFonts w:hint="eastAsia"/>
              </w:rPr>
              <w:t>“</w:t>
            </w:r>
            <w:r>
              <w:t>纺织印染与服饰制造</w:t>
            </w:r>
            <w:r>
              <w:rPr>
                <w:rFonts w:hint="eastAsia"/>
              </w:rPr>
              <w:t>”</w:t>
            </w:r>
            <w:r>
              <w:t>绩效分级A要求：涉VOCs废气末端使用直接燃烧、吸附-燃烧。经分析，本项目</w:t>
            </w:r>
            <w:r>
              <w:rPr>
                <w:rFonts w:hint="eastAsia"/>
              </w:rPr>
              <w:t>印花</w:t>
            </w:r>
            <w:r>
              <w:t>、</w:t>
            </w:r>
            <w:r>
              <w:rPr>
                <w:rFonts w:hint="eastAsia"/>
              </w:rPr>
              <w:t>压花、冷却、复合、雕花、开口、清理工序</w:t>
            </w:r>
            <w:r>
              <w:t>废气中主要污染因子为颗粒物和非甲烷总烃，结合管理要求和技术指南，评价建议本项目废气采用</w:t>
            </w:r>
            <w:r>
              <w:rPr>
                <w:rFonts w:hint="eastAsia"/>
              </w:rPr>
              <w:t>“</w:t>
            </w:r>
            <w:r>
              <w:rPr>
                <w:rFonts w:hint="eastAsia"/>
                <w:lang w:eastAsia="zh-CN"/>
              </w:rPr>
              <w:t>袋式</w:t>
            </w:r>
            <w:r>
              <w:t>除尘器+活性炭吸附/脱附-催化燃烧装置</w:t>
            </w:r>
            <w:r>
              <w:rPr>
                <w:rFonts w:hint="eastAsia"/>
              </w:rPr>
              <w:t>”</w:t>
            </w:r>
            <w:r>
              <w:t>工艺进行处理。对照《国家污染防治技术指导目录（2024年，限制类和淘汰类）》，</w:t>
            </w:r>
            <w:r>
              <w:rPr>
                <w:rFonts w:hint="eastAsia"/>
              </w:rPr>
              <w:t>“</w:t>
            </w:r>
            <w:r>
              <w:rPr>
                <w:rFonts w:hint="eastAsia"/>
                <w:lang w:eastAsia="zh-CN"/>
              </w:rPr>
              <w:t>袋式</w:t>
            </w:r>
            <w:r>
              <w:rPr>
                <w:rFonts w:hint="eastAsia"/>
              </w:rPr>
              <w:t>除尘器+活性炭吸附/脱附-催化燃烧装置”</w:t>
            </w:r>
            <w:r>
              <w:t>不属于限制类和淘汰类污染防治技术。</w:t>
            </w:r>
          </w:p>
          <w:p w14:paraId="592152FB">
            <w:pPr>
              <w:pStyle w:val="2"/>
              <w:keepLines w:val="0"/>
              <w:pageBreakBefore w:val="0"/>
              <w:widowControl w:val="0"/>
              <w:kinsoku/>
              <w:wordWrap/>
              <w:topLinePunct w:val="0"/>
              <w:bidi w:val="0"/>
              <w:spacing w:before="0" w:after="0" w:line="520" w:lineRule="exact"/>
              <w:ind w:firstLine="480" w:firstLineChars="200"/>
              <w:jc w:val="left"/>
              <w:textAlignment w:val="auto"/>
              <w:rPr>
                <w:rFonts w:eastAsia="宋体"/>
                <w:b w:val="0"/>
                <w:bCs w:val="0"/>
                <w:color w:val="auto"/>
                <w:sz w:val="24"/>
              </w:rPr>
            </w:pPr>
            <w:r>
              <w:rPr>
                <w:rFonts w:eastAsia="宋体"/>
                <w:b w:val="0"/>
                <w:bCs w:val="0"/>
                <w:color w:val="auto"/>
                <w:sz w:val="24"/>
              </w:rPr>
              <w:t>经了解，</w:t>
            </w:r>
            <w:r>
              <w:rPr>
                <w:rFonts w:hint="eastAsia" w:eastAsia="宋体"/>
                <w:b w:val="0"/>
                <w:bCs w:val="0"/>
                <w:color w:val="auto"/>
                <w:sz w:val="24"/>
              </w:rPr>
              <w:t>“</w:t>
            </w:r>
            <w:r>
              <w:rPr>
                <w:rFonts w:hint="eastAsia" w:eastAsia="宋体"/>
                <w:b w:val="0"/>
                <w:bCs w:val="0"/>
                <w:color w:val="auto"/>
                <w:sz w:val="24"/>
                <w:lang w:eastAsia="zh-CN"/>
              </w:rPr>
              <w:t>袋式</w:t>
            </w:r>
            <w:r>
              <w:rPr>
                <w:rFonts w:hint="eastAsia" w:eastAsia="宋体"/>
                <w:b w:val="0"/>
                <w:bCs w:val="0"/>
                <w:color w:val="auto"/>
                <w:sz w:val="24"/>
              </w:rPr>
              <w:t>除尘器+活性炭吸附/脱附-催化燃烧装置”</w:t>
            </w:r>
            <w:r>
              <w:rPr>
                <w:rFonts w:eastAsia="宋体"/>
                <w:b w:val="0"/>
                <w:bCs w:val="0"/>
                <w:color w:val="auto"/>
                <w:sz w:val="24"/>
              </w:rPr>
              <w:t>目前国内印染行业常用处理工艺，该工艺组合技术成熟，处理效果较为理想</w:t>
            </w:r>
            <w:r>
              <w:rPr>
                <w:rFonts w:hint="eastAsia" w:eastAsia="宋体"/>
                <w:b w:val="0"/>
                <w:bCs w:val="0"/>
                <w:color w:val="auto"/>
                <w:sz w:val="24"/>
                <w:lang w:eastAsia="zh-CN"/>
              </w:rPr>
              <w:t>，属于可行技术</w:t>
            </w:r>
            <w:r>
              <w:rPr>
                <w:rFonts w:eastAsia="宋体"/>
                <w:b w:val="0"/>
                <w:bCs w:val="0"/>
                <w:color w:val="auto"/>
                <w:sz w:val="24"/>
              </w:rPr>
              <w:t>。</w:t>
            </w:r>
          </w:p>
          <w:p w14:paraId="07372824">
            <w:pPr>
              <w:pStyle w:val="6"/>
              <w:adjustRightInd w:val="0"/>
              <w:spacing w:line="520" w:lineRule="exact"/>
              <w:ind w:firstLine="482"/>
              <w:textAlignment w:val="baseline"/>
              <w:rPr>
                <w:b/>
                <w:bCs/>
                <w:sz w:val="24"/>
                <w:szCs w:val="24"/>
              </w:rPr>
            </w:pPr>
            <w:r>
              <w:rPr>
                <w:rFonts w:hint="eastAsia"/>
                <w:b/>
                <w:sz w:val="24"/>
                <w:szCs w:val="24"/>
              </w:rPr>
              <w:t xml:space="preserve">1.4 </w:t>
            </w:r>
            <w:r>
              <w:rPr>
                <w:b/>
                <w:bCs/>
                <w:sz w:val="24"/>
                <w:szCs w:val="24"/>
              </w:rPr>
              <w:t>污染物排放量核算</w:t>
            </w:r>
          </w:p>
          <w:p w14:paraId="743D191C">
            <w:pPr>
              <w:pStyle w:val="6"/>
              <w:tabs>
                <w:tab w:val="left" w:pos="0"/>
              </w:tabs>
              <w:adjustRightInd w:val="0"/>
              <w:spacing w:line="520" w:lineRule="exact"/>
              <w:ind w:firstLine="480"/>
              <w:textAlignment w:val="baseline"/>
              <w:rPr>
                <w:kern w:val="0"/>
                <w:sz w:val="24"/>
                <w:szCs w:val="22"/>
              </w:rPr>
            </w:pPr>
            <w:r>
              <w:rPr>
                <w:kern w:val="0"/>
                <w:sz w:val="24"/>
                <w:szCs w:val="22"/>
              </w:rPr>
              <w:t>本项目废气污染物排放量核算见下表：</w:t>
            </w:r>
          </w:p>
          <w:p w14:paraId="20DAB992">
            <w:pPr>
              <w:pStyle w:val="6"/>
              <w:tabs>
                <w:tab w:val="left" w:pos="0"/>
              </w:tabs>
              <w:adjustRightInd w:val="0"/>
              <w:spacing w:line="520" w:lineRule="exact"/>
              <w:ind w:left="4" w:firstLine="890" w:firstLineChars="371"/>
              <w:textAlignment w:val="baseline"/>
              <w:rPr>
                <w:kern w:val="0"/>
                <w:sz w:val="24"/>
                <w:szCs w:val="22"/>
              </w:rPr>
            </w:pPr>
            <w:r>
              <w:rPr>
                <w:rFonts w:eastAsia="黑体"/>
                <w:kern w:val="44"/>
                <w:sz w:val="24"/>
                <w:szCs w:val="24"/>
              </w:rPr>
              <w:t>表</w:t>
            </w:r>
            <w:r>
              <w:rPr>
                <w:rFonts w:hint="eastAsia" w:eastAsia="黑体"/>
                <w:kern w:val="44"/>
                <w:sz w:val="24"/>
                <w:szCs w:val="24"/>
              </w:rPr>
              <w:t>4-2</w:t>
            </w:r>
            <w:r>
              <w:rPr>
                <w:rFonts w:eastAsia="黑体"/>
                <w:kern w:val="44"/>
                <w:sz w:val="24"/>
                <w:szCs w:val="24"/>
              </w:rPr>
              <w:t xml:space="preserve">            大气污染物有组织排放量核算表</w:t>
            </w:r>
          </w:p>
          <w:tbl>
            <w:tblPr>
              <w:tblStyle w:val="26"/>
              <w:tblW w:w="8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75"/>
              <w:gridCol w:w="1328"/>
              <w:gridCol w:w="1515"/>
              <w:gridCol w:w="1485"/>
              <w:gridCol w:w="1602"/>
              <w:gridCol w:w="1514"/>
            </w:tblGrid>
            <w:tr w14:paraId="5E42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5" w:type="dxa"/>
                  <w:tcBorders>
                    <w:tl2br w:val="nil"/>
                    <w:tr2bl w:val="nil"/>
                  </w:tcBorders>
                  <w:vAlign w:val="center"/>
                </w:tcPr>
                <w:p w14:paraId="4A96FD69">
                  <w:pPr>
                    <w:widowControl/>
                    <w:spacing w:line="240" w:lineRule="auto"/>
                    <w:ind w:firstLine="0" w:firstLineChars="0"/>
                    <w:jc w:val="center"/>
                    <w:rPr>
                      <w:b/>
                      <w:kern w:val="0"/>
                      <w:sz w:val="21"/>
                      <w:szCs w:val="21"/>
                    </w:rPr>
                  </w:pPr>
                  <w:r>
                    <w:rPr>
                      <w:b/>
                      <w:kern w:val="0"/>
                      <w:sz w:val="21"/>
                      <w:szCs w:val="21"/>
                    </w:rPr>
                    <w:t>序号</w:t>
                  </w:r>
                </w:p>
              </w:tc>
              <w:tc>
                <w:tcPr>
                  <w:tcW w:w="1328" w:type="dxa"/>
                  <w:tcBorders>
                    <w:tl2br w:val="nil"/>
                    <w:tr2bl w:val="nil"/>
                  </w:tcBorders>
                  <w:vAlign w:val="center"/>
                </w:tcPr>
                <w:p w14:paraId="62E202A0">
                  <w:pPr>
                    <w:widowControl/>
                    <w:spacing w:line="240" w:lineRule="auto"/>
                    <w:ind w:firstLine="0" w:firstLineChars="0"/>
                    <w:jc w:val="center"/>
                    <w:rPr>
                      <w:b/>
                      <w:kern w:val="0"/>
                      <w:sz w:val="21"/>
                      <w:szCs w:val="21"/>
                    </w:rPr>
                  </w:pPr>
                  <w:r>
                    <w:rPr>
                      <w:b/>
                      <w:kern w:val="0"/>
                      <w:sz w:val="21"/>
                      <w:szCs w:val="21"/>
                    </w:rPr>
                    <w:t>排放口编号</w:t>
                  </w:r>
                </w:p>
              </w:tc>
              <w:tc>
                <w:tcPr>
                  <w:tcW w:w="1515" w:type="dxa"/>
                  <w:tcBorders>
                    <w:tl2br w:val="nil"/>
                    <w:tr2bl w:val="nil"/>
                  </w:tcBorders>
                  <w:vAlign w:val="center"/>
                </w:tcPr>
                <w:p w14:paraId="55B71798">
                  <w:pPr>
                    <w:widowControl/>
                    <w:spacing w:line="240" w:lineRule="auto"/>
                    <w:ind w:firstLine="0" w:firstLineChars="0"/>
                    <w:jc w:val="center"/>
                    <w:rPr>
                      <w:b/>
                      <w:kern w:val="0"/>
                      <w:sz w:val="21"/>
                      <w:szCs w:val="21"/>
                    </w:rPr>
                  </w:pPr>
                  <w:r>
                    <w:rPr>
                      <w:b/>
                      <w:kern w:val="0"/>
                      <w:sz w:val="21"/>
                      <w:szCs w:val="21"/>
                    </w:rPr>
                    <w:t>污染物</w:t>
                  </w:r>
                </w:p>
              </w:tc>
              <w:tc>
                <w:tcPr>
                  <w:tcW w:w="1485" w:type="dxa"/>
                  <w:tcBorders>
                    <w:tl2br w:val="nil"/>
                    <w:tr2bl w:val="nil"/>
                  </w:tcBorders>
                  <w:vAlign w:val="center"/>
                </w:tcPr>
                <w:p w14:paraId="77D09164">
                  <w:pPr>
                    <w:widowControl/>
                    <w:spacing w:line="240" w:lineRule="auto"/>
                    <w:ind w:firstLine="0" w:firstLineChars="0"/>
                    <w:jc w:val="center"/>
                    <w:rPr>
                      <w:b/>
                      <w:kern w:val="0"/>
                      <w:sz w:val="21"/>
                      <w:szCs w:val="21"/>
                    </w:rPr>
                  </w:pPr>
                  <w:r>
                    <w:rPr>
                      <w:b/>
                      <w:kern w:val="0"/>
                      <w:sz w:val="21"/>
                      <w:szCs w:val="21"/>
                    </w:rPr>
                    <w:t>核算排放浓度</w:t>
                  </w:r>
                </w:p>
                <w:p w14:paraId="3DF74305">
                  <w:pPr>
                    <w:widowControl/>
                    <w:spacing w:line="240" w:lineRule="auto"/>
                    <w:ind w:firstLine="0" w:firstLineChars="0"/>
                    <w:jc w:val="center"/>
                    <w:rPr>
                      <w:b/>
                      <w:kern w:val="0"/>
                      <w:sz w:val="21"/>
                      <w:szCs w:val="21"/>
                    </w:rPr>
                  </w:pPr>
                  <w:r>
                    <w:rPr>
                      <w:b/>
                      <w:sz w:val="21"/>
                      <w:szCs w:val="21"/>
                    </w:rPr>
                    <w:t>（mg/m</w:t>
                  </w:r>
                  <w:r>
                    <w:rPr>
                      <w:b/>
                      <w:sz w:val="21"/>
                      <w:szCs w:val="21"/>
                      <w:vertAlign w:val="superscript"/>
                    </w:rPr>
                    <w:t>3</w:t>
                  </w:r>
                  <w:r>
                    <w:rPr>
                      <w:b/>
                      <w:sz w:val="21"/>
                      <w:szCs w:val="21"/>
                    </w:rPr>
                    <w:t>）</w:t>
                  </w:r>
                </w:p>
              </w:tc>
              <w:tc>
                <w:tcPr>
                  <w:tcW w:w="1602" w:type="dxa"/>
                  <w:tcBorders>
                    <w:tl2br w:val="nil"/>
                    <w:tr2bl w:val="nil"/>
                  </w:tcBorders>
                  <w:vAlign w:val="center"/>
                </w:tcPr>
                <w:p w14:paraId="0429B2D2">
                  <w:pPr>
                    <w:widowControl/>
                    <w:spacing w:line="240" w:lineRule="auto"/>
                    <w:ind w:firstLine="0" w:firstLineChars="0"/>
                    <w:jc w:val="center"/>
                    <w:rPr>
                      <w:b/>
                      <w:kern w:val="0"/>
                      <w:sz w:val="21"/>
                      <w:szCs w:val="21"/>
                    </w:rPr>
                  </w:pPr>
                  <w:r>
                    <w:rPr>
                      <w:b/>
                      <w:kern w:val="0"/>
                      <w:sz w:val="21"/>
                      <w:szCs w:val="21"/>
                    </w:rPr>
                    <w:t>核算排放速率（kg/h）</w:t>
                  </w:r>
                </w:p>
              </w:tc>
              <w:tc>
                <w:tcPr>
                  <w:tcW w:w="1514" w:type="dxa"/>
                  <w:tcBorders>
                    <w:tl2br w:val="nil"/>
                    <w:tr2bl w:val="nil"/>
                  </w:tcBorders>
                  <w:vAlign w:val="center"/>
                </w:tcPr>
                <w:p w14:paraId="26F763FA">
                  <w:pPr>
                    <w:widowControl/>
                    <w:spacing w:line="240" w:lineRule="auto"/>
                    <w:ind w:firstLine="0" w:firstLineChars="0"/>
                    <w:jc w:val="center"/>
                    <w:rPr>
                      <w:b/>
                      <w:kern w:val="0"/>
                      <w:sz w:val="21"/>
                      <w:szCs w:val="21"/>
                    </w:rPr>
                  </w:pPr>
                  <w:r>
                    <w:rPr>
                      <w:b/>
                      <w:kern w:val="0"/>
                      <w:sz w:val="21"/>
                      <w:szCs w:val="21"/>
                    </w:rPr>
                    <w:t>核算年排放量（t/a）</w:t>
                  </w:r>
                </w:p>
              </w:tc>
            </w:tr>
            <w:tr w14:paraId="4BFA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5" w:type="dxa"/>
                  <w:vMerge w:val="restart"/>
                  <w:tcBorders>
                    <w:tl2br w:val="nil"/>
                    <w:tr2bl w:val="nil"/>
                  </w:tcBorders>
                  <w:vAlign w:val="center"/>
                </w:tcPr>
                <w:p w14:paraId="017D389F">
                  <w:pPr>
                    <w:widowControl/>
                    <w:spacing w:line="240" w:lineRule="auto"/>
                    <w:ind w:firstLine="0" w:firstLineChars="0"/>
                    <w:jc w:val="center"/>
                    <w:rPr>
                      <w:bCs/>
                      <w:kern w:val="0"/>
                      <w:sz w:val="21"/>
                      <w:szCs w:val="21"/>
                    </w:rPr>
                  </w:pPr>
                  <w:r>
                    <w:rPr>
                      <w:rFonts w:hint="eastAsia"/>
                      <w:bCs/>
                      <w:kern w:val="0"/>
                      <w:sz w:val="21"/>
                      <w:szCs w:val="21"/>
                    </w:rPr>
                    <w:t>1</w:t>
                  </w:r>
                </w:p>
              </w:tc>
              <w:tc>
                <w:tcPr>
                  <w:tcW w:w="1328" w:type="dxa"/>
                  <w:vMerge w:val="restart"/>
                  <w:tcBorders>
                    <w:tl2br w:val="nil"/>
                    <w:tr2bl w:val="nil"/>
                  </w:tcBorders>
                  <w:vAlign w:val="center"/>
                </w:tcPr>
                <w:p w14:paraId="52F2899D">
                  <w:pPr>
                    <w:widowControl/>
                    <w:spacing w:line="240" w:lineRule="auto"/>
                    <w:ind w:firstLine="0" w:firstLineChars="0"/>
                    <w:jc w:val="center"/>
                    <w:rPr>
                      <w:bCs/>
                      <w:kern w:val="0"/>
                      <w:sz w:val="21"/>
                      <w:szCs w:val="21"/>
                    </w:rPr>
                  </w:pPr>
                  <w:r>
                    <w:rPr>
                      <w:rFonts w:hint="eastAsia"/>
                      <w:bCs/>
                      <w:kern w:val="0"/>
                      <w:sz w:val="21"/>
                      <w:szCs w:val="21"/>
                    </w:rPr>
                    <w:t>DA001</w:t>
                  </w:r>
                </w:p>
              </w:tc>
              <w:tc>
                <w:tcPr>
                  <w:tcW w:w="1515" w:type="dxa"/>
                  <w:tcBorders>
                    <w:tl2br w:val="nil"/>
                    <w:tr2bl w:val="nil"/>
                  </w:tcBorders>
                  <w:vAlign w:val="center"/>
                </w:tcPr>
                <w:p w14:paraId="3EC38540">
                  <w:pPr>
                    <w:widowControl/>
                    <w:spacing w:line="240" w:lineRule="auto"/>
                    <w:ind w:firstLine="0" w:firstLineChars="0"/>
                    <w:jc w:val="center"/>
                    <w:rPr>
                      <w:bCs/>
                      <w:kern w:val="0"/>
                      <w:sz w:val="21"/>
                      <w:szCs w:val="21"/>
                    </w:rPr>
                  </w:pPr>
                  <w:r>
                    <w:rPr>
                      <w:rFonts w:hint="eastAsia"/>
                      <w:bCs/>
                      <w:kern w:val="0"/>
                      <w:sz w:val="21"/>
                      <w:szCs w:val="21"/>
                    </w:rPr>
                    <w:t>非甲烷总烃</w:t>
                  </w:r>
                </w:p>
              </w:tc>
              <w:tc>
                <w:tcPr>
                  <w:tcW w:w="1485" w:type="dxa"/>
                  <w:tcBorders>
                    <w:tl2br w:val="nil"/>
                    <w:tr2bl w:val="nil"/>
                  </w:tcBorders>
                  <w:vAlign w:val="center"/>
                </w:tcPr>
                <w:p w14:paraId="2E271729">
                  <w:pPr>
                    <w:widowControl/>
                    <w:spacing w:line="240" w:lineRule="auto"/>
                    <w:ind w:firstLine="0" w:firstLineChars="0"/>
                    <w:jc w:val="center"/>
                    <w:textAlignment w:val="center"/>
                    <w:rPr>
                      <w:rFonts w:hint="eastAsia" w:eastAsia="宋体"/>
                      <w:bCs/>
                      <w:sz w:val="21"/>
                      <w:szCs w:val="21"/>
                      <w:lang w:val="en-US" w:eastAsia="zh-CN"/>
                    </w:rPr>
                  </w:pPr>
                  <w:r>
                    <w:rPr>
                      <w:rFonts w:hint="eastAsia"/>
                      <w:sz w:val="21"/>
                      <w:szCs w:val="21"/>
                      <w:lang w:eastAsia="zh-CN"/>
                    </w:rPr>
                    <w:t>0.39</w:t>
                  </w:r>
                </w:p>
              </w:tc>
              <w:tc>
                <w:tcPr>
                  <w:tcW w:w="1602" w:type="dxa"/>
                  <w:tcBorders>
                    <w:tl2br w:val="nil"/>
                    <w:tr2bl w:val="nil"/>
                  </w:tcBorders>
                  <w:vAlign w:val="center"/>
                </w:tcPr>
                <w:p w14:paraId="14EE4745">
                  <w:pPr>
                    <w:widowControl/>
                    <w:spacing w:line="240" w:lineRule="auto"/>
                    <w:ind w:firstLine="0" w:firstLineChars="0"/>
                    <w:jc w:val="center"/>
                    <w:textAlignment w:val="center"/>
                    <w:rPr>
                      <w:rFonts w:hint="default" w:eastAsia="宋体"/>
                      <w:bCs/>
                      <w:kern w:val="0"/>
                      <w:sz w:val="21"/>
                      <w:szCs w:val="21"/>
                      <w:lang w:val="en-US" w:eastAsia="zh-CN"/>
                    </w:rPr>
                  </w:pPr>
                  <w:r>
                    <w:rPr>
                      <w:rFonts w:hint="eastAsia"/>
                      <w:color w:val="000000"/>
                      <w:kern w:val="0"/>
                      <w:sz w:val="21"/>
                      <w:szCs w:val="21"/>
                      <w:lang w:bidi="ar"/>
                    </w:rPr>
                    <w:t>0.0</w:t>
                  </w:r>
                  <w:r>
                    <w:rPr>
                      <w:rFonts w:hint="eastAsia"/>
                      <w:color w:val="000000"/>
                      <w:kern w:val="0"/>
                      <w:sz w:val="21"/>
                      <w:szCs w:val="21"/>
                      <w:lang w:val="en-US" w:eastAsia="zh-CN" w:bidi="ar"/>
                    </w:rPr>
                    <w:t>078</w:t>
                  </w:r>
                </w:p>
              </w:tc>
              <w:tc>
                <w:tcPr>
                  <w:tcW w:w="1514" w:type="dxa"/>
                  <w:tcBorders>
                    <w:tl2br w:val="nil"/>
                    <w:tr2bl w:val="nil"/>
                  </w:tcBorders>
                  <w:vAlign w:val="center"/>
                </w:tcPr>
                <w:p w14:paraId="43558B03">
                  <w:pPr>
                    <w:widowControl/>
                    <w:spacing w:line="240" w:lineRule="auto"/>
                    <w:ind w:firstLine="0" w:firstLineChars="0"/>
                    <w:jc w:val="center"/>
                    <w:textAlignment w:val="center"/>
                    <w:rPr>
                      <w:rFonts w:hint="default" w:eastAsia="宋体"/>
                      <w:bCs/>
                      <w:kern w:val="0"/>
                      <w:sz w:val="21"/>
                      <w:szCs w:val="21"/>
                      <w:lang w:val="en-US" w:eastAsia="zh-CN"/>
                    </w:rPr>
                  </w:pPr>
                  <w:r>
                    <w:rPr>
                      <w:rFonts w:hint="eastAsia"/>
                      <w:color w:val="000000"/>
                      <w:kern w:val="0"/>
                      <w:sz w:val="21"/>
                      <w:szCs w:val="21"/>
                      <w:lang w:bidi="ar"/>
                    </w:rPr>
                    <w:t>0.</w:t>
                  </w:r>
                  <w:r>
                    <w:rPr>
                      <w:rFonts w:hint="eastAsia"/>
                      <w:color w:val="000000"/>
                      <w:kern w:val="0"/>
                      <w:sz w:val="21"/>
                      <w:szCs w:val="21"/>
                      <w:lang w:val="en-US" w:eastAsia="zh-CN" w:bidi="ar"/>
                    </w:rPr>
                    <w:t>0376</w:t>
                  </w:r>
                </w:p>
              </w:tc>
            </w:tr>
            <w:tr w14:paraId="0FA7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5" w:type="dxa"/>
                  <w:vMerge w:val="continue"/>
                  <w:tcBorders>
                    <w:tl2br w:val="nil"/>
                    <w:tr2bl w:val="nil"/>
                  </w:tcBorders>
                  <w:vAlign w:val="center"/>
                </w:tcPr>
                <w:p w14:paraId="0D1D0408">
                  <w:pPr>
                    <w:widowControl/>
                    <w:spacing w:line="240" w:lineRule="auto"/>
                    <w:ind w:firstLine="0" w:firstLineChars="0"/>
                    <w:jc w:val="center"/>
                    <w:rPr>
                      <w:bCs/>
                      <w:kern w:val="0"/>
                      <w:sz w:val="21"/>
                      <w:szCs w:val="21"/>
                    </w:rPr>
                  </w:pPr>
                </w:p>
              </w:tc>
              <w:tc>
                <w:tcPr>
                  <w:tcW w:w="1328" w:type="dxa"/>
                  <w:vMerge w:val="continue"/>
                  <w:tcBorders>
                    <w:tl2br w:val="nil"/>
                    <w:tr2bl w:val="nil"/>
                  </w:tcBorders>
                  <w:vAlign w:val="center"/>
                </w:tcPr>
                <w:p w14:paraId="239E059D">
                  <w:pPr>
                    <w:widowControl/>
                    <w:spacing w:line="240" w:lineRule="auto"/>
                    <w:ind w:firstLine="0" w:firstLineChars="0"/>
                    <w:jc w:val="center"/>
                    <w:rPr>
                      <w:bCs/>
                      <w:kern w:val="0"/>
                      <w:sz w:val="21"/>
                      <w:szCs w:val="21"/>
                    </w:rPr>
                  </w:pPr>
                </w:p>
              </w:tc>
              <w:tc>
                <w:tcPr>
                  <w:tcW w:w="1515" w:type="dxa"/>
                  <w:tcBorders>
                    <w:tl2br w:val="nil"/>
                    <w:tr2bl w:val="nil"/>
                  </w:tcBorders>
                  <w:vAlign w:val="center"/>
                </w:tcPr>
                <w:p w14:paraId="38383F3B">
                  <w:pPr>
                    <w:widowControl/>
                    <w:spacing w:line="240" w:lineRule="auto"/>
                    <w:ind w:firstLine="0" w:firstLineChars="0"/>
                    <w:jc w:val="center"/>
                    <w:rPr>
                      <w:bCs/>
                      <w:kern w:val="0"/>
                      <w:sz w:val="21"/>
                      <w:szCs w:val="21"/>
                    </w:rPr>
                  </w:pPr>
                  <w:r>
                    <w:rPr>
                      <w:bCs/>
                      <w:kern w:val="0"/>
                      <w:sz w:val="21"/>
                      <w:szCs w:val="21"/>
                    </w:rPr>
                    <w:t>颗粒物</w:t>
                  </w:r>
                </w:p>
              </w:tc>
              <w:tc>
                <w:tcPr>
                  <w:tcW w:w="1485" w:type="dxa"/>
                  <w:tcBorders>
                    <w:tl2br w:val="nil"/>
                    <w:tr2bl w:val="nil"/>
                  </w:tcBorders>
                  <w:vAlign w:val="center"/>
                </w:tcPr>
                <w:p w14:paraId="73632FF3">
                  <w:pPr>
                    <w:widowControl/>
                    <w:spacing w:line="240" w:lineRule="auto"/>
                    <w:ind w:firstLine="0" w:firstLineChars="0"/>
                    <w:jc w:val="center"/>
                    <w:textAlignment w:val="center"/>
                    <w:rPr>
                      <w:rFonts w:hint="eastAsia" w:eastAsia="宋体"/>
                      <w:sz w:val="21"/>
                      <w:szCs w:val="21"/>
                      <w:lang w:val="en-US" w:eastAsia="zh-CN"/>
                    </w:rPr>
                  </w:pPr>
                  <w:r>
                    <w:rPr>
                      <w:rFonts w:hint="eastAsia"/>
                      <w:kern w:val="0"/>
                      <w:sz w:val="21"/>
                      <w:szCs w:val="21"/>
                      <w:lang w:eastAsia="zh-CN" w:bidi="ar"/>
                    </w:rPr>
                    <w:t>0.33</w:t>
                  </w:r>
                </w:p>
              </w:tc>
              <w:tc>
                <w:tcPr>
                  <w:tcW w:w="1602" w:type="dxa"/>
                  <w:tcBorders>
                    <w:tl2br w:val="nil"/>
                    <w:tr2bl w:val="nil"/>
                  </w:tcBorders>
                  <w:vAlign w:val="center"/>
                </w:tcPr>
                <w:p w14:paraId="6B918EDB">
                  <w:pPr>
                    <w:widowControl/>
                    <w:spacing w:line="240" w:lineRule="auto"/>
                    <w:ind w:firstLine="0" w:firstLineChars="0"/>
                    <w:jc w:val="center"/>
                    <w:textAlignment w:val="center"/>
                    <w:rPr>
                      <w:sz w:val="21"/>
                      <w:szCs w:val="21"/>
                    </w:rPr>
                  </w:pPr>
                  <w:r>
                    <w:rPr>
                      <w:color w:val="000000"/>
                      <w:kern w:val="0"/>
                      <w:sz w:val="21"/>
                      <w:szCs w:val="21"/>
                      <w:lang w:bidi="ar"/>
                    </w:rPr>
                    <w:t>0.006</w:t>
                  </w:r>
                  <w:r>
                    <w:rPr>
                      <w:rFonts w:hint="eastAsia"/>
                      <w:color w:val="000000"/>
                      <w:kern w:val="0"/>
                      <w:sz w:val="21"/>
                      <w:szCs w:val="21"/>
                      <w:lang w:val="en-US" w:eastAsia="zh-CN" w:bidi="ar"/>
                    </w:rPr>
                    <w:t>5</w:t>
                  </w:r>
                </w:p>
              </w:tc>
              <w:tc>
                <w:tcPr>
                  <w:tcW w:w="1514" w:type="dxa"/>
                  <w:tcBorders>
                    <w:tl2br w:val="nil"/>
                    <w:tr2bl w:val="nil"/>
                  </w:tcBorders>
                  <w:vAlign w:val="center"/>
                </w:tcPr>
                <w:p w14:paraId="337ECA97">
                  <w:pPr>
                    <w:widowControl/>
                    <w:spacing w:line="240" w:lineRule="auto"/>
                    <w:ind w:firstLine="0" w:firstLineChars="0"/>
                    <w:jc w:val="center"/>
                    <w:textAlignment w:val="center"/>
                    <w:rPr>
                      <w:sz w:val="21"/>
                      <w:szCs w:val="21"/>
                    </w:rPr>
                  </w:pPr>
                  <w:r>
                    <w:rPr>
                      <w:color w:val="000000"/>
                      <w:kern w:val="0"/>
                      <w:sz w:val="21"/>
                      <w:szCs w:val="21"/>
                      <w:lang w:bidi="ar"/>
                    </w:rPr>
                    <w:t>0.0</w:t>
                  </w:r>
                  <w:r>
                    <w:rPr>
                      <w:rFonts w:hint="eastAsia"/>
                      <w:color w:val="000000"/>
                      <w:kern w:val="0"/>
                      <w:sz w:val="21"/>
                      <w:szCs w:val="21"/>
                      <w:lang w:val="en-US" w:eastAsia="zh-CN" w:bidi="ar"/>
                    </w:rPr>
                    <w:t>314</w:t>
                  </w:r>
                </w:p>
              </w:tc>
            </w:tr>
            <w:tr w14:paraId="3DDD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003" w:type="dxa"/>
                  <w:gridSpan w:val="2"/>
                  <w:vMerge w:val="restart"/>
                  <w:tcBorders>
                    <w:tl2br w:val="nil"/>
                    <w:tr2bl w:val="nil"/>
                  </w:tcBorders>
                  <w:vAlign w:val="center"/>
                </w:tcPr>
                <w:p w14:paraId="6BAAFF95">
                  <w:pPr>
                    <w:widowControl/>
                    <w:spacing w:line="240" w:lineRule="auto"/>
                    <w:ind w:firstLine="0" w:firstLineChars="0"/>
                    <w:jc w:val="center"/>
                    <w:rPr>
                      <w:bCs/>
                      <w:kern w:val="0"/>
                      <w:sz w:val="21"/>
                      <w:szCs w:val="21"/>
                    </w:rPr>
                  </w:pPr>
                  <w:r>
                    <w:rPr>
                      <w:sz w:val="21"/>
                      <w:szCs w:val="21"/>
                    </w:rPr>
                    <w:t>有组织排放总计</w:t>
                  </w:r>
                </w:p>
              </w:tc>
              <w:tc>
                <w:tcPr>
                  <w:tcW w:w="4602" w:type="dxa"/>
                  <w:gridSpan w:val="3"/>
                  <w:tcBorders>
                    <w:tl2br w:val="nil"/>
                    <w:tr2bl w:val="nil"/>
                  </w:tcBorders>
                  <w:vAlign w:val="center"/>
                </w:tcPr>
                <w:p w14:paraId="11C2F03E">
                  <w:pPr>
                    <w:adjustRightInd w:val="0"/>
                    <w:snapToGrid w:val="0"/>
                    <w:spacing w:line="240" w:lineRule="auto"/>
                    <w:ind w:firstLine="0" w:firstLineChars="0"/>
                    <w:jc w:val="center"/>
                    <w:textAlignment w:val="baseline"/>
                    <w:rPr>
                      <w:bCs/>
                      <w:sz w:val="21"/>
                      <w:szCs w:val="21"/>
                    </w:rPr>
                  </w:pPr>
                  <w:r>
                    <w:rPr>
                      <w:rFonts w:hint="eastAsia"/>
                      <w:bCs/>
                      <w:kern w:val="0"/>
                      <w:sz w:val="21"/>
                      <w:szCs w:val="21"/>
                    </w:rPr>
                    <w:t>非甲烷总烃</w:t>
                  </w:r>
                </w:p>
              </w:tc>
              <w:tc>
                <w:tcPr>
                  <w:tcW w:w="1514" w:type="dxa"/>
                  <w:tcBorders>
                    <w:tl2br w:val="nil"/>
                    <w:tr2bl w:val="nil"/>
                  </w:tcBorders>
                  <w:vAlign w:val="center"/>
                </w:tcPr>
                <w:p w14:paraId="610C9FD8">
                  <w:pPr>
                    <w:widowControl/>
                    <w:spacing w:line="240" w:lineRule="auto"/>
                    <w:ind w:firstLine="0" w:firstLineChars="0"/>
                    <w:jc w:val="center"/>
                    <w:textAlignment w:val="center"/>
                    <w:rPr>
                      <w:rFonts w:hint="default" w:eastAsia="宋体"/>
                      <w:bCs/>
                      <w:sz w:val="21"/>
                      <w:szCs w:val="21"/>
                      <w:lang w:val="en-US" w:eastAsia="zh-CN"/>
                    </w:rPr>
                  </w:pPr>
                  <w:r>
                    <w:rPr>
                      <w:rFonts w:hint="eastAsia"/>
                      <w:color w:val="000000"/>
                      <w:kern w:val="0"/>
                      <w:sz w:val="21"/>
                      <w:szCs w:val="21"/>
                      <w:lang w:bidi="ar"/>
                    </w:rPr>
                    <w:t>0.</w:t>
                  </w:r>
                  <w:r>
                    <w:rPr>
                      <w:rFonts w:hint="eastAsia"/>
                      <w:color w:val="000000"/>
                      <w:kern w:val="0"/>
                      <w:sz w:val="21"/>
                      <w:szCs w:val="21"/>
                      <w:lang w:val="en-US" w:eastAsia="zh-CN" w:bidi="ar"/>
                    </w:rPr>
                    <w:t>0376</w:t>
                  </w:r>
                </w:p>
              </w:tc>
            </w:tr>
            <w:tr w14:paraId="14B5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003" w:type="dxa"/>
                  <w:gridSpan w:val="2"/>
                  <w:vMerge w:val="continue"/>
                  <w:tcBorders>
                    <w:tl2br w:val="nil"/>
                    <w:tr2bl w:val="nil"/>
                  </w:tcBorders>
                  <w:vAlign w:val="center"/>
                </w:tcPr>
                <w:p w14:paraId="7F40BE94">
                  <w:pPr>
                    <w:widowControl/>
                    <w:spacing w:line="240" w:lineRule="auto"/>
                    <w:ind w:firstLine="0" w:firstLineChars="0"/>
                    <w:jc w:val="center"/>
                    <w:rPr>
                      <w:sz w:val="21"/>
                      <w:szCs w:val="21"/>
                    </w:rPr>
                  </w:pPr>
                </w:p>
              </w:tc>
              <w:tc>
                <w:tcPr>
                  <w:tcW w:w="4602" w:type="dxa"/>
                  <w:gridSpan w:val="3"/>
                  <w:tcBorders>
                    <w:tl2br w:val="nil"/>
                    <w:tr2bl w:val="nil"/>
                  </w:tcBorders>
                  <w:vAlign w:val="center"/>
                </w:tcPr>
                <w:p w14:paraId="6F5AA2F8">
                  <w:pPr>
                    <w:adjustRightInd w:val="0"/>
                    <w:snapToGrid w:val="0"/>
                    <w:spacing w:line="240" w:lineRule="auto"/>
                    <w:ind w:firstLine="0" w:firstLineChars="0"/>
                    <w:jc w:val="center"/>
                    <w:textAlignment w:val="baseline"/>
                    <w:rPr>
                      <w:bCs/>
                      <w:kern w:val="0"/>
                      <w:sz w:val="21"/>
                      <w:szCs w:val="21"/>
                    </w:rPr>
                  </w:pPr>
                  <w:r>
                    <w:rPr>
                      <w:rFonts w:hint="eastAsia"/>
                      <w:bCs/>
                      <w:kern w:val="0"/>
                      <w:sz w:val="21"/>
                      <w:szCs w:val="21"/>
                    </w:rPr>
                    <w:t>颗粒物</w:t>
                  </w:r>
                </w:p>
              </w:tc>
              <w:tc>
                <w:tcPr>
                  <w:tcW w:w="1514" w:type="dxa"/>
                  <w:tcBorders>
                    <w:tl2br w:val="nil"/>
                    <w:tr2bl w:val="nil"/>
                  </w:tcBorders>
                  <w:vAlign w:val="center"/>
                </w:tcPr>
                <w:p w14:paraId="31BD090D">
                  <w:pPr>
                    <w:widowControl/>
                    <w:spacing w:line="240" w:lineRule="auto"/>
                    <w:ind w:firstLine="0" w:firstLineChars="0"/>
                    <w:jc w:val="center"/>
                    <w:textAlignment w:val="center"/>
                    <w:rPr>
                      <w:sz w:val="21"/>
                      <w:szCs w:val="21"/>
                    </w:rPr>
                  </w:pPr>
                  <w:r>
                    <w:rPr>
                      <w:color w:val="000000"/>
                      <w:kern w:val="0"/>
                      <w:sz w:val="21"/>
                      <w:szCs w:val="21"/>
                      <w:lang w:bidi="ar"/>
                    </w:rPr>
                    <w:t>0.0</w:t>
                  </w:r>
                  <w:r>
                    <w:rPr>
                      <w:rFonts w:hint="eastAsia"/>
                      <w:color w:val="000000"/>
                      <w:kern w:val="0"/>
                      <w:sz w:val="21"/>
                      <w:szCs w:val="21"/>
                      <w:lang w:val="en-US" w:eastAsia="zh-CN" w:bidi="ar"/>
                    </w:rPr>
                    <w:t>314</w:t>
                  </w:r>
                </w:p>
              </w:tc>
            </w:tr>
          </w:tbl>
          <w:p w14:paraId="2FFA5F96">
            <w:pPr>
              <w:pStyle w:val="6"/>
              <w:tabs>
                <w:tab w:val="left" w:pos="0"/>
              </w:tabs>
              <w:adjustRightInd w:val="0"/>
              <w:spacing w:line="520" w:lineRule="exact"/>
              <w:ind w:firstLine="960" w:firstLineChars="400"/>
              <w:textAlignment w:val="baseline"/>
              <w:rPr>
                <w:rFonts w:eastAsia="黑体"/>
                <w:kern w:val="44"/>
                <w:sz w:val="24"/>
                <w:szCs w:val="24"/>
              </w:rPr>
            </w:pPr>
          </w:p>
          <w:p w14:paraId="3404C2E6">
            <w:pPr>
              <w:pStyle w:val="6"/>
              <w:tabs>
                <w:tab w:val="left" w:pos="0"/>
              </w:tabs>
              <w:adjustRightInd w:val="0"/>
              <w:spacing w:line="520" w:lineRule="exact"/>
              <w:ind w:firstLine="960" w:firstLineChars="400"/>
              <w:textAlignment w:val="baseline"/>
              <w:rPr>
                <w:rFonts w:eastAsia="黑体"/>
                <w:kern w:val="44"/>
                <w:sz w:val="24"/>
                <w:szCs w:val="24"/>
              </w:rPr>
            </w:pPr>
          </w:p>
          <w:p w14:paraId="361DCBD4">
            <w:pPr>
              <w:pStyle w:val="6"/>
              <w:tabs>
                <w:tab w:val="left" w:pos="0"/>
              </w:tabs>
              <w:adjustRightInd w:val="0"/>
              <w:spacing w:line="520" w:lineRule="exact"/>
              <w:ind w:firstLine="960" w:firstLineChars="400"/>
              <w:textAlignment w:val="baseline"/>
              <w:rPr>
                <w:rFonts w:eastAsia="黑体"/>
                <w:kern w:val="44"/>
                <w:sz w:val="24"/>
                <w:szCs w:val="24"/>
              </w:rPr>
            </w:pPr>
            <w:r>
              <w:rPr>
                <w:rFonts w:eastAsia="黑体"/>
                <w:kern w:val="44"/>
                <w:sz w:val="24"/>
                <w:szCs w:val="24"/>
              </w:rPr>
              <w:t>表</w:t>
            </w:r>
            <w:r>
              <w:rPr>
                <w:rFonts w:hint="eastAsia" w:eastAsia="黑体"/>
                <w:kern w:val="44"/>
                <w:sz w:val="24"/>
                <w:szCs w:val="24"/>
              </w:rPr>
              <w:t>4-3</w:t>
            </w:r>
            <w:r>
              <w:rPr>
                <w:rFonts w:eastAsia="黑体"/>
                <w:kern w:val="44"/>
                <w:sz w:val="24"/>
                <w:szCs w:val="24"/>
              </w:rPr>
              <w:t xml:space="preserve">            大气污染物无组织排放量核算表</w:t>
            </w:r>
          </w:p>
          <w:tbl>
            <w:tblPr>
              <w:tblStyle w:val="26"/>
              <w:tblW w:w="8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4"/>
              <w:gridCol w:w="653"/>
              <w:gridCol w:w="781"/>
              <w:gridCol w:w="812"/>
              <w:gridCol w:w="933"/>
              <w:gridCol w:w="2659"/>
              <w:gridCol w:w="982"/>
              <w:gridCol w:w="865"/>
            </w:tblGrid>
            <w:tr w14:paraId="5465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34" w:type="dxa"/>
                  <w:vMerge w:val="restart"/>
                  <w:tcBorders>
                    <w:tl2br w:val="nil"/>
                    <w:tr2bl w:val="nil"/>
                  </w:tcBorders>
                  <w:vAlign w:val="center"/>
                </w:tcPr>
                <w:p w14:paraId="7685DD3F">
                  <w:pPr>
                    <w:widowControl/>
                    <w:spacing w:line="240" w:lineRule="auto"/>
                    <w:ind w:firstLine="0" w:firstLineChars="0"/>
                    <w:jc w:val="center"/>
                    <w:rPr>
                      <w:b/>
                      <w:kern w:val="0"/>
                      <w:sz w:val="21"/>
                      <w:szCs w:val="21"/>
                    </w:rPr>
                  </w:pPr>
                  <w:r>
                    <w:rPr>
                      <w:b/>
                      <w:kern w:val="0"/>
                      <w:sz w:val="21"/>
                      <w:szCs w:val="21"/>
                    </w:rPr>
                    <w:t>序号</w:t>
                  </w:r>
                </w:p>
              </w:tc>
              <w:tc>
                <w:tcPr>
                  <w:tcW w:w="653" w:type="dxa"/>
                  <w:vMerge w:val="restart"/>
                  <w:tcBorders>
                    <w:tl2br w:val="nil"/>
                    <w:tr2bl w:val="nil"/>
                  </w:tcBorders>
                  <w:vAlign w:val="center"/>
                </w:tcPr>
                <w:p w14:paraId="2D23B0CC">
                  <w:pPr>
                    <w:widowControl/>
                    <w:spacing w:line="240" w:lineRule="auto"/>
                    <w:ind w:firstLine="0" w:firstLineChars="0"/>
                    <w:jc w:val="center"/>
                    <w:rPr>
                      <w:b/>
                      <w:kern w:val="0"/>
                      <w:sz w:val="21"/>
                      <w:szCs w:val="21"/>
                    </w:rPr>
                  </w:pPr>
                  <w:r>
                    <w:rPr>
                      <w:b/>
                      <w:kern w:val="0"/>
                      <w:sz w:val="21"/>
                      <w:szCs w:val="21"/>
                    </w:rPr>
                    <w:t>排放口编号</w:t>
                  </w:r>
                </w:p>
              </w:tc>
              <w:tc>
                <w:tcPr>
                  <w:tcW w:w="781" w:type="dxa"/>
                  <w:vMerge w:val="restart"/>
                  <w:tcBorders>
                    <w:tl2br w:val="nil"/>
                    <w:tr2bl w:val="nil"/>
                  </w:tcBorders>
                  <w:vAlign w:val="center"/>
                </w:tcPr>
                <w:p w14:paraId="11BEB21C">
                  <w:pPr>
                    <w:widowControl/>
                    <w:spacing w:line="240" w:lineRule="auto"/>
                    <w:ind w:firstLine="0" w:firstLineChars="0"/>
                    <w:jc w:val="center"/>
                    <w:rPr>
                      <w:b/>
                      <w:kern w:val="0"/>
                      <w:sz w:val="21"/>
                      <w:szCs w:val="21"/>
                    </w:rPr>
                  </w:pPr>
                  <w:r>
                    <w:rPr>
                      <w:b/>
                      <w:kern w:val="0"/>
                      <w:sz w:val="21"/>
                      <w:szCs w:val="21"/>
                    </w:rPr>
                    <w:t>产污</w:t>
                  </w:r>
                </w:p>
                <w:p w14:paraId="5DB233AD">
                  <w:pPr>
                    <w:widowControl/>
                    <w:spacing w:line="240" w:lineRule="auto"/>
                    <w:ind w:firstLine="0" w:firstLineChars="0"/>
                    <w:jc w:val="center"/>
                    <w:rPr>
                      <w:b/>
                      <w:kern w:val="0"/>
                      <w:sz w:val="21"/>
                      <w:szCs w:val="21"/>
                    </w:rPr>
                  </w:pPr>
                  <w:r>
                    <w:rPr>
                      <w:b/>
                      <w:kern w:val="0"/>
                      <w:sz w:val="21"/>
                      <w:szCs w:val="21"/>
                    </w:rPr>
                    <w:t>环节</w:t>
                  </w:r>
                </w:p>
              </w:tc>
              <w:tc>
                <w:tcPr>
                  <w:tcW w:w="812" w:type="dxa"/>
                  <w:vMerge w:val="restart"/>
                  <w:tcBorders>
                    <w:tl2br w:val="nil"/>
                    <w:tr2bl w:val="nil"/>
                  </w:tcBorders>
                  <w:vAlign w:val="center"/>
                </w:tcPr>
                <w:p w14:paraId="506BDD25">
                  <w:pPr>
                    <w:widowControl/>
                    <w:spacing w:line="240" w:lineRule="auto"/>
                    <w:ind w:firstLine="0" w:firstLineChars="0"/>
                    <w:jc w:val="center"/>
                    <w:rPr>
                      <w:b/>
                      <w:kern w:val="0"/>
                      <w:sz w:val="21"/>
                      <w:szCs w:val="21"/>
                    </w:rPr>
                  </w:pPr>
                  <w:r>
                    <w:rPr>
                      <w:b/>
                      <w:kern w:val="0"/>
                      <w:sz w:val="21"/>
                      <w:szCs w:val="21"/>
                    </w:rPr>
                    <w:t>污染物</w:t>
                  </w:r>
                </w:p>
              </w:tc>
              <w:tc>
                <w:tcPr>
                  <w:tcW w:w="933" w:type="dxa"/>
                  <w:vMerge w:val="restart"/>
                  <w:tcBorders>
                    <w:tl2br w:val="nil"/>
                    <w:tr2bl w:val="nil"/>
                  </w:tcBorders>
                  <w:vAlign w:val="center"/>
                </w:tcPr>
                <w:p w14:paraId="3B80A762">
                  <w:pPr>
                    <w:widowControl/>
                    <w:spacing w:line="240" w:lineRule="auto"/>
                    <w:ind w:firstLine="0" w:firstLineChars="0"/>
                    <w:jc w:val="center"/>
                    <w:rPr>
                      <w:b/>
                      <w:kern w:val="0"/>
                      <w:sz w:val="21"/>
                      <w:szCs w:val="21"/>
                    </w:rPr>
                  </w:pPr>
                  <w:r>
                    <w:rPr>
                      <w:b/>
                      <w:kern w:val="0"/>
                      <w:sz w:val="21"/>
                      <w:szCs w:val="21"/>
                    </w:rPr>
                    <w:t>主要防治措施</w:t>
                  </w:r>
                </w:p>
              </w:tc>
              <w:tc>
                <w:tcPr>
                  <w:tcW w:w="3641" w:type="dxa"/>
                  <w:gridSpan w:val="2"/>
                  <w:tcBorders>
                    <w:tl2br w:val="nil"/>
                    <w:tr2bl w:val="nil"/>
                  </w:tcBorders>
                  <w:vAlign w:val="center"/>
                </w:tcPr>
                <w:p w14:paraId="1B96CA6B">
                  <w:pPr>
                    <w:widowControl/>
                    <w:spacing w:line="240" w:lineRule="auto"/>
                    <w:ind w:firstLine="0" w:firstLineChars="0"/>
                    <w:jc w:val="center"/>
                    <w:rPr>
                      <w:b/>
                      <w:kern w:val="0"/>
                      <w:sz w:val="21"/>
                      <w:szCs w:val="21"/>
                    </w:rPr>
                  </w:pPr>
                  <w:r>
                    <w:rPr>
                      <w:b/>
                      <w:kern w:val="0"/>
                      <w:sz w:val="21"/>
                      <w:szCs w:val="21"/>
                    </w:rPr>
                    <w:t>国家或地方污染物排放标准</w:t>
                  </w:r>
                </w:p>
              </w:tc>
              <w:tc>
                <w:tcPr>
                  <w:tcW w:w="865" w:type="dxa"/>
                  <w:vMerge w:val="restart"/>
                  <w:tcBorders>
                    <w:tl2br w:val="nil"/>
                    <w:tr2bl w:val="nil"/>
                  </w:tcBorders>
                  <w:vAlign w:val="center"/>
                </w:tcPr>
                <w:p w14:paraId="4CD953B7">
                  <w:pPr>
                    <w:widowControl/>
                    <w:spacing w:line="240" w:lineRule="auto"/>
                    <w:ind w:firstLine="0" w:firstLineChars="0"/>
                    <w:jc w:val="center"/>
                    <w:rPr>
                      <w:b/>
                      <w:kern w:val="0"/>
                      <w:sz w:val="21"/>
                      <w:szCs w:val="21"/>
                    </w:rPr>
                  </w:pPr>
                  <w:r>
                    <w:rPr>
                      <w:b/>
                      <w:kern w:val="0"/>
                      <w:sz w:val="21"/>
                      <w:szCs w:val="21"/>
                    </w:rPr>
                    <w:t>年排放量（t/a）</w:t>
                  </w:r>
                </w:p>
              </w:tc>
            </w:tr>
            <w:tr w14:paraId="204F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34" w:type="dxa"/>
                  <w:vMerge w:val="continue"/>
                  <w:tcBorders>
                    <w:tl2br w:val="nil"/>
                    <w:tr2bl w:val="nil"/>
                  </w:tcBorders>
                  <w:vAlign w:val="center"/>
                </w:tcPr>
                <w:p w14:paraId="6615976A">
                  <w:pPr>
                    <w:widowControl/>
                    <w:spacing w:line="240" w:lineRule="auto"/>
                    <w:ind w:firstLine="0" w:firstLineChars="0"/>
                    <w:jc w:val="center"/>
                    <w:rPr>
                      <w:b/>
                    </w:rPr>
                  </w:pPr>
                </w:p>
              </w:tc>
              <w:tc>
                <w:tcPr>
                  <w:tcW w:w="653" w:type="dxa"/>
                  <w:vMerge w:val="continue"/>
                  <w:tcBorders>
                    <w:tl2br w:val="nil"/>
                    <w:tr2bl w:val="nil"/>
                  </w:tcBorders>
                  <w:vAlign w:val="center"/>
                </w:tcPr>
                <w:p w14:paraId="7686F2E7">
                  <w:pPr>
                    <w:widowControl/>
                    <w:spacing w:line="240" w:lineRule="auto"/>
                    <w:ind w:firstLine="0" w:firstLineChars="0"/>
                    <w:jc w:val="center"/>
                    <w:rPr>
                      <w:b/>
                    </w:rPr>
                  </w:pPr>
                </w:p>
              </w:tc>
              <w:tc>
                <w:tcPr>
                  <w:tcW w:w="781" w:type="dxa"/>
                  <w:vMerge w:val="continue"/>
                  <w:tcBorders>
                    <w:tl2br w:val="nil"/>
                    <w:tr2bl w:val="nil"/>
                  </w:tcBorders>
                  <w:vAlign w:val="center"/>
                </w:tcPr>
                <w:p w14:paraId="4AC5185D">
                  <w:pPr>
                    <w:widowControl/>
                    <w:spacing w:line="240" w:lineRule="auto"/>
                    <w:ind w:firstLine="0" w:firstLineChars="0"/>
                    <w:jc w:val="center"/>
                    <w:rPr>
                      <w:b/>
                    </w:rPr>
                  </w:pPr>
                </w:p>
              </w:tc>
              <w:tc>
                <w:tcPr>
                  <w:tcW w:w="812" w:type="dxa"/>
                  <w:vMerge w:val="continue"/>
                  <w:tcBorders>
                    <w:tl2br w:val="nil"/>
                    <w:tr2bl w:val="nil"/>
                  </w:tcBorders>
                  <w:vAlign w:val="center"/>
                </w:tcPr>
                <w:p w14:paraId="77531CE5">
                  <w:pPr>
                    <w:widowControl/>
                    <w:spacing w:line="240" w:lineRule="auto"/>
                    <w:ind w:firstLine="0" w:firstLineChars="0"/>
                    <w:jc w:val="center"/>
                    <w:rPr>
                      <w:b/>
                    </w:rPr>
                  </w:pPr>
                </w:p>
              </w:tc>
              <w:tc>
                <w:tcPr>
                  <w:tcW w:w="933" w:type="dxa"/>
                  <w:vMerge w:val="continue"/>
                  <w:tcBorders>
                    <w:tl2br w:val="nil"/>
                    <w:tr2bl w:val="nil"/>
                  </w:tcBorders>
                  <w:vAlign w:val="center"/>
                </w:tcPr>
                <w:p w14:paraId="32BC56B3">
                  <w:pPr>
                    <w:widowControl/>
                    <w:spacing w:line="240" w:lineRule="auto"/>
                    <w:ind w:firstLine="0" w:firstLineChars="0"/>
                    <w:jc w:val="center"/>
                    <w:rPr>
                      <w:b/>
                    </w:rPr>
                  </w:pPr>
                </w:p>
              </w:tc>
              <w:tc>
                <w:tcPr>
                  <w:tcW w:w="2659" w:type="dxa"/>
                  <w:tcBorders>
                    <w:tl2br w:val="nil"/>
                    <w:tr2bl w:val="nil"/>
                  </w:tcBorders>
                  <w:vAlign w:val="center"/>
                </w:tcPr>
                <w:p w14:paraId="2A847B9F">
                  <w:pPr>
                    <w:widowControl/>
                    <w:spacing w:line="240" w:lineRule="auto"/>
                    <w:ind w:firstLine="0" w:firstLineChars="0"/>
                    <w:jc w:val="center"/>
                    <w:rPr>
                      <w:b/>
                      <w:kern w:val="0"/>
                      <w:sz w:val="21"/>
                      <w:szCs w:val="21"/>
                    </w:rPr>
                  </w:pPr>
                  <w:r>
                    <w:rPr>
                      <w:b/>
                      <w:kern w:val="0"/>
                      <w:sz w:val="21"/>
                      <w:szCs w:val="21"/>
                    </w:rPr>
                    <w:t>标准名称</w:t>
                  </w:r>
                </w:p>
              </w:tc>
              <w:tc>
                <w:tcPr>
                  <w:tcW w:w="982" w:type="dxa"/>
                  <w:tcBorders>
                    <w:tl2br w:val="nil"/>
                    <w:tr2bl w:val="nil"/>
                  </w:tcBorders>
                  <w:vAlign w:val="center"/>
                </w:tcPr>
                <w:p w14:paraId="01DD1B30">
                  <w:pPr>
                    <w:widowControl/>
                    <w:spacing w:line="240" w:lineRule="auto"/>
                    <w:ind w:firstLine="0" w:firstLineChars="0"/>
                    <w:jc w:val="center"/>
                    <w:rPr>
                      <w:b/>
                      <w:kern w:val="0"/>
                      <w:sz w:val="21"/>
                      <w:szCs w:val="21"/>
                    </w:rPr>
                  </w:pPr>
                  <w:r>
                    <w:rPr>
                      <w:b/>
                      <w:kern w:val="0"/>
                      <w:sz w:val="21"/>
                      <w:szCs w:val="21"/>
                    </w:rPr>
                    <w:t>浓度</w:t>
                  </w:r>
                  <w:r>
                    <w:rPr>
                      <w:b/>
                      <w:sz w:val="21"/>
                      <w:szCs w:val="21"/>
                    </w:rPr>
                    <w:t>（mg/m</w:t>
                  </w:r>
                  <w:r>
                    <w:rPr>
                      <w:b/>
                      <w:sz w:val="21"/>
                      <w:szCs w:val="21"/>
                      <w:vertAlign w:val="superscript"/>
                    </w:rPr>
                    <w:t>3</w:t>
                  </w:r>
                  <w:r>
                    <w:rPr>
                      <w:b/>
                      <w:sz w:val="21"/>
                      <w:szCs w:val="21"/>
                    </w:rPr>
                    <w:t>）</w:t>
                  </w:r>
                </w:p>
              </w:tc>
              <w:tc>
                <w:tcPr>
                  <w:tcW w:w="865" w:type="dxa"/>
                  <w:vMerge w:val="continue"/>
                  <w:tcBorders>
                    <w:tl2br w:val="nil"/>
                    <w:tr2bl w:val="nil"/>
                  </w:tcBorders>
                  <w:vAlign w:val="center"/>
                </w:tcPr>
                <w:p w14:paraId="070C3762">
                  <w:pPr>
                    <w:widowControl/>
                    <w:spacing w:line="240" w:lineRule="auto"/>
                    <w:ind w:firstLine="0" w:firstLineChars="0"/>
                    <w:jc w:val="center"/>
                    <w:rPr>
                      <w:b/>
                      <w:kern w:val="0"/>
                      <w:sz w:val="21"/>
                      <w:szCs w:val="21"/>
                    </w:rPr>
                  </w:pPr>
                </w:p>
              </w:tc>
            </w:tr>
            <w:tr w14:paraId="7EBB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34" w:type="dxa"/>
                  <w:tcBorders>
                    <w:tl2br w:val="nil"/>
                    <w:tr2bl w:val="nil"/>
                  </w:tcBorders>
                  <w:vAlign w:val="center"/>
                </w:tcPr>
                <w:p w14:paraId="74EC6C9F">
                  <w:pPr>
                    <w:widowControl/>
                    <w:spacing w:line="240" w:lineRule="auto"/>
                    <w:ind w:firstLine="0" w:firstLineChars="0"/>
                    <w:jc w:val="center"/>
                    <w:rPr>
                      <w:kern w:val="0"/>
                      <w:sz w:val="21"/>
                      <w:szCs w:val="21"/>
                    </w:rPr>
                  </w:pPr>
                  <w:r>
                    <w:rPr>
                      <w:rFonts w:hint="eastAsia"/>
                      <w:kern w:val="0"/>
                      <w:sz w:val="21"/>
                      <w:szCs w:val="21"/>
                    </w:rPr>
                    <w:t>1</w:t>
                  </w:r>
                </w:p>
              </w:tc>
              <w:tc>
                <w:tcPr>
                  <w:tcW w:w="653" w:type="dxa"/>
                  <w:vMerge w:val="restart"/>
                  <w:tcBorders>
                    <w:tl2br w:val="nil"/>
                    <w:tr2bl w:val="nil"/>
                  </w:tcBorders>
                  <w:vAlign w:val="center"/>
                </w:tcPr>
                <w:p w14:paraId="76DF462D">
                  <w:pPr>
                    <w:widowControl/>
                    <w:spacing w:line="240" w:lineRule="auto"/>
                    <w:ind w:firstLine="0" w:firstLineChars="0"/>
                    <w:jc w:val="center"/>
                    <w:rPr>
                      <w:kern w:val="0"/>
                      <w:sz w:val="21"/>
                      <w:szCs w:val="21"/>
                    </w:rPr>
                  </w:pPr>
                  <w:r>
                    <w:rPr>
                      <w:rFonts w:hint="eastAsia"/>
                      <w:sz w:val="21"/>
                      <w:szCs w:val="21"/>
                    </w:rPr>
                    <w:t>生产</w:t>
                  </w:r>
                  <w:r>
                    <w:rPr>
                      <w:sz w:val="21"/>
                    </w:rPr>
                    <w:t>车间</w:t>
                  </w:r>
                </w:p>
              </w:tc>
              <w:tc>
                <w:tcPr>
                  <w:tcW w:w="781" w:type="dxa"/>
                  <w:tcBorders>
                    <w:tl2br w:val="nil"/>
                    <w:tr2bl w:val="nil"/>
                  </w:tcBorders>
                  <w:vAlign w:val="center"/>
                </w:tcPr>
                <w:p w14:paraId="4D5224F5">
                  <w:pPr>
                    <w:widowControl/>
                    <w:spacing w:line="240" w:lineRule="auto"/>
                    <w:ind w:firstLine="0" w:firstLineChars="0"/>
                    <w:jc w:val="center"/>
                    <w:rPr>
                      <w:kern w:val="0"/>
                      <w:sz w:val="21"/>
                      <w:szCs w:val="21"/>
                    </w:rPr>
                  </w:pPr>
                  <w:r>
                    <w:rPr>
                      <w:rFonts w:hint="eastAsia"/>
                      <w:kern w:val="0"/>
                      <w:sz w:val="21"/>
                      <w:szCs w:val="21"/>
                    </w:rPr>
                    <w:t>印花、复合、雕花、压花、开口工序</w:t>
                  </w:r>
                </w:p>
              </w:tc>
              <w:tc>
                <w:tcPr>
                  <w:tcW w:w="812" w:type="dxa"/>
                  <w:tcBorders>
                    <w:tl2br w:val="nil"/>
                    <w:tr2bl w:val="nil"/>
                  </w:tcBorders>
                  <w:vAlign w:val="center"/>
                </w:tcPr>
                <w:p w14:paraId="44C7D225">
                  <w:pPr>
                    <w:widowControl/>
                    <w:spacing w:line="240" w:lineRule="auto"/>
                    <w:ind w:firstLine="0" w:firstLineChars="0"/>
                    <w:jc w:val="center"/>
                    <w:rPr>
                      <w:kern w:val="0"/>
                      <w:sz w:val="21"/>
                      <w:szCs w:val="21"/>
                    </w:rPr>
                  </w:pPr>
                  <w:r>
                    <w:rPr>
                      <w:rFonts w:hint="eastAsia"/>
                      <w:kern w:val="0"/>
                      <w:sz w:val="21"/>
                      <w:szCs w:val="21"/>
                    </w:rPr>
                    <w:t>非甲烷总烃</w:t>
                  </w:r>
                </w:p>
              </w:tc>
              <w:tc>
                <w:tcPr>
                  <w:tcW w:w="933" w:type="dxa"/>
                  <w:vMerge w:val="restart"/>
                  <w:tcBorders>
                    <w:tl2br w:val="nil"/>
                    <w:tr2bl w:val="nil"/>
                  </w:tcBorders>
                  <w:vAlign w:val="center"/>
                </w:tcPr>
                <w:p w14:paraId="2A8C2613">
                  <w:pPr>
                    <w:widowControl/>
                    <w:spacing w:line="240" w:lineRule="auto"/>
                    <w:ind w:firstLine="0" w:firstLineChars="0"/>
                    <w:jc w:val="center"/>
                    <w:rPr>
                      <w:kern w:val="0"/>
                      <w:sz w:val="21"/>
                      <w:szCs w:val="21"/>
                    </w:rPr>
                  </w:pPr>
                  <w:r>
                    <w:rPr>
                      <w:rFonts w:hint="eastAsia"/>
                      <w:kern w:val="0"/>
                      <w:sz w:val="21"/>
                      <w:szCs w:val="21"/>
                    </w:rPr>
                    <w:t>车间密闭，</w:t>
                  </w:r>
                  <w:r>
                    <w:rPr>
                      <w:bCs/>
                      <w:sz w:val="21"/>
                      <w:szCs w:val="21"/>
                    </w:rPr>
                    <w:t>加强管理，保证废气处理设施</w:t>
                  </w:r>
                  <w:r>
                    <w:rPr>
                      <w:rFonts w:hint="eastAsia"/>
                      <w:bCs/>
                      <w:sz w:val="21"/>
                      <w:szCs w:val="21"/>
                    </w:rPr>
                    <w:t>正常</w:t>
                  </w:r>
                  <w:r>
                    <w:rPr>
                      <w:bCs/>
                      <w:sz w:val="21"/>
                      <w:szCs w:val="21"/>
                    </w:rPr>
                    <w:t>运行</w:t>
                  </w:r>
                </w:p>
              </w:tc>
              <w:tc>
                <w:tcPr>
                  <w:tcW w:w="2659" w:type="dxa"/>
                  <w:tcBorders>
                    <w:tl2br w:val="nil"/>
                    <w:tr2bl w:val="nil"/>
                  </w:tcBorders>
                  <w:vAlign w:val="center"/>
                </w:tcPr>
                <w:p w14:paraId="4AA9D8D2">
                  <w:pPr>
                    <w:widowControl/>
                    <w:spacing w:line="240" w:lineRule="auto"/>
                    <w:ind w:firstLine="0" w:firstLineChars="0"/>
                    <w:jc w:val="center"/>
                    <w:rPr>
                      <w:kern w:val="0"/>
                      <w:sz w:val="21"/>
                      <w:szCs w:val="21"/>
                    </w:rPr>
                  </w:pPr>
                  <w:r>
                    <w:rPr>
                      <w:rFonts w:hint="eastAsia"/>
                      <w:kern w:val="0"/>
                      <w:sz w:val="21"/>
                      <w:szCs w:val="21"/>
                    </w:rPr>
                    <w:t>《大气污染物综合排放标准》（GB16297-1996）、《河南省重污染天气重点行业应急减排措施制定技术指南</w:t>
                  </w:r>
                  <w:r>
                    <w:rPr>
                      <w:rFonts w:hint="eastAsia"/>
                      <w:kern w:val="0"/>
                      <w:sz w:val="21"/>
                      <w:szCs w:val="21"/>
                      <w:lang w:eastAsia="zh-CN"/>
                    </w:rPr>
                    <w:t xml:space="preserve">（2024年修订版）》 </w:t>
                  </w:r>
                  <w:r>
                    <w:rPr>
                      <w:rFonts w:hint="eastAsia"/>
                      <w:kern w:val="0"/>
                      <w:sz w:val="21"/>
                      <w:szCs w:val="21"/>
                    </w:rPr>
                    <w:t>“纺织印染与服饰制造”绩效分级A级</w:t>
                  </w:r>
                </w:p>
              </w:tc>
              <w:tc>
                <w:tcPr>
                  <w:tcW w:w="982" w:type="dxa"/>
                  <w:tcBorders>
                    <w:tl2br w:val="nil"/>
                    <w:tr2bl w:val="nil"/>
                  </w:tcBorders>
                  <w:vAlign w:val="center"/>
                </w:tcPr>
                <w:p w14:paraId="1641C184">
                  <w:pPr>
                    <w:widowControl/>
                    <w:spacing w:line="240" w:lineRule="auto"/>
                    <w:ind w:firstLine="0" w:firstLineChars="0"/>
                    <w:jc w:val="center"/>
                    <w:rPr>
                      <w:kern w:val="0"/>
                      <w:sz w:val="21"/>
                      <w:szCs w:val="21"/>
                    </w:rPr>
                  </w:pPr>
                  <w:r>
                    <w:rPr>
                      <w:rFonts w:hint="eastAsia"/>
                      <w:kern w:val="0"/>
                      <w:sz w:val="21"/>
                      <w:szCs w:val="21"/>
                    </w:rPr>
                    <w:t>2.0</w:t>
                  </w:r>
                </w:p>
              </w:tc>
              <w:tc>
                <w:tcPr>
                  <w:tcW w:w="865" w:type="dxa"/>
                  <w:tcBorders>
                    <w:tl2br w:val="nil"/>
                    <w:tr2bl w:val="nil"/>
                  </w:tcBorders>
                  <w:vAlign w:val="center"/>
                </w:tcPr>
                <w:p w14:paraId="2DB6C763">
                  <w:pPr>
                    <w:widowControl/>
                    <w:spacing w:line="240" w:lineRule="auto"/>
                    <w:ind w:firstLine="0" w:firstLineChars="0"/>
                    <w:jc w:val="center"/>
                    <w:rPr>
                      <w:rFonts w:hint="default" w:eastAsia="宋体"/>
                      <w:kern w:val="0"/>
                      <w:sz w:val="21"/>
                      <w:szCs w:val="21"/>
                      <w:lang w:val="en-US" w:eastAsia="zh-CN"/>
                    </w:rPr>
                  </w:pPr>
                  <w:r>
                    <w:rPr>
                      <w:rFonts w:hint="eastAsia"/>
                      <w:kern w:val="0"/>
                      <w:sz w:val="21"/>
                      <w:szCs w:val="21"/>
                      <w:lang w:eastAsia="zh-CN"/>
                    </w:rPr>
                    <w:t>0.</w:t>
                  </w:r>
                  <w:r>
                    <w:rPr>
                      <w:rFonts w:hint="eastAsia"/>
                      <w:kern w:val="0"/>
                      <w:sz w:val="21"/>
                      <w:szCs w:val="21"/>
                      <w:lang w:val="en-US" w:eastAsia="zh-CN"/>
                    </w:rPr>
                    <w:t>0396</w:t>
                  </w:r>
                </w:p>
              </w:tc>
            </w:tr>
            <w:tr w14:paraId="78F9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34" w:type="dxa"/>
                  <w:tcBorders>
                    <w:tl2br w:val="nil"/>
                    <w:tr2bl w:val="nil"/>
                  </w:tcBorders>
                  <w:vAlign w:val="center"/>
                </w:tcPr>
                <w:p w14:paraId="433863B3">
                  <w:pPr>
                    <w:widowControl/>
                    <w:spacing w:line="240" w:lineRule="auto"/>
                    <w:ind w:firstLine="0" w:firstLineChars="0"/>
                    <w:jc w:val="center"/>
                    <w:rPr>
                      <w:kern w:val="0"/>
                      <w:sz w:val="21"/>
                      <w:szCs w:val="21"/>
                    </w:rPr>
                  </w:pPr>
                  <w:r>
                    <w:rPr>
                      <w:rFonts w:hint="eastAsia"/>
                      <w:kern w:val="0"/>
                      <w:sz w:val="21"/>
                      <w:szCs w:val="21"/>
                    </w:rPr>
                    <w:t>2</w:t>
                  </w:r>
                </w:p>
              </w:tc>
              <w:tc>
                <w:tcPr>
                  <w:tcW w:w="653" w:type="dxa"/>
                  <w:vMerge w:val="continue"/>
                  <w:tcBorders>
                    <w:tl2br w:val="nil"/>
                    <w:tr2bl w:val="nil"/>
                  </w:tcBorders>
                  <w:vAlign w:val="center"/>
                </w:tcPr>
                <w:p w14:paraId="538E240B">
                  <w:pPr>
                    <w:widowControl/>
                    <w:spacing w:line="240" w:lineRule="auto"/>
                    <w:ind w:firstLine="0" w:firstLineChars="0"/>
                    <w:jc w:val="center"/>
                    <w:rPr>
                      <w:kern w:val="0"/>
                      <w:sz w:val="21"/>
                      <w:szCs w:val="21"/>
                    </w:rPr>
                  </w:pPr>
                </w:p>
              </w:tc>
              <w:tc>
                <w:tcPr>
                  <w:tcW w:w="781" w:type="dxa"/>
                  <w:tcBorders>
                    <w:tl2br w:val="nil"/>
                    <w:tr2bl w:val="nil"/>
                  </w:tcBorders>
                  <w:vAlign w:val="center"/>
                </w:tcPr>
                <w:p w14:paraId="53AF9267">
                  <w:pPr>
                    <w:widowControl/>
                    <w:spacing w:line="240" w:lineRule="auto"/>
                    <w:ind w:firstLine="0" w:firstLineChars="0"/>
                    <w:jc w:val="center"/>
                    <w:rPr>
                      <w:kern w:val="0"/>
                      <w:sz w:val="21"/>
                      <w:szCs w:val="21"/>
                    </w:rPr>
                  </w:pPr>
                  <w:r>
                    <w:rPr>
                      <w:kern w:val="0"/>
                      <w:sz w:val="21"/>
                      <w:szCs w:val="21"/>
                    </w:rPr>
                    <w:t>雕花、压花、清理、开口工序</w:t>
                  </w:r>
                </w:p>
              </w:tc>
              <w:tc>
                <w:tcPr>
                  <w:tcW w:w="812" w:type="dxa"/>
                  <w:tcBorders>
                    <w:tl2br w:val="nil"/>
                    <w:tr2bl w:val="nil"/>
                  </w:tcBorders>
                  <w:vAlign w:val="center"/>
                </w:tcPr>
                <w:p w14:paraId="3725502E">
                  <w:pPr>
                    <w:widowControl/>
                    <w:spacing w:line="240" w:lineRule="auto"/>
                    <w:ind w:firstLine="0" w:firstLineChars="0"/>
                    <w:jc w:val="center"/>
                    <w:rPr>
                      <w:kern w:val="0"/>
                      <w:sz w:val="21"/>
                      <w:szCs w:val="21"/>
                    </w:rPr>
                  </w:pPr>
                  <w:r>
                    <w:rPr>
                      <w:kern w:val="0"/>
                      <w:sz w:val="21"/>
                      <w:szCs w:val="21"/>
                    </w:rPr>
                    <w:t>颗粒物</w:t>
                  </w:r>
                </w:p>
              </w:tc>
              <w:tc>
                <w:tcPr>
                  <w:tcW w:w="933" w:type="dxa"/>
                  <w:vMerge w:val="continue"/>
                  <w:tcBorders>
                    <w:tl2br w:val="nil"/>
                    <w:tr2bl w:val="nil"/>
                  </w:tcBorders>
                  <w:vAlign w:val="center"/>
                </w:tcPr>
                <w:p w14:paraId="3464CF1D">
                  <w:pPr>
                    <w:widowControl/>
                    <w:spacing w:line="240" w:lineRule="auto"/>
                    <w:ind w:firstLine="0" w:firstLineChars="0"/>
                    <w:jc w:val="center"/>
                    <w:rPr>
                      <w:kern w:val="0"/>
                      <w:sz w:val="21"/>
                      <w:szCs w:val="21"/>
                    </w:rPr>
                  </w:pPr>
                </w:p>
              </w:tc>
              <w:tc>
                <w:tcPr>
                  <w:tcW w:w="2659" w:type="dxa"/>
                  <w:tcBorders>
                    <w:tl2br w:val="nil"/>
                    <w:tr2bl w:val="nil"/>
                  </w:tcBorders>
                  <w:vAlign w:val="center"/>
                </w:tcPr>
                <w:p w14:paraId="77232046">
                  <w:pPr>
                    <w:widowControl/>
                    <w:spacing w:line="240" w:lineRule="auto"/>
                    <w:ind w:firstLine="0" w:firstLineChars="0"/>
                    <w:jc w:val="center"/>
                    <w:rPr>
                      <w:kern w:val="0"/>
                      <w:sz w:val="21"/>
                      <w:szCs w:val="21"/>
                    </w:rPr>
                  </w:pPr>
                  <w:r>
                    <w:rPr>
                      <w:kern w:val="0"/>
                      <w:sz w:val="21"/>
                      <w:szCs w:val="21"/>
                    </w:rPr>
                    <w:t>《大气污染物综合排放标准》（GB16297-1996）</w:t>
                  </w:r>
                  <w:r>
                    <w:rPr>
                      <w:rFonts w:hint="eastAsia"/>
                      <w:kern w:val="0"/>
                      <w:sz w:val="21"/>
                      <w:szCs w:val="21"/>
                    </w:rPr>
                    <w:t>、新乡市生态环境局《关于进一步规范工业企业颗粒物排放限值的通知》的要求</w:t>
                  </w:r>
                </w:p>
              </w:tc>
              <w:tc>
                <w:tcPr>
                  <w:tcW w:w="982" w:type="dxa"/>
                  <w:tcBorders>
                    <w:tl2br w:val="nil"/>
                    <w:tr2bl w:val="nil"/>
                  </w:tcBorders>
                  <w:vAlign w:val="center"/>
                </w:tcPr>
                <w:p w14:paraId="0A5DD843">
                  <w:pPr>
                    <w:widowControl/>
                    <w:spacing w:line="240" w:lineRule="auto"/>
                    <w:ind w:firstLine="0" w:firstLineChars="0"/>
                    <w:jc w:val="center"/>
                    <w:rPr>
                      <w:kern w:val="0"/>
                      <w:sz w:val="21"/>
                      <w:szCs w:val="21"/>
                    </w:rPr>
                  </w:pPr>
                  <w:r>
                    <w:rPr>
                      <w:rFonts w:hint="eastAsia"/>
                      <w:kern w:val="0"/>
                      <w:sz w:val="21"/>
                      <w:szCs w:val="21"/>
                    </w:rPr>
                    <w:t>0.5</w:t>
                  </w:r>
                </w:p>
              </w:tc>
              <w:tc>
                <w:tcPr>
                  <w:tcW w:w="865" w:type="dxa"/>
                  <w:tcBorders>
                    <w:tl2br w:val="nil"/>
                    <w:tr2bl w:val="nil"/>
                  </w:tcBorders>
                  <w:vAlign w:val="center"/>
                </w:tcPr>
                <w:p w14:paraId="6C66C5AB">
                  <w:pPr>
                    <w:widowControl/>
                    <w:spacing w:line="240" w:lineRule="auto"/>
                    <w:ind w:firstLine="0" w:firstLineChars="0"/>
                    <w:jc w:val="center"/>
                    <w:rPr>
                      <w:rFonts w:hint="eastAsia" w:eastAsia="宋体"/>
                      <w:kern w:val="0"/>
                      <w:sz w:val="21"/>
                      <w:szCs w:val="21"/>
                      <w:lang w:eastAsia="zh-CN"/>
                    </w:rPr>
                  </w:pPr>
                  <w:r>
                    <w:rPr>
                      <w:rFonts w:hint="eastAsia"/>
                      <w:kern w:val="0"/>
                      <w:sz w:val="21"/>
                      <w:szCs w:val="21"/>
                      <w:lang w:eastAsia="zh-CN"/>
                    </w:rPr>
                    <w:t>0.0165</w:t>
                  </w:r>
                </w:p>
              </w:tc>
            </w:tr>
            <w:tr w14:paraId="68E0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80" w:type="dxa"/>
                  <w:gridSpan w:val="4"/>
                  <w:vMerge w:val="restart"/>
                  <w:tcBorders>
                    <w:tl2br w:val="nil"/>
                    <w:tr2bl w:val="nil"/>
                  </w:tcBorders>
                  <w:vAlign w:val="center"/>
                </w:tcPr>
                <w:p w14:paraId="666C4A74">
                  <w:pPr>
                    <w:widowControl/>
                    <w:spacing w:line="240" w:lineRule="auto"/>
                    <w:ind w:firstLine="0" w:firstLineChars="0"/>
                    <w:jc w:val="center"/>
                    <w:rPr>
                      <w:kern w:val="0"/>
                      <w:sz w:val="21"/>
                      <w:szCs w:val="21"/>
                    </w:rPr>
                  </w:pPr>
                  <w:r>
                    <w:rPr>
                      <w:kern w:val="0"/>
                      <w:sz w:val="21"/>
                      <w:szCs w:val="21"/>
                    </w:rPr>
                    <w:t>无组织排放合计</w:t>
                  </w:r>
                </w:p>
              </w:tc>
              <w:tc>
                <w:tcPr>
                  <w:tcW w:w="3592" w:type="dxa"/>
                  <w:gridSpan w:val="2"/>
                  <w:tcBorders>
                    <w:tl2br w:val="nil"/>
                    <w:tr2bl w:val="nil"/>
                  </w:tcBorders>
                  <w:vAlign w:val="center"/>
                </w:tcPr>
                <w:p w14:paraId="2FF18F74">
                  <w:pPr>
                    <w:widowControl/>
                    <w:spacing w:line="240" w:lineRule="auto"/>
                    <w:ind w:firstLine="0" w:firstLineChars="0"/>
                    <w:jc w:val="center"/>
                    <w:rPr>
                      <w:kern w:val="0"/>
                      <w:sz w:val="21"/>
                      <w:szCs w:val="21"/>
                    </w:rPr>
                  </w:pPr>
                  <w:r>
                    <w:rPr>
                      <w:rFonts w:hint="eastAsia"/>
                      <w:kern w:val="0"/>
                      <w:sz w:val="21"/>
                      <w:szCs w:val="21"/>
                    </w:rPr>
                    <w:t>非甲烷总烃</w:t>
                  </w:r>
                </w:p>
              </w:tc>
              <w:tc>
                <w:tcPr>
                  <w:tcW w:w="1847" w:type="dxa"/>
                  <w:gridSpan w:val="2"/>
                  <w:tcBorders>
                    <w:tl2br w:val="nil"/>
                    <w:tr2bl w:val="nil"/>
                  </w:tcBorders>
                  <w:vAlign w:val="center"/>
                </w:tcPr>
                <w:p w14:paraId="6675ACD3">
                  <w:pPr>
                    <w:widowControl/>
                    <w:spacing w:line="240" w:lineRule="auto"/>
                    <w:ind w:firstLine="0" w:firstLineChars="0"/>
                    <w:jc w:val="center"/>
                    <w:rPr>
                      <w:rFonts w:hint="default" w:eastAsia="宋体"/>
                      <w:kern w:val="0"/>
                      <w:sz w:val="21"/>
                      <w:szCs w:val="21"/>
                      <w:lang w:val="en-US" w:eastAsia="zh-CN"/>
                    </w:rPr>
                  </w:pPr>
                  <w:r>
                    <w:rPr>
                      <w:rFonts w:hint="eastAsia"/>
                      <w:kern w:val="0"/>
                      <w:sz w:val="21"/>
                      <w:szCs w:val="21"/>
                      <w:lang w:eastAsia="zh-CN"/>
                    </w:rPr>
                    <w:t>0.</w:t>
                  </w:r>
                  <w:r>
                    <w:rPr>
                      <w:rFonts w:hint="eastAsia"/>
                      <w:kern w:val="0"/>
                      <w:sz w:val="21"/>
                      <w:szCs w:val="21"/>
                      <w:lang w:val="en-US" w:eastAsia="zh-CN"/>
                    </w:rPr>
                    <w:t>0396</w:t>
                  </w:r>
                </w:p>
              </w:tc>
            </w:tr>
            <w:tr w14:paraId="3235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680" w:type="dxa"/>
                  <w:gridSpan w:val="4"/>
                  <w:vMerge w:val="continue"/>
                  <w:tcBorders>
                    <w:tl2br w:val="nil"/>
                    <w:tr2bl w:val="nil"/>
                  </w:tcBorders>
                  <w:vAlign w:val="center"/>
                </w:tcPr>
                <w:p w14:paraId="51DA62B6">
                  <w:pPr>
                    <w:widowControl/>
                    <w:spacing w:line="240" w:lineRule="auto"/>
                    <w:ind w:firstLine="0" w:firstLineChars="0"/>
                    <w:jc w:val="center"/>
                    <w:rPr>
                      <w:kern w:val="0"/>
                      <w:sz w:val="21"/>
                      <w:szCs w:val="21"/>
                    </w:rPr>
                  </w:pPr>
                </w:p>
              </w:tc>
              <w:tc>
                <w:tcPr>
                  <w:tcW w:w="3592" w:type="dxa"/>
                  <w:gridSpan w:val="2"/>
                  <w:tcBorders>
                    <w:tl2br w:val="nil"/>
                    <w:tr2bl w:val="nil"/>
                  </w:tcBorders>
                  <w:vAlign w:val="center"/>
                </w:tcPr>
                <w:p w14:paraId="4974609F">
                  <w:pPr>
                    <w:widowControl/>
                    <w:spacing w:line="240" w:lineRule="auto"/>
                    <w:ind w:firstLine="0" w:firstLineChars="0"/>
                    <w:jc w:val="center"/>
                    <w:rPr>
                      <w:kern w:val="0"/>
                      <w:sz w:val="21"/>
                      <w:szCs w:val="21"/>
                    </w:rPr>
                  </w:pPr>
                  <w:r>
                    <w:rPr>
                      <w:kern w:val="0"/>
                      <w:sz w:val="21"/>
                      <w:szCs w:val="21"/>
                    </w:rPr>
                    <w:t>颗粒物</w:t>
                  </w:r>
                </w:p>
              </w:tc>
              <w:tc>
                <w:tcPr>
                  <w:tcW w:w="1847" w:type="dxa"/>
                  <w:gridSpan w:val="2"/>
                  <w:tcBorders>
                    <w:tl2br w:val="nil"/>
                    <w:tr2bl w:val="nil"/>
                  </w:tcBorders>
                  <w:vAlign w:val="center"/>
                </w:tcPr>
                <w:p w14:paraId="655D7289">
                  <w:pPr>
                    <w:widowControl/>
                    <w:spacing w:line="240" w:lineRule="auto"/>
                    <w:ind w:firstLine="0" w:firstLineChars="0"/>
                    <w:jc w:val="center"/>
                    <w:rPr>
                      <w:rFonts w:hint="eastAsia" w:eastAsia="宋体"/>
                      <w:kern w:val="0"/>
                      <w:sz w:val="21"/>
                      <w:szCs w:val="21"/>
                      <w:lang w:eastAsia="zh-CN"/>
                    </w:rPr>
                  </w:pPr>
                  <w:r>
                    <w:rPr>
                      <w:rFonts w:hint="eastAsia"/>
                      <w:kern w:val="0"/>
                      <w:sz w:val="21"/>
                      <w:szCs w:val="21"/>
                      <w:lang w:eastAsia="zh-CN"/>
                    </w:rPr>
                    <w:t>0.0165</w:t>
                  </w:r>
                </w:p>
              </w:tc>
            </w:tr>
          </w:tbl>
          <w:p w14:paraId="5573460B">
            <w:pPr>
              <w:spacing w:line="520" w:lineRule="exact"/>
              <w:ind w:firstLine="960" w:firstLineChars="400"/>
              <w:rPr>
                <w:rFonts w:eastAsia="黑体"/>
                <w:kern w:val="44"/>
              </w:rPr>
            </w:pPr>
            <w:r>
              <w:rPr>
                <w:rFonts w:eastAsia="黑体"/>
                <w:kern w:val="44"/>
              </w:rPr>
              <w:t>表</w:t>
            </w:r>
            <w:r>
              <w:rPr>
                <w:rFonts w:hint="eastAsia" w:eastAsia="黑体"/>
                <w:kern w:val="44"/>
              </w:rPr>
              <w:t>4-4</w:t>
            </w:r>
            <w:r>
              <w:rPr>
                <w:rFonts w:eastAsia="黑体"/>
                <w:kern w:val="44"/>
              </w:rPr>
              <w:t xml:space="preserve">            大气污染物年排放量核算表</w:t>
            </w:r>
          </w:p>
          <w:tbl>
            <w:tblPr>
              <w:tblStyle w:val="26"/>
              <w:tblW w:w="8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707"/>
              <w:gridCol w:w="2709"/>
              <w:gridCol w:w="2702"/>
            </w:tblGrid>
            <w:tr w14:paraId="79C8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07" w:type="dxa"/>
                  <w:tcBorders>
                    <w:tl2br w:val="nil"/>
                    <w:tr2bl w:val="nil"/>
                  </w:tcBorders>
                  <w:vAlign w:val="center"/>
                </w:tcPr>
                <w:p w14:paraId="648C4CB0">
                  <w:pPr>
                    <w:widowControl/>
                    <w:spacing w:line="240" w:lineRule="atLeast"/>
                    <w:ind w:firstLine="422"/>
                    <w:jc w:val="center"/>
                    <w:rPr>
                      <w:b/>
                      <w:kern w:val="0"/>
                      <w:sz w:val="21"/>
                      <w:szCs w:val="21"/>
                    </w:rPr>
                  </w:pPr>
                  <w:r>
                    <w:rPr>
                      <w:b/>
                      <w:kern w:val="0"/>
                      <w:sz w:val="21"/>
                      <w:szCs w:val="21"/>
                    </w:rPr>
                    <w:t>序号</w:t>
                  </w:r>
                </w:p>
              </w:tc>
              <w:tc>
                <w:tcPr>
                  <w:tcW w:w="2709" w:type="dxa"/>
                  <w:tcBorders>
                    <w:tl2br w:val="nil"/>
                    <w:tr2bl w:val="nil"/>
                  </w:tcBorders>
                  <w:vAlign w:val="center"/>
                </w:tcPr>
                <w:p w14:paraId="061771C5">
                  <w:pPr>
                    <w:widowControl/>
                    <w:spacing w:line="240" w:lineRule="atLeast"/>
                    <w:ind w:firstLine="422"/>
                    <w:jc w:val="center"/>
                    <w:rPr>
                      <w:b/>
                      <w:kern w:val="0"/>
                      <w:sz w:val="21"/>
                      <w:szCs w:val="21"/>
                    </w:rPr>
                  </w:pPr>
                  <w:r>
                    <w:rPr>
                      <w:b/>
                      <w:kern w:val="0"/>
                      <w:sz w:val="21"/>
                      <w:szCs w:val="21"/>
                    </w:rPr>
                    <w:t>污染物</w:t>
                  </w:r>
                </w:p>
              </w:tc>
              <w:tc>
                <w:tcPr>
                  <w:tcW w:w="2702" w:type="dxa"/>
                  <w:tcBorders>
                    <w:tl2br w:val="nil"/>
                    <w:tr2bl w:val="nil"/>
                  </w:tcBorders>
                  <w:vAlign w:val="center"/>
                </w:tcPr>
                <w:p w14:paraId="6FB0E982">
                  <w:pPr>
                    <w:widowControl/>
                    <w:spacing w:line="240" w:lineRule="atLeast"/>
                    <w:ind w:firstLine="422"/>
                    <w:jc w:val="center"/>
                    <w:rPr>
                      <w:b/>
                      <w:kern w:val="0"/>
                      <w:sz w:val="21"/>
                      <w:szCs w:val="21"/>
                    </w:rPr>
                  </w:pPr>
                  <w:r>
                    <w:rPr>
                      <w:b/>
                      <w:kern w:val="0"/>
                      <w:sz w:val="21"/>
                      <w:szCs w:val="21"/>
                    </w:rPr>
                    <w:t>年排放量（t/a）</w:t>
                  </w:r>
                </w:p>
              </w:tc>
            </w:tr>
            <w:tr w14:paraId="76AE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07" w:type="dxa"/>
                  <w:tcBorders>
                    <w:tl2br w:val="nil"/>
                    <w:tr2bl w:val="nil"/>
                  </w:tcBorders>
                  <w:vAlign w:val="center"/>
                </w:tcPr>
                <w:p w14:paraId="74D55DBE">
                  <w:pPr>
                    <w:widowControl/>
                    <w:spacing w:line="240" w:lineRule="atLeast"/>
                    <w:ind w:firstLine="420"/>
                    <w:jc w:val="center"/>
                    <w:rPr>
                      <w:kern w:val="0"/>
                      <w:sz w:val="21"/>
                      <w:szCs w:val="21"/>
                    </w:rPr>
                  </w:pPr>
                  <w:r>
                    <w:rPr>
                      <w:kern w:val="0"/>
                      <w:sz w:val="21"/>
                      <w:szCs w:val="21"/>
                    </w:rPr>
                    <w:t>1</w:t>
                  </w:r>
                </w:p>
              </w:tc>
              <w:tc>
                <w:tcPr>
                  <w:tcW w:w="2709" w:type="dxa"/>
                  <w:tcBorders>
                    <w:tl2br w:val="nil"/>
                    <w:tr2bl w:val="nil"/>
                  </w:tcBorders>
                  <w:vAlign w:val="center"/>
                </w:tcPr>
                <w:p w14:paraId="5129D522">
                  <w:pPr>
                    <w:widowControl/>
                    <w:spacing w:line="240" w:lineRule="atLeast"/>
                    <w:ind w:firstLine="420"/>
                    <w:jc w:val="center"/>
                    <w:rPr>
                      <w:kern w:val="0"/>
                      <w:sz w:val="21"/>
                      <w:szCs w:val="21"/>
                    </w:rPr>
                  </w:pPr>
                  <w:r>
                    <w:rPr>
                      <w:rFonts w:hint="eastAsia"/>
                      <w:kern w:val="0"/>
                      <w:sz w:val="21"/>
                      <w:szCs w:val="21"/>
                    </w:rPr>
                    <w:t>非甲烷总烃</w:t>
                  </w:r>
                </w:p>
              </w:tc>
              <w:tc>
                <w:tcPr>
                  <w:tcW w:w="2702" w:type="dxa"/>
                  <w:tcBorders>
                    <w:tl2br w:val="nil"/>
                    <w:tr2bl w:val="nil"/>
                  </w:tcBorders>
                  <w:vAlign w:val="center"/>
                </w:tcPr>
                <w:p w14:paraId="179285BC">
                  <w:pPr>
                    <w:widowControl/>
                    <w:spacing w:line="240" w:lineRule="auto"/>
                    <w:ind w:firstLine="0" w:firstLineChars="0"/>
                    <w:jc w:val="center"/>
                    <w:textAlignment w:val="center"/>
                    <w:rPr>
                      <w:rFonts w:hint="eastAsia" w:eastAsia="宋体"/>
                      <w:kern w:val="0"/>
                      <w:sz w:val="21"/>
                      <w:szCs w:val="21"/>
                      <w:lang w:eastAsia="zh-CN"/>
                    </w:rPr>
                  </w:pPr>
                  <w:r>
                    <w:rPr>
                      <w:rFonts w:hint="eastAsia"/>
                      <w:color w:val="000000"/>
                      <w:kern w:val="0"/>
                      <w:sz w:val="21"/>
                      <w:szCs w:val="21"/>
                      <w:lang w:eastAsia="zh-CN" w:bidi="ar"/>
                    </w:rPr>
                    <w:t>0.0772</w:t>
                  </w:r>
                </w:p>
              </w:tc>
            </w:tr>
            <w:tr w14:paraId="1E4D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07" w:type="dxa"/>
                  <w:tcBorders>
                    <w:tl2br w:val="nil"/>
                    <w:tr2bl w:val="nil"/>
                  </w:tcBorders>
                  <w:vAlign w:val="center"/>
                </w:tcPr>
                <w:p w14:paraId="6575CEA9">
                  <w:pPr>
                    <w:widowControl/>
                    <w:spacing w:line="240" w:lineRule="atLeast"/>
                    <w:ind w:firstLine="420"/>
                    <w:jc w:val="center"/>
                    <w:rPr>
                      <w:kern w:val="0"/>
                      <w:sz w:val="21"/>
                      <w:szCs w:val="21"/>
                    </w:rPr>
                  </w:pPr>
                  <w:r>
                    <w:rPr>
                      <w:rFonts w:hint="eastAsia"/>
                      <w:kern w:val="0"/>
                      <w:sz w:val="21"/>
                      <w:szCs w:val="21"/>
                    </w:rPr>
                    <w:t>2</w:t>
                  </w:r>
                </w:p>
              </w:tc>
              <w:tc>
                <w:tcPr>
                  <w:tcW w:w="2709" w:type="dxa"/>
                  <w:tcBorders>
                    <w:tl2br w:val="nil"/>
                    <w:tr2bl w:val="nil"/>
                  </w:tcBorders>
                  <w:vAlign w:val="center"/>
                </w:tcPr>
                <w:p w14:paraId="15B51BA1">
                  <w:pPr>
                    <w:widowControl/>
                    <w:spacing w:line="240" w:lineRule="atLeast"/>
                    <w:ind w:firstLine="420"/>
                    <w:jc w:val="center"/>
                    <w:rPr>
                      <w:kern w:val="0"/>
                      <w:sz w:val="21"/>
                      <w:szCs w:val="21"/>
                    </w:rPr>
                  </w:pPr>
                  <w:r>
                    <w:rPr>
                      <w:kern w:val="0"/>
                      <w:sz w:val="21"/>
                      <w:szCs w:val="21"/>
                    </w:rPr>
                    <w:t>颗粒物</w:t>
                  </w:r>
                </w:p>
              </w:tc>
              <w:tc>
                <w:tcPr>
                  <w:tcW w:w="2702" w:type="dxa"/>
                  <w:tcBorders>
                    <w:tl2br w:val="nil"/>
                    <w:tr2bl w:val="nil"/>
                  </w:tcBorders>
                  <w:vAlign w:val="center"/>
                </w:tcPr>
                <w:p w14:paraId="094B0359">
                  <w:pPr>
                    <w:widowControl/>
                    <w:spacing w:line="240" w:lineRule="auto"/>
                    <w:ind w:firstLine="0" w:firstLineChars="0"/>
                    <w:jc w:val="center"/>
                    <w:textAlignment w:val="center"/>
                    <w:rPr>
                      <w:rFonts w:hint="eastAsia" w:eastAsia="宋体"/>
                      <w:kern w:val="0"/>
                      <w:sz w:val="21"/>
                      <w:szCs w:val="21"/>
                      <w:lang w:eastAsia="zh-CN"/>
                    </w:rPr>
                  </w:pPr>
                  <w:r>
                    <w:rPr>
                      <w:rFonts w:hint="eastAsia"/>
                      <w:color w:val="000000"/>
                      <w:kern w:val="0"/>
                      <w:sz w:val="21"/>
                      <w:szCs w:val="21"/>
                      <w:lang w:eastAsia="zh-CN" w:bidi="ar"/>
                    </w:rPr>
                    <w:t>0.0479</w:t>
                  </w:r>
                </w:p>
              </w:tc>
            </w:tr>
          </w:tbl>
          <w:p w14:paraId="36C6DE41">
            <w:pPr>
              <w:snapToGrid w:val="0"/>
              <w:spacing w:line="520" w:lineRule="exact"/>
              <w:ind w:firstLine="482"/>
              <w:jc w:val="left"/>
              <w:rPr>
                <w:b/>
              </w:rPr>
            </w:pPr>
            <w:r>
              <w:rPr>
                <w:rFonts w:hint="eastAsia"/>
                <w:b/>
              </w:rPr>
              <w:t xml:space="preserve">1.5 </w:t>
            </w:r>
            <w:r>
              <w:rPr>
                <w:b/>
              </w:rPr>
              <w:t>污染物排放口基本情况</w:t>
            </w:r>
          </w:p>
          <w:p w14:paraId="16640947">
            <w:pPr>
              <w:snapToGrid w:val="0"/>
              <w:spacing w:line="520" w:lineRule="exact"/>
              <w:ind w:firstLine="480"/>
              <w:rPr>
                <w:rFonts w:eastAsia="黑体"/>
                <w:kern w:val="44"/>
              </w:rPr>
            </w:pPr>
            <w:r>
              <w:rPr>
                <w:bCs/>
              </w:rPr>
              <w:t>①有组织废气</w:t>
            </w:r>
            <w:r>
              <w:rPr>
                <w:rFonts w:hint="eastAsia"/>
                <w:bCs/>
              </w:rPr>
              <w:t>排放口</w:t>
            </w:r>
          </w:p>
          <w:p w14:paraId="61545996">
            <w:pPr>
              <w:pStyle w:val="74"/>
              <w:ind w:firstLine="960" w:firstLineChars="400"/>
              <w:rPr>
                <w:color w:val="auto"/>
                <w:kern w:val="44"/>
                <w:szCs w:val="24"/>
              </w:rPr>
            </w:pPr>
            <w:r>
              <w:rPr>
                <w:color w:val="auto"/>
                <w:kern w:val="44"/>
                <w:szCs w:val="24"/>
              </w:rPr>
              <w:t>表</w:t>
            </w:r>
            <w:r>
              <w:rPr>
                <w:rFonts w:hint="eastAsia"/>
                <w:color w:val="auto"/>
                <w:kern w:val="44"/>
                <w:szCs w:val="24"/>
              </w:rPr>
              <w:t>4-5</w:t>
            </w:r>
            <w:r>
              <w:rPr>
                <w:color w:val="auto"/>
                <w:kern w:val="44"/>
                <w:szCs w:val="24"/>
              </w:rPr>
              <w:t xml:space="preserve"> </w:t>
            </w:r>
            <w:r>
              <w:rPr>
                <w:rFonts w:hint="eastAsia"/>
                <w:color w:val="auto"/>
                <w:kern w:val="44"/>
                <w:szCs w:val="24"/>
              </w:rPr>
              <w:t xml:space="preserve">         </w:t>
            </w:r>
            <w:r>
              <w:rPr>
                <w:color w:val="auto"/>
                <w:kern w:val="44"/>
                <w:szCs w:val="24"/>
              </w:rPr>
              <w:t>有组织废气</w:t>
            </w:r>
            <w:r>
              <w:rPr>
                <w:rFonts w:hint="eastAsia"/>
                <w:color w:val="auto"/>
                <w:kern w:val="44"/>
                <w:szCs w:val="24"/>
              </w:rPr>
              <w:t>排放口基本情况一览表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51" w:type="dxa"/>
                <w:bottom w:w="0" w:type="dxa"/>
                <w:right w:w="51" w:type="dxa"/>
              </w:tblCellMar>
            </w:tblPr>
            <w:tblGrid>
              <w:gridCol w:w="757"/>
              <w:gridCol w:w="759"/>
              <w:gridCol w:w="1119"/>
              <w:gridCol w:w="999"/>
              <w:gridCol w:w="779"/>
              <w:gridCol w:w="673"/>
              <w:gridCol w:w="793"/>
              <w:gridCol w:w="855"/>
              <w:gridCol w:w="750"/>
              <w:gridCol w:w="628"/>
            </w:tblGrid>
            <w:tr w14:paraId="7FF6C1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51" w:type="dxa"/>
                  <w:bottom w:w="0" w:type="dxa"/>
                  <w:right w:w="51" w:type="dxa"/>
                </w:tblCellMar>
              </w:tblPrEx>
              <w:trPr>
                <w:cantSplit/>
                <w:trHeight w:val="624" w:hRule="atLeast"/>
                <w:jc w:val="center"/>
              </w:trPr>
              <w:tc>
                <w:tcPr>
                  <w:tcW w:w="466" w:type="pct"/>
                  <w:vMerge w:val="restart"/>
                  <w:tcBorders>
                    <w:right w:val="single" w:color="auto" w:sz="4" w:space="0"/>
                  </w:tcBorders>
                  <w:vAlign w:val="center"/>
                </w:tcPr>
                <w:p w14:paraId="5D228E5B">
                  <w:pPr>
                    <w:widowControl/>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排放口编号</w:t>
                  </w:r>
                </w:p>
              </w:tc>
              <w:tc>
                <w:tcPr>
                  <w:tcW w:w="467" w:type="pct"/>
                  <w:vMerge w:val="restart"/>
                  <w:tcBorders>
                    <w:left w:val="single" w:color="auto" w:sz="4" w:space="0"/>
                  </w:tcBorders>
                  <w:vAlign w:val="center"/>
                </w:tcPr>
                <w:p w14:paraId="5824C001">
                  <w:pPr>
                    <w:widowControl/>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rPr>
                    <w:t>名称</w:t>
                  </w:r>
                </w:p>
              </w:tc>
              <w:tc>
                <w:tcPr>
                  <w:tcW w:w="1303" w:type="pct"/>
                  <w:gridSpan w:val="2"/>
                  <w:tcBorders>
                    <w:bottom w:val="single" w:color="auto" w:sz="4" w:space="0"/>
                  </w:tcBorders>
                  <w:vAlign w:val="center"/>
                </w:tcPr>
                <w:p w14:paraId="3D71BCBA">
                  <w:pPr>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排气筒底部中心坐标/°</w:t>
                  </w:r>
                </w:p>
              </w:tc>
              <w:tc>
                <w:tcPr>
                  <w:tcW w:w="480" w:type="pct"/>
                  <w:vMerge w:val="restart"/>
                  <w:vAlign w:val="center"/>
                </w:tcPr>
                <w:p w14:paraId="5D8D4F88">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排气筒</w:t>
                  </w:r>
                </w:p>
                <w:p w14:paraId="0889448E">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高度</w:t>
                  </w:r>
                </w:p>
                <w:p w14:paraId="1D065ECC">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(m)</w:t>
                  </w:r>
                </w:p>
              </w:tc>
              <w:tc>
                <w:tcPr>
                  <w:tcW w:w="415" w:type="pct"/>
                  <w:vMerge w:val="restart"/>
                  <w:vAlign w:val="center"/>
                </w:tcPr>
                <w:p w14:paraId="0F63F244">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排气筒内径(m)</w:t>
                  </w:r>
                </w:p>
              </w:tc>
              <w:tc>
                <w:tcPr>
                  <w:tcW w:w="489" w:type="pct"/>
                  <w:vMerge w:val="restart"/>
                  <w:vAlign w:val="center"/>
                </w:tcPr>
                <w:p w14:paraId="1E97536C">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烟气出口温度</w:t>
                  </w:r>
                </w:p>
                <w:p w14:paraId="2DAA2F7E">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w:t>
                  </w:r>
                </w:p>
              </w:tc>
              <w:tc>
                <w:tcPr>
                  <w:tcW w:w="526" w:type="pct"/>
                  <w:vMerge w:val="restart"/>
                  <w:vAlign w:val="center"/>
                </w:tcPr>
                <w:p w14:paraId="180ABC94">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年排放小时数</w:t>
                  </w:r>
                </w:p>
                <w:p w14:paraId="6AF98A7F">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（h）</w:t>
                  </w:r>
                </w:p>
              </w:tc>
              <w:tc>
                <w:tcPr>
                  <w:tcW w:w="462" w:type="pct"/>
                  <w:vMerge w:val="restart"/>
                  <w:vAlign w:val="center"/>
                </w:tcPr>
                <w:p w14:paraId="32B2FF12">
                  <w:pPr>
                    <w:widowControl/>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排放口类型</w:t>
                  </w:r>
                </w:p>
              </w:tc>
              <w:tc>
                <w:tcPr>
                  <w:tcW w:w="387" w:type="pct"/>
                  <w:vMerge w:val="restart"/>
                  <w:vAlign w:val="center"/>
                </w:tcPr>
                <w:p w14:paraId="5A80DCCE">
                  <w:pPr>
                    <w:widowControl/>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排放工况</w:t>
                  </w:r>
                </w:p>
              </w:tc>
            </w:tr>
            <w:tr w14:paraId="621EC5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51" w:type="dxa"/>
                  <w:bottom w:w="0" w:type="dxa"/>
                  <w:right w:w="51" w:type="dxa"/>
                </w:tblCellMar>
              </w:tblPrEx>
              <w:trPr>
                <w:cantSplit/>
                <w:trHeight w:val="428" w:hRule="atLeast"/>
                <w:jc w:val="center"/>
              </w:trPr>
              <w:tc>
                <w:tcPr>
                  <w:tcW w:w="466" w:type="pct"/>
                  <w:vMerge w:val="continue"/>
                  <w:tcBorders>
                    <w:right w:val="single" w:color="auto" w:sz="4" w:space="0"/>
                  </w:tcBorders>
                  <w:vAlign w:val="center"/>
                </w:tcPr>
                <w:p w14:paraId="07365621">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p>
              </w:tc>
              <w:tc>
                <w:tcPr>
                  <w:tcW w:w="467" w:type="pct"/>
                  <w:vMerge w:val="continue"/>
                  <w:tcBorders>
                    <w:left w:val="single" w:color="auto" w:sz="4" w:space="0"/>
                  </w:tcBorders>
                  <w:vAlign w:val="center"/>
                </w:tcPr>
                <w:p w14:paraId="1FD505F9">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p>
              </w:tc>
              <w:tc>
                <w:tcPr>
                  <w:tcW w:w="688" w:type="pct"/>
                  <w:tcBorders>
                    <w:top w:val="single" w:color="auto" w:sz="4" w:space="0"/>
                    <w:right w:val="single" w:color="auto" w:sz="4" w:space="0"/>
                  </w:tcBorders>
                  <w:vAlign w:val="center"/>
                </w:tcPr>
                <w:p w14:paraId="6BDAB998">
                  <w:pPr>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X</w:t>
                  </w:r>
                </w:p>
              </w:tc>
              <w:tc>
                <w:tcPr>
                  <w:tcW w:w="615" w:type="pct"/>
                  <w:tcBorders>
                    <w:top w:val="single" w:color="auto" w:sz="4" w:space="0"/>
                    <w:left w:val="single" w:color="auto" w:sz="4" w:space="0"/>
                  </w:tcBorders>
                  <w:vAlign w:val="center"/>
                </w:tcPr>
                <w:p w14:paraId="264C9013">
                  <w:pPr>
                    <w:widowControl/>
                    <w:adjustRightInd w:val="0"/>
                    <w:snapToGrid w:val="0"/>
                    <w:spacing w:line="240" w:lineRule="auto"/>
                    <w:ind w:firstLine="0" w:firstLineChars="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Y</w:t>
                  </w:r>
                </w:p>
              </w:tc>
              <w:tc>
                <w:tcPr>
                  <w:tcW w:w="480" w:type="pct"/>
                  <w:vMerge w:val="continue"/>
                  <w:vAlign w:val="center"/>
                </w:tcPr>
                <w:p w14:paraId="799ED8DE">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p>
              </w:tc>
              <w:tc>
                <w:tcPr>
                  <w:tcW w:w="415" w:type="pct"/>
                  <w:vMerge w:val="continue"/>
                  <w:vAlign w:val="center"/>
                </w:tcPr>
                <w:p w14:paraId="0F767B2B">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p>
              </w:tc>
              <w:tc>
                <w:tcPr>
                  <w:tcW w:w="489" w:type="pct"/>
                  <w:vMerge w:val="continue"/>
                  <w:vAlign w:val="center"/>
                </w:tcPr>
                <w:p w14:paraId="7B4A3DE2">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p>
              </w:tc>
              <w:tc>
                <w:tcPr>
                  <w:tcW w:w="526" w:type="pct"/>
                  <w:vMerge w:val="continue"/>
                  <w:vAlign w:val="center"/>
                </w:tcPr>
                <w:p w14:paraId="42A57BA5">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p>
              </w:tc>
              <w:tc>
                <w:tcPr>
                  <w:tcW w:w="462" w:type="pct"/>
                  <w:vMerge w:val="continue"/>
                  <w:vAlign w:val="center"/>
                </w:tcPr>
                <w:p w14:paraId="25C85040">
                  <w:pPr>
                    <w:widowControl/>
                    <w:adjustRightInd w:val="0"/>
                    <w:snapToGrid w:val="0"/>
                    <w:spacing w:line="240" w:lineRule="auto"/>
                    <w:ind w:firstLine="0" w:firstLineChars="0"/>
                    <w:jc w:val="center"/>
                    <w:rPr>
                      <w:rFonts w:hint="default" w:ascii="Times New Roman" w:hAnsi="Times New Roman" w:eastAsia="宋体" w:cs="Times New Roman"/>
                      <w:sz w:val="21"/>
                      <w:szCs w:val="21"/>
                    </w:rPr>
                  </w:pPr>
                </w:p>
              </w:tc>
              <w:tc>
                <w:tcPr>
                  <w:tcW w:w="387" w:type="pct"/>
                  <w:vMerge w:val="continue"/>
                  <w:vAlign w:val="center"/>
                </w:tcPr>
                <w:p w14:paraId="49298FB2">
                  <w:pPr>
                    <w:widowControl/>
                    <w:adjustRightInd w:val="0"/>
                    <w:snapToGrid w:val="0"/>
                    <w:spacing w:line="240" w:lineRule="auto"/>
                    <w:ind w:firstLine="0" w:firstLineChars="0"/>
                    <w:jc w:val="center"/>
                    <w:rPr>
                      <w:rFonts w:hint="default" w:ascii="Times New Roman" w:hAnsi="Times New Roman" w:eastAsia="宋体" w:cs="Times New Roman"/>
                      <w:sz w:val="21"/>
                      <w:szCs w:val="21"/>
                    </w:rPr>
                  </w:pPr>
                </w:p>
              </w:tc>
            </w:tr>
            <w:tr w14:paraId="29DD22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51" w:type="dxa"/>
                  <w:bottom w:w="0" w:type="dxa"/>
                  <w:right w:w="51" w:type="dxa"/>
                </w:tblCellMar>
              </w:tblPrEx>
              <w:trPr>
                <w:cantSplit/>
                <w:trHeight w:val="907" w:hRule="atLeast"/>
                <w:jc w:val="center"/>
              </w:trPr>
              <w:tc>
                <w:tcPr>
                  <w:tcW w:w="466" w:type="pct"/>
                  <w:tcBorders>
                    <w:right w:val="single" w:color="auto" w:sz="4" w:space="0"/>
                  </w:tcBorders>
                  <w:vAlign w:val="center"/>
                </w:tcPr>
                <w:p w14:paraId="171DA3B1">
                  <w:pPr>
                    <w:snapToGrid w:val="0"/>
                    <w:spacing w:line="240" w:lineRule="auto"/>
                    <w:ind w:firstLine="0" w:firstLineChars="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DA001</w:t>
                  </w:r>
                </w:p>
              </w:tc>
              <w:tc>
                <w:tcPr>
                  <w:tcW w:w="467" w:type="pct"/>
                  <w:tcBorders>
                    <w:left w:val="single" w:color="auto" w:sz="4" w:space="0"/>
                  </w:tcBorders>
                  <w:vAlign w:val="center"/>
                </w:tcPr>
                <w:p w14:paraId="082F94EA">
                  <w:pPr>
                    <w:widowControl/>
                    <w:spacing w:line="240" w:lineRule="auto"/>
                    <w:ind w:firstLine="0" w:firstLineChars="0"/>
                    <w:jc w:val="center"/>
                    <w:rPr>
                      <w:rFonts w:hint="default" w:ascii="Times New Roman" w:hAnsi="Times New Roman" w:eastAsia="宋体" w:cs="Times New Roman"/>
                      <w:kern w:val="0"/>
                      <w:sz w:val="21"/>
                      <w:szCs w:val="21"/>
                    </w:rPr>
                  </w:pPr>
                  <w:r>
                    <w:rPr>
                      <w:rFonts w:hint="default" w:ascii="Times New Roman" w:hAnsi="Times New Roman" w:eastAsia="宋体" w:cs="Times New Roman"/>
                      <w:bCs/>
                      <w:kern w:val="0"/>
                      <w:sz w:val="21"/>
                      <w:szCs w:val="21"/>
                    </w:rPr>
                    <w:t>废气排气筒</w:t>
                  </w:r>
                </w:p>
              </w:tc>
              <w:tc>
                <w:tcPr>
                  <w:tcW w:w="688" w:type="pct"/>
                  <w:tcBorders>
                    <w:right w:val="single" w:color="auto" w:sz="4" w:space="0"/>
                  </w:tcBorders>
                  <w:vAlign w:val="center"/>
                </w:tcPr>
                <w:p w14:paraId="28C04421">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113.881026</w:t>
                  </w:r>
                </w:p>
              </w:tc>
              <w:tc>
                <w:tcPr>
                  <w:tcW w:w="615" w:type="pct"/>
                  <w:tcBorders>
                    <w:left w:val="single" w:color="auto" w:sz="4" w:space="0"/>
                  </w:tcBorders>
                  <w:vAlign w:val="center"/>
                </w:tcPr>
                <w:p w14:paraId="4A88166D">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35.38471</w:t>
                  </w:r>
                </w:p>
              </w:tc>
              <w:tc>
                <w:tcPr>
                  <w:tcW w:w="480" w:type="pct"/>
                  <w:vAlign w:val="center"/>
                </w:tcPr>
                <w:p w14:paraId="257DFBAD">
                  <w:pPr>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415" w:type="pct"/>
                  <w:vAlign w:val="center"/>
                </w:tcPr>
                <w:p w14:paraId="226DF276">
                  <w:pPr>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489" w:type="pct"/>
                  <w:vAlign w:val="center"/>
                </w:tcPr>
                <w:p w14:paraId="385B6C12">
                  <w:pPr>
                    <w:widowControl/>
                    <w:adjustRightInd w:val="0"/>
                    <w:snapToGrid w:val="0"/>
                    <w:spacing w:line="240" w:lineRule="auto"/>
                    <w:ind w:firstLine="0" w:firstLineChars="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25</w:t>
                  </w:r>
                </w:p>
              </w:tc>
              <w:tc>
                <w:tcPr>
                  <w:tcW w:w="526" w:type="pct"/>
                  <w:vAlign w:val="center"/>
                </w:tcPr>
                <w:p w14:paraId="676947F6">
                  <w:pPr>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4800</w:t>
                  </w:r>
                </w:p>
              </w:tc>
              <w:tc>
                <w:tcPr>
                  <w:tcW w:w="462" w:type="pct"/>
                  <w:tcMar>
                    <w:top w:w="0" w:type="dxa"/>
                    <w:left w:w="57" w:type="dxa"/>
                    <w:bottom w:w="0" w:type="dxa"/>
                    <w:right w:w="57" w:type="dxa"/>
                  </w:tcMar>
                  <w:vAlign w:val="center"/>
                </w:tcPr>
                <w:p w14:paraId="62A6109B">
                  <w:pPr>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一般排放口</w:t>
                  </w:r>
                </w:p>
              </w:tc>
              <w:tc>
                <w:tcPr>
                  <w:tcW w:w="387" w:type="pct"/>
                  <w:tcMar>
                    <w:top w:w="0" w:type="dxa"/>
                    <w:left w:w="57" w:type="dxa"/>
                    <w:bottom w:w="0" w:type="dxa"/>
                    <w:right w:w="57" w:type="dxa"/>
                  </w:tcMar>
                  <w:vAlign w:val="center"/>
                </w:tcPr>
                <w:p w14:paraId="3102721B">
                  <w:pPr>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正常</w:t>
                  </w:r>
                </w:p>
              </w:tc>
            </w:tr>
          </w:tbl>
          <w:p w14:paraId="55098722">
            <w:pPr>
              <w:snapToGrid w:val="0"/>
              <w:spacing w:line="520" w:lineRule="exact"/>
              <w:ind w:firstLine="480"/>
              <w:rPr>
                <w:bCs/>
              </w:rPr>
            </w:pPr>
            <w:r>
              <w:rPr>
                <w:bCs/>
              </w:rPr>
              <w:t>②无组织废气</w:t>
            </w:r>
            <w:r>
              <w:rPr>
                <w:rFonts w:hint="eastAsia"/>
                <w:bCs/>
              </w:rPr>
              <w:t>排放</w:t>
            </w:r>
          </w:p>
          <w:p w14:paraId="3ED78BCE">
            <w:pPr>
              <w:pStyle w:val="74"/>
              <w:ind w:firstLine="960" w:firstLineChars="400"/>
              <w:rPr>
                <w:rFonts w:eastAsia="宋体"/>
                <w:b/>
                <w:bCs/>
                <w:color w:val="auto"/>
                <w:szCs w:val="24"/>
              </w:rPr>
            </w:pPr>
            <w:r>
              <w:rPr>
                <w:color w:val="auto"/>
                <w:kern w:val="44"/>
                <w:szCs w:val="24"/>
              </w:rPr>
              <w:t>表</w:t>
            </w:r>
            <w:r>
              <w:rPr>
                <w:rFonts w:hint="eastAsia"/>
                <w:color w:val="auto"/>
                <w:kern w:val="44"/>
                <w:szCs w:val="24"/>
              </w:rPr>
              <w:t>4-6           无</w:t>
            </w:r>
            <w:r>
              <w:rPr>
                <w:color w:val="auto"/>
                <w:kern w:val="44"/>
                <w:szCs w:val="24"/>
              </w:rPr>
              <w:t>组织废气</w:t>
            </w:r>
            <w:r>
              <w:rPr>
                <w:rFonts w:hint="eastAsia"/>
                <w:color w:val="auto"/>
                <w:kern w:val="44"/>
                <w:szCs w:val="24"/>
              </w:rPr>
              <w:t>排放基本情况一览表</w:t>
            </w:r>
          </w:p>
          <w:tbl>
            <w:tblPr>
              <w:tblStyle w:val="26"/>
              <w:tblW w:w="49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888"/>
              <w:gridCol w:w="1225"/>
              <w:gridCol w:w="1202"/>
              <w:gridCol w:w="713"/>
              <w:gridCol w:w="646"/>
              <w:gridCol w:w="691"/>
              <w:gridCol w:w="877"/>
              <w:gridCol w:w="692"/>
              <w:gridCol w:w="644"/>
            </w:tblGrid>
            <w:tr w14:paraId="6141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5" w:type="pct"/>
                  <w:vMerge w:val="restart"/>
                  <w:vAlign w:val="center"/>
                </w:tcPr>
                <w:p w14:paraId="69F98727">
                  <w:pPr>
                    <w:spacing w:line="240" w:lineRule="auto"/>
                    <w:ind w:firstLine="0" w:firstLineChars="0"/>
                    <w:jc w:val="center"/>
                    <w:rPr>
                      <w:b/>
                      <w:bCs/>
                      <w:sz w:val="21"/>
                      <w:szCs w:val="21"/>
                    </w:rPr>
                  </w:pPr>
                  <w:r>
                    <w:rPr>
                      <w:b/>
                      <w:bCs/>
                      <w:sz w:val="21"/>
                      <w:szCs w:val="21"/>
                    </w:rPr>
                    <w:t>编号</w:t>
                  </w:r>
                </w:p>
              </w:tc>
              <w:tc>
                <w:tcPr>
                  <w:tcW w:w="548" w:type="pct"/>
                  <w:vMerge w:val="restart"/>
                  <w:vAlign w:val="center"/>
                </w:tcPr>
                <w:p w14:paraId="07C9326B">
                  <w:pPr>
                    <w:spacing w:line="240" w:lineRule="auto"/>
                    <w:ind w:firstLine="0" w:firstLineChars="0"/>
                    <w:jc w:val="center"/>
                    <w:rPr>
                      <w:b/>
                      <w:bCs/>
                      <w:sz w:val="21"/>
                      <w:szCs w:val="21"/>
                    </w:rPr>
                  </w:pPr>
                  <w:r>
                    <w:rPr>
                      <w:b/>
                      <w:bCs/>
                      <w:sz w:val="21"/>
                      <w:szCs w:val="21"/>
                    </w:rPr>
                    <w:t>名称</w:t>
                  </w:r>
                </w:p>
              </w:tc>
              <w:tc>
                <w:tcPr>
                  <w:tcW w:w="1498" w:type="pct"/>
                  <w:gridSpan w:val="2"/>
                  <w:vAlign w:val="center"/>
                </w:tcPr>
                <w:p w14:paraId="1096D563">
                  <w:pPr>
                    <w:pStyle w:val="73"/>
                    <w:snapToGrid w:val="0"/>
                    <w:jc w:val="center"/>
                    <w:rPr>
                      <w:rFonts w:ascii="Times New Roman" w:cs="Times New Roman"/>
                      <w:b/>
                      <w:bCs/>
                      <w:color w:val="auto"/>
                      <w:sz w:val="21"/>
                      <w:szCs w:val="21"/>
                    </w:rPr>
                  </w:pPr>
                  <w:r>
                    <w:rPr>
                      <w:rFonts w:ascii="Times New Roman" w:cs="Times New Roman"/>
                      <w:b/>
                      <w:bCs/>
                      <w:color w:val="auto"/>
                      <w:sz w:val="21"/>
                      <w:szCs w:val="21"/>
                    </w:rPr>
                    <w:t>面源起点坐标/°</w:t>
                  </w:r>
                </w:p>
              </w:tc>
              <w:tc>
                <w:tcPr>
                  <w:tcW w:w="441" w:type="pct"/>
                  <w:vMerge w:val="restart"/>
                  <w:vAlign w:val="center"/>
                </w:tcPr>
                <w:p w14:paraId="78585590">
                  <w:pPr>
                    <w:pStyle w:val="73"/>
                    <w:snapToGrid w:val="0"/>
                    <w:jc w:val="center"/>
                    <w:rPr>
                      <w:rFonts w:ascii="Times New Roman" w:cs="Times New Roman"/>
                      <w:b/>
                      <w:bCs/>
                      <w:color w:val="auto"/>
                      <w:sz w:val="21"/>
                      <w:szCs w:val="21"/>
                    </w:rPr>
                  </w:pPr>
                  <w:r>
                    <w:rPr>
                      <w:rFonts w:ascii="Times New Roman" w:cs="Times New Roman"/>
                      <w:b/>
                      <w:bCs/>
                      <w:color w:val="auto"/>
                      <w:sz w:val="21"/>
                      <w:szCs w:val="21"/>
                    </w:rPr>
                    <w:t>面源长度/m</w:t>
                  </w:r>
                </w:p>
              </w:tc>
              <w:tc>
                <w:tcPr>
                  <w:tcW w:w="399" w:type="pct"/>
                  <w:vMerge w:val="restart"/>
                  <w:vAlign w:val="center"/>
                </w:tcPr>
                <w:p w14:paraId="29E9C09B">
                  <w:pPr>
                    <w:pStyle w:val="73"/>
                    <w:snapToGrid w:val="0"/>
                    <w:jc w:val="center"/>
                    <w:rPr>
                      <w:rFonts w:ascii="Times New Roman" w:cs="Times New Roman"/>
                      <w:b/>
                      <w:bCs/>
                      <w:color w:val="auto"/>
                      <w:sz w:val="21"/>
                      <w:szCs w:val="21"/>
                    </w:rPr>
                  </w:pPr>
                  <w:r>
                    <w:rPr>
                      <w:rFonts w:ascii="Times New Roman" w:cs="Times New Roman"/>
                      <w:b/>
                      <w:bCs/>
                      <w:color w:val="auto"/>
                      <w:sz w:val="21"/>
                      <w:szCs w:val="21"/>
                    </w:rPr>
                    <w:t>面源宽度/m</w:t>
                  </w:r>
                </w:p>
              </w:tc>
              <w:tc>
                <w:tcPr>
                  <w:tcW w:w="427" w:type="pct"/>
                  <w:vMerge w:val="restart"/>
                  <w:vAlign w:val="center"/>
                </w:tcPr>
                <w:p w14:paraId="6C7CDD96">
                  <w:pPr>
                    <w:pStyle w:val="73"/>
                    <w:snapToGrid w:val="0"/>
                    <w:jc w:val="center"/>
                    <w:rPr>
                      <w:rFonts w:ascii="Times New Roman" w:cs="Times New Roman"/>
                      <w:b/>
                      <w:bCs/>
                      <w:color w:val="auto"/>
                      <w:sz w:val="21"/>
                      <w:szCs w:val="21"/>
                    </w:rPr>
                  </w:pPr>
                  <w:r>
                    <w:rPr>
                      <w:rFonts w:ascii="Times New Roman" w:cs="Times New Roman"/>
                      <w:b/>
                      <w:bCs/>
                      <w:color w:val="auto"/>
                      <w:sz w:val="21"/>
                      <w:szCs w:val="21"/>
                    </w:rPr>
                    <w:t>与正北向夹角/°</w:t>
                  </w:r>
                </w:p>
              </w:tc>
              <w:tc>
                <w:tcPr>
                  <w:tcW w:w="542" w:type="pct"/>
                  <w:vMerge w:val="restart"/>
                  <w:vAlign w:val="center"/>
                </w:tcPr>
                <w:p w14:paraId="1CE2ED39">
                  <w:pPr>
                    <w:pStyle w:val="73"/>
                    <w:snapToGrid w:val="0"/>
                    <w:jc w:val="center"/>
                    <w:rPr>
                      <w:rFonts w:ascii="Times New Roman" w:cs="Times New Roman"/>
                      <w:b/>
                      <w:bCs/>
                      <w:color w:val="auto"/>
                      <w:sz w:val="21"/>
                      <w:szCs w:val="21"/>
                    </w:rPr>
                  </w:pPr>
                  <w:r>
                    <w:rPr>
                      <w:rFonts w:ascii="Times New Roman" w:cs="Times New Roman"/>
                      <w:b/>
                      <w:bCs/>
                      <w:color w:val="auto"/>
                      <w:sz w:val="21"/>
                      <w:szCs w:val="21"/>
                    </w:rPr>
                    <w:t>面源有效排放高度/m</w:t>
                  </w:r>
                </w:p>
              </w:tc>
              <w:tc>
                <w:tcPr>
                  <w:tcW w:w="428" w:type="pct"/>
                  <w:vMerge w:val="restart"/>
                  <w:vAlign w:val="center"/>
                </w:tcPr>
                <w:p w14:paraId="57E06498">
                  <w:pPr>
                    <w:spacing w:line="240" w:lineRule="auto"/>
                    <w:ind w:firstLine="0" w:firstLineChars="0"/>
                    <w:jc w:val="center"/>
                    <w:rPr>
                      <w:b/>
                      <w:bCs/>
                      <w:sz w:val="21"/>
                      <w:szCs w:val="21"/>
                    </w:rPr>
                  </w:pPr>
                  <w:r>
                    <w:rPr>
                      <w:b/>
                      <w:bCs/>
                      <w:sz w:val="21"/>
                      <w:szCs w:val="21"/>
                    </w:rPr>
                    <w:t>年排放小时数/h</w:t>
                  </w:r>
                </w:p>
              </w:tc>
              <w:tc>
                <w:tcPr>
                  <w:tcW w:w="398" w:type="pct"/>
                  <w:vMerge w:val="restart"/>
                  <w:vAlign w:val="center"/>
                </w:tcPr>
                <w:p w14:paraId="00AF171D">
                  <w:pPr>
                    <w:pStyle w:val="73"/>
                    <w:snapToGrid w:val="0"/>
                    <w:jc w:val="center"/>
                    <w:rPr>
                      <w:rFonts w:ascii="Times New Roman" w:cs="Times New Roman"/>
                      <w:b/>
                      <w:bCs/>
                      <w:color w:val="auto"/>
                      <w:sz w:val="21"/>
                      <w:szCs w:val="21"/>
                    </w:rPr>
                  </w:pPr>
                  <w:r>
                    <w:rPr>
                      <w:rFonts w:ascii="Times New Roman" w:cs="Times New Roman"/>
                      <w:b/>
                      <w:bCs/>
                      <w:color w:val="auto"/>
                      <w:sz w:val="21"/>
                      <w:szCs w:val="21"/>
                    </w:rPr>
                    <w:t>排放工况</w:t>
                  </w:r>
                </w:p>
              </w:tc>
            </w:tr>
            <w:tr w14:paraId="4217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15" w:type="pct"/>
                  <w:vMerge w:val="continue"/>
                  <w:vAlign w:val="center"/>
                </w:tcPr>
                <w:p w14:paraId="5CDB42A3">
                  <w:pPr>
                    <w:spacing w:line="240" w:lineRule="auto"/>
                    <w:ind w:firstLine="0" w:firstLineChars="0"/>
                    <w:jc w:val="center"/>
                    <w:rPr>
                      <w:b/>
                      <w:bCs/>
                      <w:sz w:val="18"/>
                      <w:szCs w:val="18"/>
                    </w:rPr>
                  </w:pPr>
                </w:p>
              </w:tc>
              <w:tc>
                <w:tcPr>
                  <w:tcW w:w="548" w:type="pct"/>
                  <w:vMerge w:val="continue"/>
                  <w:vAlign w:val="center"/>
                </w:tcPr>
                <w:p w14:paraId="1BB52DE1">
                  <w:pPr>
                    <w:spacing w:line="240" w:lineRule="auto"/>
                    <w:ind w:firstLine="0" w:firstLineChars="0"/>
                    <w:jc w:val="center"/>
                    <w:rPr>
                      <w:b/>
                      <w:bCs/>
                      <w:sz w:val="18"/>
                      <w:szCs w:val="18"/>
                    </w:rPr>
                  </w:pPr>
                </w:p>
              </w:tc>
              <w:tc>
                <w:tcPr>
                  <w:tcW w:w="756" w:type="pct"/>
                  <w:vAlign w:val="center"/>
                </w:tcPr>
                <w:p w14:paraId="6D1A6018">
                  <w:pPr>
                    <w:pStyle w:val="73"/>
                    <w:snapToGrid w:val="0"/>
                    <w:jc w:val="center"/>
                    <w:rPr>
                      <w:rFonts w:ascii="Times New Roman" w:cs="Times New Roman"/>
                      <w:b/>
                      <w:bCs/>
                      <w:color w:val="auto"/>
                      <w:sz w:val="21"/>
                      <w:szCs w:val="21"/>
                    </w:rPr>
                  </w:pPr>
                  <w:r>
                    <w:rPr>
                      <w:rFonts w:ascii="Times New Roman" w:cs="Times New Roman"/>
                      <w:b/>
                      <w:bCs/>
                      <w:color w:val="auto"/>
                      <w:sz w:val="21"/>
                      <w:szCs w:val="21"/>
                    </w:rPr>
                    <w:t>X</w:t>
                  </w:r>
                </w:p>
              </w:tc>
              <w:tc>
                <w:tcPr>
                  <w:tcW w:w="741" w:type="pct"/>
                  <w:vAlign w:val="center"/>
                </w:tcPr>
                <w:p w14:paraId="326937F1">
                  <w:pPr>
                    <w:pStyle w:val="73"/>
                    <w:snapToGrid w:val="0"/>
                    <w:jc w:val="center"/>
                    <w:rPr>
                      <w:rFonts w:ascii="Times New Roman" w:cs="Times New Roman"/>
                      <w:b/>
                      <w:bCs/>
                      <w:color w:val="auto"/>
                      <w:sz w:val="21"/>
                      <w:szCs w:val="21"/>
                    </w:rPr>
                  </w:pPr>
                  <w:r>
                    <w:rPr>
                      <w:rFonts w:ascii="Times New Roman" w:cs="Times New Roman"/>
                      <w:b/>
                      <w:bCs/>
                      <w:color w:val="auto"/>
                      <w:sz w:val="21"/>
                      <w:szCs w:val="21"/>
                    </w:rPr>
                    <w:t>Y</w:t>
                  </w:r>
                </w:p>
              </w:tc>
              <w:tc>
                <w:tcPr>
                  <w:tcW w:w="441" w:type="pct"/>
                  <w:vMerge w:val="continue"/>
                  <w:vAlign w:val="center"/>
                </w:tcPr>
                <w:p w14:paraId="0D52BB5F">
                  <w:pPr>
                    <w:pStyle w:val="73"/>
                    <w:snapToGrid w:val="0"/>
                    <w:jc w:val="center"/>
                    <w:rPr>
                      <w:rFonts w:ascii="Times New Roman" w:cs="Times New Roman"/>
                      <w:color w:val="auto"/>
                      <w:sz w:val="18"/>
                      <w:szCs w:val="18"/>
                    </w:rPr>
                  </w:pPr>
                </w:p>
              </w:tc>
              <w:tc>
                <w:tcPr>
                  <w:tcW w:w="399" w:type="pct"/>
                  <w:vMerge w:val="continue"/>
                  <w:vAlign w:val="center"/>
                </w:tcPr>
                <w:p w14:paraId="1D305041">
                  <w:pPr>
                    <w:pStyle w:val="73"/>
                    <w:snapToGrid w:val="0"/>
                    <w:jc w:val="center"/>
                    <w:rPr>
                      <w:rFonts w:ascii="Times New Roman" w:cs="Times New Roman"/>
                      <w:color w:val="auto"/>
                      <w:sz w:val="18"/>
                      <w:szCs w:val="18"/>
                    </w:rPr>
                  </w:pPr>
                </w:p>
              </w:tc>
              <w:tc>
                <w:tcPr>
                  <w:tcW w:w="427" w:type="pct"/>
                  <w:vMerge w:val="continue"/>
                  <w:vAlign w:val="center"/>
                </w:tcPr>
                <w:p w14:paraId="001FF3D1">
                  <w:pPr>
                    <w:pStyle w:val="73"/>
                    <w:snapToGrid w:val="0"/>
                    <w:jc w:val="center"/>
                    <w:rPr>
                      <w:rFonts w:ascii="Times New Roman" w:cs="Times New Roman"/>
                      <w:color w:val="auto"/>
                      <w:sz w:val="18"/>
                      <w:szCs w:val="18"/>
                    </w:rPr>
                  </w:pPr>
                </w:p>
              </w:tc>
              <w:tc>
                <w:tcPr>
                  <w:tcW w:w="542" w:type="pct"/>
                  <w:vMerge w:val="continue"/>
                  <w:vAlign w:val="center"/>
                </w:tcPr>
                <w:p w14:paraId="668B7AF3">
                  <w:pPr>
                    <w:pStyle w:val="73"/>
                    <w:snapToGrid w:val="0"/>
                    <w:jc w:val="center"/>
                    <w:rPr>
                      <w:rFonts w:ascii="Times New Roman" w:cs="Times New Roman"/>
                      <w:color w:val="auto"/>
                      <w:sz w:val="18"/>
                      <w:szCs w:val="18"/>
                    </w:rPr>
                  </w:pPr>
                </w:p>
              </w:tc>
              <w:tc>
                <w:tcPr>
                  <w:tcW w:w="428" w:type="pct"/>
                  <w:vMerge w:val="continue"/>
                  <w:vAlign w:val="center"/>
                </w:tcPr>
                <w:p w14:paraId="78B82F03">
                  <w:pPr>
                    <w:spacing w:line="240" w:lineRule="auto"/>
                    <w:ind w:firstLine="0" w:firstLineChars="0"/>
                    <w:jc w:val="center"/>
                    <w:rPr>
                      <w:sz w:val="18"/>
                      <w:szCs w:val="18"/>
                    </w:rPr>
                  </w:pPr>
                </w:p>
              </w:tc>
              <w:tc>
                <w:tcPr>
                  <w:tcW w:w="398" w:type="pct"/>
                  <w:vMerge w:val="continue"/>
                  <w:vAlign w:val="center"/>
                </w:tcPr>
                <w:p w14:paraId="4CC1F96A">
                  <w:pPr>
                    <w:pStyle w:val="73"/>
                    <w:snapToGrid w:val="0"/>
                    <w:jc w:val="center"/>
                    <w:rPr>
                      <w:rFonts w:ascii="Times New Roman" w:cs="Times New Roman"/>
                      <w:color w:val="auto"/>
                      <w:sz w:val="18"/>
                      <w:szCs w:val="18"/>
                    </w:rPr>
                  </w:pPr>
                </w:p>
              </w:tc>
            </w:tr>
            <w:tr w14:paraId="4498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5" w:type="pct"/>
                  <w:vAlign w:val="center"/>
                </w:tcPr>
                <w:p w14:paraId="5114244C">
                  <w:pPr>
                    <w:widowControl/>
                    <w:adjustRightInd w:val="0"/>
                    <w:snapToGrid w:val="0"/>
                    <w:spacing w:line="240" w:lineRule="auto"/>
                    <w:ind w:firstLine="0" w:firstLineChars="0"/>
                    <w:jc w:val="center"/>
                    <w:rPr>
                      <w:kern w:val="0"/>
                      <w:sz w:val="21"/>
                      <w:szCs w:val="21"/>
                    </w:rPr>
                  </w:pPr>
                  <w:r>
                    <w:rPr>
                      <w:rFonts w:hint="eastAsia"/>
                      <w:kern w:val="0"/>
                      <w:sz w:val="21"/>
                      <w:szCs w:val="21"/>
                    </w:rPr>
                    <w:t>1</w:t>
                  </w:r>
                </w:p>
              </w:tc>
              <w:tc>
                <w:tcPr>
                  <w:tcW w:w="548" w:type="pct"/>
                  <w:vAlign w:val="center"/>
                </w:tcPr>
                <w:p w14:paraId="396F9C23">
                  <w:pPr>
                    <w:widowControl/>
                    <w:adjustRightInd w:val="0"/>
                    <w:snapToGrid w:val="0"/>
                    <w:spacing w:line="240" w:lineRule="auto"/>
                    <w:ind w:firstLine="0" w:firstLineChars="0"/>
                    <w:jc w:val="center"/>
                    <w:rPr>
                      <w:kern w:val="0"/>
                      <w:sz w:val="21"/>
                      <w:szCs w:val="21"/>
                    </w:rPr>
                  </w:pPr>
                  <w:r>
                    <w:rPr>
                      <w:kern w:val="0"/>
                      <w:sz w:val="21"/>
                      <w:szCs w:val="21"/>
                    </w:rPr>
                    <w:t>生产</w:t>
                  </w:r>
                </w:p>
                <w:p w14:paraId="5F92DBA2">
                  <w:pPr>
                    <w:widowControl/>
                    <w:adjustRightInd w:val="0"/>
                    <w:snapToGrid w:val="0"/>
                    <w:spacing w:line="240" w:lineRule="auto"/>
                    <w:ind w:firstLine="0" w:firstLineChars="0"/>
                    <w:jc w:val="center"/>
                    <w:rPr>
                      <w:kern w:val="0"/>
                      <w:sz w:val="21"/>
                      <w:szCs w:val="21"/>
                    </w:rPr>
                  </w:pPr>
                  <w:r>
                    <w:rPr>
                      <w:kern w:val="0"/>
                      <w:sz w:val="21"/>
                      <w:szCs w:val="21"/>
                    </w:rPr>
                    <w:t>车间</w:t>
                  </w:r>
                </w:p>
              </w:tc>
              <w:tc>
                <w:tcPr>
                  <w:tcW w:w="756" w:type="pct"/>
                  <w:vAlign w:val="center"/>
                </w:tcPr>
                <w:p w14:paraId="2894656F">
                  <w:pPr>
                    <w:widowControl/>
                    <w:adjustRightInd w:val="0"/>
                    <w:snapToGrid w:val="0"/>
                    <w:spacing w:line="240" w:lineRule="auto"/>
                    <w:ind w:firstLine="0" w:firstLineChars="0"/>
                    <w:jc w:val="center"/>
                    <w:rPr>
                      <w:kern w:val="0"/>
                      <w:sz w:val="21"/>
                      <w:szCs w:val="21"/>
                    </w:rPr>
                  </w:pPr>
                  <w:r>
                    <w:rPr>
                      <w:rFonts w:hint="eastAsia"/>
                      <w:kern w:val="0"/>
                      <w:sz w:val="21"/>
                      <w:szCs w:val="21"/>
                    </w:rPr>
                    <w:t>113.880769</w:t>
                  </w:r>
                </w:p>
              </w:tc>
              <w:tc>
                <w:tcPr>
                  <w:tcW w:w="741" w:type="pct"/>
                  <w:vAlign w:val="center"/>
                </w:tcPr>
                <w:p w14:paraId="32A38E70">
                  <w:pPr>
                    <w:widowControl/>
                    <w:adjustRightInd w:val="0"/>
                    <w:snapToGrid w:val="0"/>
                    <w:spacing w:line="240" w:lineRule="auto"/>
                    <w:ind w:firstLine="0" w:firstLineChars="0"/>
                    <w:jc w:val="center"/>
                    <w:rPr>
                      <w:kern w:val="0"/>
                      <w:sz w:val="21"/>
                      <w:szCs w:val="21"/>
                    </w:rPr>
                  </w:pPr>
                  <w:r>
                    <w:rPr>
                      <w:rFonts w:hint="eastAsia"/>
                      <w:kern w:val="0"/>
                      <w:sz w:val="21"/>
                      <w:szCs w:val="21"/>
                    </w:rPr>
                    <w:t>35.384774</w:t>
                  </w:r>
                </w:p>
              </w:tc>
              <w:tc>
                <w:tcPr>
                  <w:tcW w:w="441" w:type="pct"/>
                  <w:vAlign w:val="center"/>
                </w:tcPr>
                <w:p w14:paraId="5B692FDC">
                  <w:pPr>
                    <w:widowControl/>
                    <w:adjustRightInd w:val="0"/>
                    <w:snapToGrid w:val="0"/>
                    <w:spacing w:line="240" w:lineRule="auto"/>
                    <w:ind w:firstLine="0" w:firstLineChars="0"/>
                    <w:jc w:val="center"/>
                    <w:rPr>
                      <w:kern w:val="0"/>
                      <w:sz w:val="21"/>
                      <w:szCs w:val="21"/>
                    </w:rPr>
                  </w:pPr>
                  <w:r>
                    <w:rPr>
                      <w:rFonts w:hint="eastAsia"/>
                      <w:kern w:val="0"/>
                      <w:sz w:val="21"/>
                      <w:szCs w:val="21"/>
                    </w:rPr>
                    <w:t>80</w:t>
                  </w:r>
                </w:p>
              </w:tc>
              <w:tc>
                <w:tcPr>
                  <w:tcW w:w="399" w:type="pct"/>
                  <w:vAlign w:val="center"/>
                </w:tcPr>
                <w:p w14:paraId="0A29C94E">
                  <w:pPr>
                    <w:widowControl/>
                    <w:adjustRightInd w:val="0"/>
                    <w:snapToGrid w:val="0"/>
                    <w:spacing w:line="240" w:lineRule="auto"/>
                    <w:ind w:firstLine="0" w:firstLineChars="0"/>
                    <w:jc w:val="center"/>
                    <w:rPr>
                      <w:kern w:val="0"/>
                      <w:sz w:val="21"/>
                      <w:szCs w:val="21"/>
                    </w:rPr>
                  </w:pPr>
                  <w:r>
                    <w:rPr>
                      <w:rFonts w:hint="eastAsia"/>
                      <w:kern w:val="0"/>
                      <w:sz w:val="21"/>
                      <w:szCs w:val="21"/>
                    </w:rPr>
                    <w:t>25</w:t>
                  </w:r>
                </w:p>
              </w:tc>
              <w:tc>
                <w:tcPr>
                  <w:tcW w:w="427" w:type="pct"/>
                  <w:vAlign w:val="center"/>
                </w:tcPr>
                <w:p w14:paraId="75830CFD">
                  <w:pPr>
                    <w:widowControl/>
                    <w:adjustRightInd w:val="0"/>
                    <w:snapToGrid w:val="0"/>
                    <w:spacing w:line="240" w:lineRule="auto"/>
                    <w:ind w:firstLine="0" w:firstLineChars="0"/>
                    <w:jc w:val="center"/>
                    <w:rPr>
                      <w:kern w:val="0"/>
                      <w:sz w:val="21"/>
                      <w:szCs w:val="21"/>
                    </w:rPr>
                  </w:pPr>
                  <w:r>
                    <w:rPr>
                      <w:rFonts w:hint="eastAsia"/>
                      <w:kern w:val="0"/>
                      <w:sz w:val="21"/>
                      <w:szCs w:val="21"/>
                    </w:rPr>
                    <w:t>0</w:t>
                  </w:r>
                </w:p>
              </w:tc>
              <w:tc>
                <w:tcPr>
                  <w:tcW w:w="542" w:type="pct"/>
                  <w:vAlign w:val="center"/>
                </w:tcPr>
                <w:p w14:paraId="5F4F4D72">
                  <w:pPr>
                    <w:widowControl/>
                    <w:adjustRightInd w:val="0"/>
                    <w:snapToGrid w:val="0"/>
                    <w:spacing w:line="240" w:lineRule="auto"/>
                    <w:ind w:firstLine="0" w:firstLineChars="0"/>
                    <w:jc w:val="center"/>
                    <w:rPr>
                      <w:kern w:val="0"/>
                      <w:sz w:val="21"/>
                      <w:szCs w:val="21"/>
                    </w:rPr>
                  </w:pPr>
                  <w:r>
                    <w:rPr>
                      <w:rFonts w:hint="eastAsia"/>
                      <w:kern w:val="0"/>
                      <w:sz w:val="21"/>
                      <w:szCs w:val="21"/>
                    </w:rPr>
                    <w:t>5</w:t>
                  </w:r>
                </w:p>
              </w:tc>
              <w:tc>
                <w:tcPr>
                  <w:tcW w:w="428" w:type="pct"/>
                  <w:vAlign w:val="center"/>
                </w:tcPr>
                <w:p w14:paraId="10C54AA2">
                  <w:pPr>
                    <w:widowControl/>
                    <w:adjustRightInd w:val="0"/>
                    <w:snapToGrid w:val="0"/>
                    <w:spacing w:line="240" w:lineRule="auto"/>
                    <w:ind w:firstLine="0" w:firstLineChars="0"/>
                    <w:jc w:val="center"/>
                    <w:rPr>
                      <w:kern w:val="0"/>
                      <w:sz w:val="21"/>
                      <w:szCs w:val="21"/>
                    </w:rPr>
                  </w:pPr>
                  <w:r>
                    <w:rPr>
                      <w:rFonts w:hint="eastAsia"/>
                      <w:kern w:val="0"/>
                      <w:sz w:val="21"/>
                      <w:szCs w:val="21"/>
                    </w:rPr>
                    <w:t>4800</w:t>
                  </w:r>
                </w:p>
              </w:tc>
              <w:tc>
                <w:tcPr>
                  <w:tcW w:w="398" w:type="pct"/>
                  <w:vAlign w:val="center"/>
                </w:tcPr>
                <w:p w14:paraId="04CBA614">
                  <w:pPr>
                    <w:widowControl/>
                    <w:adjustRightInd w:val="0"/>
                    <w:snapToGrid w:val="0"/>
                    <w:spacing w:line="240" w:lineRule="auto"/>
                    <w:ind w:firstLine="0" w:firstLineChars="0"/>
                    <w:jc w:val="center"/>
                    <w:rPr>
                      <w:kern w:val="0"/>
                      <w:sz w:val="21"/>
                      <w:szCs w:val="21"/>
                    </w:rPr>
                  </w:pPr>
                  <w:r>
                    <w:rPr>
                      <w:kern w:val="0"/>
                      <w:sz w:val="21"/>
                      <w:szCs w:val="21"/>
                    </w:rPr>
                    <w:t>正常</w:t>
                  </w:r>
                </w:p>
              </w:tc>
            </w:tr>
          </w:tbl>
          <w:p w14:paraId="304AA52A">
            <w:pPr>
              <w:snapToGrid w:val="0"/>
              <w:spacing w:line="520" w:lineRule="exact"/>
              <w:ind w:firstLine="482"/>
              <w:jc w:val="left"/>
            </w:pPr>
            <w:r>
              <w:rPr>
                <w:rFonts w:hint="eastAsia"/>
                <w:b/>
              </w:rPr>
              <w:t xml:space="preserve">1.6 </w:t>
            </w:r>
            <w:r>
              <w:rPr>
                <w:b/>
              </w:rPr>
              <w:t>非正常排放分析</w:t>
            </w:r>
          </w:p>
          <w:p w14:paraId="488D3B57">
            <w:pPr>
              <w:tabs>
                <w:tab w:val="left" w:pos="410"/>
              </w:tabs>
              <w:snapToGrid w:val="0"/>
              <w:spacing w:line="520" w:lineRule="exact"/>
              <w:ind w:firstLine="480"/>
              <w:rPr>
                <w:rFonts w:eastAsia="黑体"/>
              </w:rPr>
            </w:pPr>
            <w:r>
              <w:rPr>
                <w:bCs/>
              </w:rPr>
              <w:t>当废气处理措施正常运行时，污染物排放达标，对周围环境影响</w:t>
            </w:r>
            <w:r>
              <w:rPr>
                <w:rFonts w:hint="eastAsia"/>
                <w:bCs/>
              </w:rPr>
              <w:t>可以接受</w:t>
            </w:r>
            <w:r>
              <w:rPr>
                <w:bCs/>
              </w:rPr>
              <w:t>。当废气处理措施发生异常，废气无法收集或处理时，会出现非正常排放。本项目废气非正常排放情况见下表。</w:t>
            </w:r>
          </w:p>
          <w:p w14:paraId="7F098666">
            <w:pPr>
              <w:spacing w:line="520" w:lineRule="exact"/>
              <w:ind w:firstLine="960" w:firstLineChars="400"/>
              <w:textAlignment w:val="baseline"/>
              <w:rPr>
                <w:rFonts w:eastAsia="黑体"/>
              </w:rPr>
            </w:pPr>
            <w:r>
              <w:rPr>
                <w:rFonts w:eastAsia="黑体"/>
              </w:rPr>
              <w:t>表4-</w:t>
            </w:r>
            <w:r>
              <w:rPr>
                <w:rFonts w:hint="eastAsia" w:eastAsia="黑体"/>
              </w:rPr>
              <w:t>7</w:t>
            </w:r>
            <w:r>
              <w:rPr>
                <w:rFonts w:eastAsia="黑体"/>
              </w:rPr>
              <w:t xml:space="preserve">           污染源非正常排放量核算表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368"/>
              <w:gridCol w:w="988"/>
              <w:gridCol w:w="1019"/>
              <w:gridCol w:w="893"/>
              <w:gridCol w:w="972"/>
              <w:gridCol w:w="721"/>
              <w:gridCol w:w="778"/>
              <w:gridCol w:w="789"/>
            </w:tblGrid>
            <w:tr w14:paraId="5305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2" w:type="pct"/>
                  <w:tcBorders>
                    <w:tl2br w:val="nil"/>
                    <w:tr2bl w:val="nil"/>
                  </w:tcBorders>
                  <w:vAlign w:val="center"/>
                </w:tcPr>
                <w:p w14:paraId="5697A468">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污染源</w:t>
                  </w:r>
                </w:p>
              </w:tc>
              <w:tc>
                <w:tcPr>
                  <w:tcW w:w="841" w:type="pct"/>
                  <w:tcBorders>
                    <w:tl2br w:val="nil"/>
                    <w:tr2bl w:val="nil"/>
                  </w:tcBorders>
                  <w:vAlign w:val="center"/>
                </w:tcPr>
                <w:p w14:paraId="6BE1095A">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非正常</w:t>
                  </w:r>
                </w:p>
                <w:p w14:paraId="5DF15D2D">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排放原因</w:t>
                  </w:r>
                </w:p>
              </w:tc>
              <w:tc>
                <w:tcPr>
                  <w:tcW w:w="608" w:type="pct"/>
                  <w:tcBorders>
                    <w:tl2br w:val="nil"/>
                    <w:tr2bl w:val="nil"/>
                  </w:tcBorders>
                  <w:vAlign w:val="center"/>
                </w:tcPr>
                <w:p w14:paraId="7CB3ED11">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污染物</w:t>
                  </w:r>
                </w:p>
              </w:tc>
              <w:tc>
                <w:tcPr>
                  <w:tcW w:w="628" w:type="pct"/>
                  <w:tcBorders>
                    <w:tl2br w:val="nil"/>
                    <w:tr2bl w:val="nil"/>
                  </w:tcBorders>
                  <w:vAlign w:val="center"/>
                </w:tcPr>
                <w:p w14:paraId="3D463D09">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非正常排放浓度</w:t>
                  </w:r>
                  <w:r>
                    <w:rPr>
                      <w:rFonts w:hint="eastAsia"/>
                      <w:b/>
                      <w:bCs/>
                      <w:kern w:val="0"/>
                      <w:sz w:val="21"/>
                      <w:szCs w:val="21"/>
                    </w:rPr>
                    <w:t>(</w:t>
                  </w:r>
                  <w:r>
                    <w:rPr>
                      <w:b/>
                      <w:bCs/>
                      <w:kern w:val="0"/>
                      <w:sz w:val="21"/>
                      <w:szCs w:val="21"/>
                    </w:rPr>
                    <w:t>mg/m</w:t>
                  </w:r>
                  <w:r>
                    <w:rPr>
                      <w:b/>
                      <w:bCs/>
                      <w:kern w:val="0"/>
                      <w:sz w:val="21"/>
                      <w:szCs w:val="21"/>
                      <w:vertAlign w:val="superscript"/>
                    </w:rPr>
                    <w:t>3</w:t>
                  </w:r>
                  <w:r>
                    <w:rPr>
                      <w:rFonts w:hint="eastAsia"/>
                      <w:b/>
                      <w:bCs/>
                      <w:kern w:val="0"/>
                      <w:sz w:val="21"/>
                      <w:szCs w:val="21"/>
                    </w:rPr>
                    <w:t>)</w:t>
                  </w:r>
                </w:p>
              </w:tc>
              <w:tc>
                <w:tcPr>
                  <w:tcW w:w="550" w:type="pct"/>
                  <w:tcBorders>
                    <w:tl2br w:val="nil"/>
                    <w:tr2bl w:val="nil"/>
                  </w:tcBorders>
                  <w:vAlign w:val="center"/>
                </w:tcPr>
                <w:p w14:paraId="0D74E4F4">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非正常排放速率</w:t>
                  </w:r>
                  <w:r>
                    <w:rPr>
                      <w:rFonts w:hint="eastAsia"/>
                      <w:b/>
                      <w:bCs/>
                      <w:kern w:val="0"/>
                      <w:sz w:val="21"/>
                      <w:szCs w:val="21"/>
                    </w:rPr>
                    <w:t>(</w:t>
                  </w:r>
                  <w:r>
                    <w:rPr>
                      <w:b/>
                      <w:bCs/>
                      <w:kern w:val="0"/>
                      <w:sz w:val="21"/>
                      <w:szCs w:val="21"/>
                    </w:rPr>
                    <w:t>kg/h</w:t>
                  </w:r>
                  <w:r>
                    <w:rPr>
                      <w:rFonts w:hint="eastAsia"/>
                      <w:b/>
                      <w:bCs/>
                      <w:kern w:val="0"/>
                      <w:sz w:val="21"/>
                      <w:szCs w:val="21"/>
                    </w:rPr>
                    <w:t>)</w:t>
                  </w:r>
                </w:p>
              </w:tc>
              <w:tc>
                <w:tcPr>
                  <w:tcW w:w="599" w:type="pct"/>
                  <w:tcBorders>
                    <w:tl2br w:val="nil"/>
                    <w:tr2bl w:val="nil"/>
                  </w:tcBorders>
                  <w:vAlign w:val="center"/>
                </w:tcPr>
                <w:p w14:paraId="45852CE9">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非正常排放量（</w:t>
                  </w:r>
                  <w:r>
                    <w:rPr>
                      <w:rFonts w:hint="eastAsia"/>
                      <w:b/>
                      <w:bCs/>
                      <w:kern w:val="0"/>
                      <w:sz w:val="21"/>
                      <w:szCs w:val="21"/>
                    </w:rPr>
                    <w:t>kg</w:t>
                  </w:r>
                  <w:r>
                    <w:rPr>
                      <w:b/>
                      <w:bCs/>
                      <w:kern w:val="0"/>
                      <w:sz w:val="21"/>
                      <w:szCs w:val="21"/>
                    </w:rPr>
                    <w:t>/a）</w:t>
                  </w:r>
                </w:p>
              </w:tc>
              <w:tc>
                <w:tcPr>
                  <w:tcW w:w="444" w:type="pct"/>
                  <w:tcBorders>
                    <w:tl2br w:val="nil"/>
                    <w:tr2bl w:val="nil"/>
                  </w:tcBorders>
                  <w:vAlign w:val="center"/>
                </w:tcPr>
                <w:p w14:paraId="336D218D">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单次持续时间/h</w:t>
                  </w:r>
                </w:p>
              </w:tc>
              <w:tc>
                <w:tcPr>
                  <w:tcW w:w="479" w:type="pct"/>
                  <w:tcBorders>
                    <w:tl2br w:val="nil"/>
                    <w:tr2bl w:val="nil"/>
                  </w:tcBorders>
                  <w:vAlign w:val="center"/>
                </w:tcPr>
                <w:p w14:paraId="0E7B881A">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年发生频次/次</w:t>
                  </w:r>
                </w:p>
              </w:tc>
              <w:tc>
                <w:tcPr>
                  <w:tcW w:w="486" w:type="pct"/>
                  <w:tcBorders>
                    <w:tl2br w:val="nil"/>
                    <w:tr2bl w:val="nil"/>
                  </w:tcBorders>
                  <w:vAlign w:val="center"/>
                </w:tcPr>
                <w:p w14:paraId="039A76F7">
                  <w:pPr>
                    <w:autoSpaceDE w:val="0"/>
                    <w:autoSpaceDN w:val="0"/>
                    <w:adjustRightInd w:val="0"/>
                    <w:snapToGrid w:val="0"/>
                    <w:spacing w:line="240" w:lineRule="auto"/>
                    <w:ind w:firstLine="0" w:firstLineChars="0"/>
                    <w:jc w:val="center"/>
                    <w:rPr>
                      <w:b/>
                      <w:bCs/>
                      <w:kern w:val="0"/>
                      <w:sz w:val="21"/>
                      <w:szCs w:val="21"/>
                    </w:rPr>
                  </w:pPr>
                  <w:r>
                    <w:rPr>
                      <w:b/>
                      <w:bCs/>
                      <w:kern w:val="0"/>
                      <w:sz w:val="21"/>
                      <w:szCs w:val="21"/>
                    </w:rPr>
                    <w:t>应对措施</w:t>
                  </w:r>
                </w:p>
              </w:tc>
            </w:tr>
            <w:tr w14:paraId="2184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2" w:type="pct"/>
                  <w:vMerge w:val="restart"/>
                  <w:tcBorders>
                    <w:tl2br w:val="nil"/>
                    <w:tr2bl w:val="nil"/>
                  </w:tcBorders>
                  <w:vAlign w:val="center"/>
                </w:tcPr>
                <w:p w14:paraId="46858C6D">
                  <w:pPr>
                    <w:adjustRightInd w:val="0"/>
                    <w:snapToGrid w:val="0"/>
                    <w:spacing w:line="240" w:lineRule="auto"/>
                    <w:ind w:firstLine="0" w:firstLineChars="0"/>
                    <w:jc w:val="center"/>
                    <w:rPr>
                      <w:sz w:val="21"/>
                      <w:szCs w:val="21"/>
                    </w:rPr>
                  </w:pPr>
                  <w:r>
                    <w:rPr>
                      <w:rFonts w:hint="eastAsia"/>
                      <w:sz w:val="21"/>
                      <w:szCs w:val="21"/>
                    </w:rPr>
                    <w:t>DA001</w:t>
                  </w:r>
                </w:p>
              </w:tc>
              <w:tc>
                <w:tcPr>
                  <w:tcW w:w="841" w:type="pct"/>
                  <w:tcBorders>
                    <w:tl2br w:val="nil"/>
                    <w:tr2bl w:val="nil"/>
                  </w:tcBorders>
                  <w:vAlign w:val="center"/>
                </w:tcPr>
                <w:p w14:paraId="4AADDE38">
                  <w:pPr>
                    <w:adjustRightInd w:val="0"/>
                    <w:snapToGrid w:val="0"/>
                    <w:spacing w:line="240" w:lineRule="auto"/>
                    <w:ind w:firstLine="0" w:firstLineChars="0"/>
                    <w:jc w:val="center"/>
                    <w:rPr>
                      <w:sz w:val="21"/>
                      <w:szCs w:val="21"/>
                    </w:rPr>
                  </w:pPr>
                  <w:r>
                    <w:rPr>
                      <w:rFonts w:hint="eastAsia"/>
                      <w:sz w:val="21"/>
                      <w:szCs w:val="21"/>
                    </w:rPr>
                    <w:t>活性炭吸附/脱附-催化燃烧装置故障</w:t>
                  </w:r>
                </w:p>
              </w:tc>
              <w:tc>
                <w:tcPr>
                  <w:tcW w:w="608" w:type="pct"/>
                  <w:tcBorders>
                    <w:tl2br w:val="nil"/>
                    <w:tr2bl w:val="nil"/>
                  </w:tcBorders>
                  <w:vAlign w:val="center"/>
                </w:tcPr>
                <w:p w14:paraId="46F1C4DA">
                  <w:pPr>
                    <w:adjustRightInd w:val="0"/>
                    <w:snapToGrid w:val="0"/>
                    <w:spacing w:line="240" w:lineRule="auto"/>
                    <w:ind w:firstLine="0" w:firstLineChars="0"/>
                    <w:jc w:val="center"/>
                    <w:rPr>
                      <w:sz w:val="21"/>
                      <w:szCs w:val="21"/>
                    </w:rPr>
                  </w:pPr>
                  <w:r>
                    <w:rPr>
                      <w:rFonts w:hint="eastAsia"/>
                      <w:sz w:val="21"/>
                      <w:szCs w:val="21"/>
                    </w:rPr>
                    <w:t>非甲烷总烃</w:t>
                  </w:r>
                </w:p>
              </w:tc>
              <w:tc>
                <w:tcPr>
                  <w:tcW w:w="628" w:type="pct"/>
                  <w:tcBorders>
                    <w:tl2br w:val="nil"/>
                    <w:tr2bl w:val="nil"/>
                  </w:tcBorders>
                  <w:vAlign w:val="center"/>
                </w:tcPr>
                <w:p w14:paraId="285D2F09">
                  <w:pPr>
                    <w:widowControl/>
                    <w:spacing w:line="240" w:lineRule="auto"/>
                    <w:ind w:firstLine="0" w:firstLineChars="0"/>
                    <w:jc w:val="center"/>
                    <w:textAlignment w:val="center"/>
                    <w:rPr>
                      <w:rFonts w:hint="default" w:eastAsia="宋体"/>
                      <w:sz w:val="21"/>
                      <w:szCs w:val="21"/>
                      <w:lang w:val="en-US" w:eastAsia="zh-CN"/>
                    </w:rPr>
                  </w:pPr>
                  <w:r>
                    <w:rPr>
                      <w:rFonts w:hint="eastAsia"/>
                      <w:sz w:val="21"/>
                      <w:szCs w:val="21"/>
                      <w:lang w:val="en-US" w:eastAsia="zh-CN"/>
                    </w:rPr>
                    <w:t>6.28</w:t>
                  </w:r>
                </w:p>
              </w:tc>
              <w:tc>
                <w:tcPr>
                  <w:tcW w:w="550" w:type="pct"/>
                  <w:tcBorders>
                    <w:tl2br w:val="nil"/>
                    <w:tr2bl w:val="nil"/>
                  </w:tcBorders>
                  <w:vAlign w:val="center"/>
                </w:tcPr>
                <w:p w14:paraId="13C10885">
                  <w:pPr>
                    <w:widowControl/>
                    <w:spacing w:line="240" w:lineRule="auto"/>
                    <w:ind w:firstLine="0" w:firstLineChars="0"/>
                    <w:jc w:val="center"/>
                    <w:textAlignment w:val="center"/>
                    <w:rPr>
                      <w:rFonts w:hint="default" w:eastAsia="宋体"/>
                      <w:sz w:val="21"/>
                      <w:szCs w:val="21"/>
                      <w:lang w:val="en-US" w:eastAsia="zh-CN"/>
                    </w:rPr>
                  </w:pPr>
                  <w:r>
                    <w:rPr>
                      <w:rFonts w:hint="eastAsia"/>
                      <w:sz w:val="21"/>
                      <w:szCs w:val="21"/>
                    </w:rPr>
                    <w:t>0.</w:t>
                  </w:r>
                  <w:r>
                    <w:rPr>
                      <w:rFonts w:hint="eastAsia"/>
                      <w:sz w:val="21"/>
                      <w:szCs w:val="21"/>
                      <w:lang w:val="en-US" w:eastAsia="zh-CN"/>
                    </w:rPr>
                    <w:t>1569</w:t>
                  </w:r>
                </w:p>
              </w:tc>
              <w:tc>
                <w:tcPr>
                  <w:tcW w:w="972" w:type="dxa"/>
                  <w:tcBorders>
                    <w:tl2br w:val="nil"/>
                    <w:tr2bl w:val="nil"/>
                  </w:tcBorders>
                  <w:vAlign w:val="center"/>
                </w:tcPr>
                <w:p w14:paraId="1372B3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0785</w:t>
                  </w:r>
                </w:p>
              </w:tc>
              <w:tc>
                <w:tcPr>
                  <w:tcW w:w="444" w:type="pct"/>
                  <w:tcBorders>
                    <w:tl2br w:val="nil"/>
                    <w:tr2bl w:val="nil"/>
                  </w:tcBorders>
                  <w:vAlign w:val="center"/>
                </w:tcPr>
                <w:p w14:paraId="69518BB4">
                  <w:pPr>
                    <w:adjustRightInd w:val="0"/>
                    <w:snapToGrid w:val="0"/>
                    <w:spacing w:line="240" w:lineRule="auto"/>
                    <w:ind w:firstLine="0" w:firstLineChars="0"/>
                    <w:jc w:val="center"/>
                    <w:rPr>
                      <w:sz w:val="21"/>
                      <w:szCs w:val="21"/>
                    </w:rPr>
                  </w:pPr>
                  <w:r>
                    <w:rPr>
                      <w:rFonts w:hint="eastAsia"/>
                      <w:sz w:val="21"/>
                      <w:szCs w:val="21"/>
                    </w:rPr>
                    <w:t>0.5</w:t>
                  </w:r>
                </w:p>
              </w:tc>
              <w:tc>
                <w:tcPr>
                  <w:tcW w:w="479" w:type="pct"/>
                  <w:tcBorders>
                    <w:tl2br w:val="nil"/>
                    <w:tr2bl w:val="nil"/>
                  </w:tcBorders>
                  <w:vAlign w:val="center"/>
                </w:tcPr>
                <w:p w14:paraId="011D7CF3">
                  <w:pPr>
                    <w:adjustRightInd w:val="0"/>
                    <w:snapToGrid w:val="0"/>
                    <w:spacing w:line="240" w:lineRule="auto"/>
                    <w:ind w:firstLine="0" w:firstLineChars="0"/>
                    <w:jc w:val="center"/>
                    <w:rPr>
                      <w:sz w:val="21"/>
                      <w:szCs w:val="21"/>
                    </w:rPr>
                  </w:pPr>
                  <w:r>
                    <w:rPr>
                      <w:rFonts w:hint="eastAsia"/>
                      <w:sz w:val="21"/>
                      <w:szCs w:val="21"/>
                    </w:rPr>
                    <w:t>1</w:t>
                  </w:r>
                </w:p>
              </w:tc>
              <w:tc>
                <w:tcPr>
                  <w:tcW w:w="486" w:type="pct"/>
                  <w:vMerge w:val="restart"/>
                  <w:tcBorders>
                    <w:tl2br w:val="nil"/>
                    <w:tr2bl w:val="nil"/>
                  </w:tcBorders>
                  <w:vAlign w:val="center"/>
                </w:tcPr>
                <w:p w14:paraId="30CE1BDE">
                  <w:pPr>
                    <w:widowControl/>
                    <w:adjustRightInd w:val="0"/>
                    <w:snapToGrid w:val="0"/>
                    <w:spacing w:line="240" w:lineRule="auto"/>
                    <w:ind w:firstLine="0" w:firstLineChars="0"/>
                    <w:jc w:val="center"/>
                    <w:rPr>
                      <w:sz w:val="21"/>
                      <w:szCs w:val="21"/>
                    </w:rPr>
                  </w:pPr>
                  <w:r>
                    <w:rPr>
                      <w:sz w:val="21"/>
                      <w:szCs w:val="21"/>
                    </w:rPr>
                    <w:t>立即停止生产，修复后恢复生产</w:t>
                  </w:r>
                </w:p>
              </w:tc>
            </w:tr>
            <w:tr w14:paraId="3A2C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2" w:type="pct"/>
                  <w:vMerge w:val="continue"/>
                  <w:tcBorders>
                    <w:tl2br w:val="nil"/>
                    <w:tr2bl w:val="nil"/>
                  </w:tcBorders>
                  <w:vAlign w:val="center"/>
                </w:tcPr>
                <w:p w14:paraId="1CE15022">
                  <w:pPr>
                    <w:adjustRightInd w:val="0"/>
                    <w:snapToGrid w:val="0"/>
                    <w:spacing w:line="240" w:lineRule="auto"/>
                    <w:ind w:firstLine="0" w:firstLineChars="0"/>
                    <w:jc w:val="center"/>
                    <w:rPr>
                      <w:sz w:val="21"/>
                      <w:szCs w:val="21"/>
                    </w:rPr>
                  </w:pPr>
                </w:p>
              </w:tc>
              <w:tc>
                <w:tcPr>
                  <w:tcW w:w="841" w:type="pct"/>
                  <w:tcBorders>
                    <w:tl2br w:val="nil"/>
                    <w:tr2bl w:val="nil"/>
                  </w:tcBorders>
                  <w:vAlign w:val="center"/>
                </w:tcPr>
                <w:p w14:paraId="1A35CD55">
                  <w:pPr>
                    <w:adjustRightInd w:val="0"/>
                    <w:snapToGrid w:val="0"/>
                    <w:spacing w:line="240" w:lineRule="auto"/>
                    <w:ind w:firstLine="0" w:firstLineChars="0"/>
                    <w:jc w:val="center"/>
                    <w:rPr>
                      <w:sz w:val="21"/>
                      <w:szCs w:val="21"/>
                    </w:rPr>
                  </w:pPr>
                  <w:r>
                    <w:rPr>
                      <w:rFonts w:hint="eastAsia"/>
                      <w:sz w:val="21"/>
                      <w:szCs w:val="21"/>
                      <w:lang w:eastAsia="zh-CN"/>
                    </w:rPr>
                    <w:t>袋式除尘器</w:t>
                  </w:r>
                  <w:r>
                    <w:rPr>
                      <w:rFonts w:hint="eastAsia"/>
                      <w:sz w:val="21"/>
                      <w:szCs w:val="21"/>
                    </w:rPr>
                    <w:t>故障</w:t>
                  </w:r>
                </w:p>
              </w:tc>
              <w:tc>
                <w:tcPr>
                  <w:tcW w:w="608" w:type="pct"/>
                  <w:tcBorders>
                    <w:tl2br w:val="nil"/>
                    <w:tr2bl w:val="nil"/>
                  </w:tcBorders>
                  <w:vAlign w:val="center"/>
                </w:tcPr>
                <w:p w14:paraId="14B3EF83">
                  <w:pPr>
                    <w:adjustRightInd w:val="0"/>
                    <w:snapToGrid w:val="0"/>
                    <w:spacing w:line="240" w:lineRule="auto"/>
                    <w:ind w:firstLine="0" w:firstLineChars="0"/>
                    <w:jc w:val="center"/>
                    <w:rPr>
                      <w:sz w:val="21"/>
                      <w:szCs w:val="21"/>
                    </w:rPr>
                  </w:pPr>
                  <w:r>
                    <w:rPr>
                      <w:sz w:val="21"/>
                      <w:szCs w:val="21"/>
                    </w:rPr>
                    <w:t>颗粒物</w:t>
                  </w:r>
                </w:p>
              </w:tc>
              <w:tc>
                <w:tcPr>
                  <w:tcW w:w="628" w:type="pct"/>
                  <w:tcBorders>
                    <w:tl2br w:val="nil"/>
                    <w:tr2bl w:val="nil"/>
                  </w:tcBorders>
                  <w:vAlign w:val="center"/>
                </w:tcPr>
                <w:p w14:paraId="045B4D28">
                  <w:pPr>
                    <w:widowControl/>
                    <w:spacing w:line="240" w:lineRule="auto"/>
                    <w:ind w:firstLine="0" w:firstLineChars="0"/>
                    <w:jc w:val="center"/>
                    <w:textAlignment w:val="center"/>
                    <w:rPr>
                      <w:rFonts w:hint="eastAsia" w:eastAsia="宋体"/>
                      <w:sz w:val="21"/>
                      <w:szCs w:val="21"/>
                      <w:lang w:eastAsia="zh-CN"/>
                    </w:rPr>
                  </w:pPr>
                  <w:r>
                    <w:rPr>
                      <w:rFonts w:hint="eastAsia"/>
                      <w:sz w:val="21"/>
                      <w:szCs w:val="21"/>
                    </w:rPr>
                    <w:t>1.0</w:t>
                  </w:r>
                  <w:r>
                    <w:rPr>
                      <w:rFonts w:hint="eastAsia"/>
                      <w:sz w:val="21"/>
                      <w:szCs w:val="21"/>
                      <w:lang w:val="en-US" w:eastAsia="zh-CN"/>
                    </w:rPr>
                    <w:t>9</w:t>
                  </w:r>
                </w:p>
              </w:tc>
              <w:tc>
                <w:tcPr>
                  <w:tcW w:w="550" w:type="pct"/>
                  <w:tcBorders>
                    <w:tl2br w:val="nil"/>
                    <w:tr2bl w:val="nil"/>
                  </w:tcBorders>
                  <w:vAlign w:val="center"/>
                </w:tcPr>
                <w:p w14:paraId="10773922">
                  <w:pPr>
                    <w:widowControl/>
                    <w:spacing w:line="240" w:lineRule="auto"/>
                    <w:ind w:firstLine="0" w:firstLineChars="0"/>
                    <w:jc w:val="center"/>
                    <w:textAlignment w:val="center"/>
                    <w:rPr>
                      <w:rFonts w:hint="default" w:eastAsia="宋体"/>
                      <w:sz w:val="21"/>
                      <w:szCs w:val="21"/>
                      <w:lang w:val="en-US" w:eastAsia="zh-CN"/>
                    </w:rPr>
                  </w:pPr>
                  <w:r>
                    <w:rPr>
                      <w:rFonts w:hint="eastAsia"/>
                      <w:sz w:val="21"/>
                      <w:szCs w:val="21"/>
                    </w:rPr>
                    <w:t>0.06</w:t>
                  </w:r>
                  <w:r>
                    <w:rPr>
                      <w:rFonts w:hint="eastAsia"/>
                      <w:sz w:val="21"/>
                      <w:szCs w:val="21"/>
                      <w:lang w:val="en-US" w:eastAsia="zh-CN"/>
                    </w:rPr>
                    <w:t>55</w:t>
                  </w:r>
                </w:p>
              </w:tc>
              <w:tc>
                <w:tcPr>
                  <w:tcW w:w="972" w:type="dxa"/>
                  <w:tcBorders>
                    <w:tl2br w:val="nil"/>
                    <w:tr2bl w:val="nil"/>
                  </w:tcBorders>
                  <w:vAlign w:val="center"/>
                </w:tcPr>
                <w:p w14:paraId="3FA07E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0.0328</w:t>
                  </w:r>
                </w:p>
              </w:tc>
              <w:tc>
                <w:tcPr>
                  <w:tcW w:w="444" w:type="pct"/>
                  <w:tcBorders>
                    <w:tl2br w:val="nil"/>
                    <w:tr2bl w:val="nil"/>
                  </w:tcBorders>
                  <w:vAlign w:val="center"/>
                </w:tcPr>
                <w:p w14:paraId="21CBAF6E">
                  <w:pPr>
                    <w:adjustRightInd w:val="0"/>
                    <w:snapToGrid w:val="0"/>
                    <w:spacing w:line="240" w:lineRule="auto"/>
                    <w:ind w:firstLine="0" w:firstLineChars="0"/>
                    <w:jc w:val="center"/>
                    <w:rPr>
                      <w:sz w:val="21"/>
                      <w:szCs w:val="21"/>
                    </w:rPr>
                  </w:pPr>
                  <w:r>
                    <w:rPr>
                      <w:rFonts w:hint="eastAsia"/>
                      <w:sz w:val="21"/>
                      <w:szCs w:val="21"/>
                    </w:rPr>
                    <w:t>0.5</w:t>
                  </w:r>
                </w:p>
              </w:tc>
              <w:tc>
                <w:tcPr>
                  <w:tcW w:w="479" w:type="pct"/>
                  <w:tcBorders>
                    <w:tl2br w:val="nil"/>
                    <w:tr2bl w:val="nil"/>
                  </w:tcBorders>
                  <w:vAlign w:val="center"/>
                </w:tcPr>
                <w:p w14:paraId="48DBD673">
                  <w:pPr>
                    <w:adjustRightInd w:val="0"/>
                    <w:snapToGrid w:val="0"/>
                    <w:spacing w:line="240" w:lineRule="auto"/>
                    <w:ind w:firstLine="0" w:firstLineChars="0"/>
                    <w:jc w:val="center"/>
                    <w:rPr>
                      <w:sz w:val="21"/>
                      <w:szCs w:val="21"/>
                    </w:rPr>
                  </w:pPr>
                  <w:r>
                    <w:rPr>
                      <w:sz w:val="21"/>
                      <w:szCs w:val="21"/>
                    </w:rPr>
                    <w:t>1</w:t>
                  </w:r>
                </w:p>
              </w:tc>
              <w:tc>
                <w:tcPr>
                  <w:tcW w:w="486" w:type="pct"/>
                  <w:vMerge w:val="continue"/>
                  <w:tcBorders>
                    <w:tl2br w:val="nil"/>
                    <w:tr2bl w:val="nil"/>
                  </w:tcBorders>
                  <w:vAlign w:val="center"/>
                </w:tcPr>
                <w:p w14:paraId="14E5B004">
                  <w:pPr>
                    <w:widowControl/>
                    <w:adjustRightInd w:val="0"/>
                    <w:snapToGrid w:val="0"/>
                    <w:spacing w:line="240" w:lineRule="auto"/>
                    <w:ind w:firstLine="0" w:firstLineChars="0"/>
                    <w:jc w:val="center"/>
                    <w:rPr>
                      <w:sz w:val="21"/>
                      <w:szCs w:val="21"/>
                    </w:rPr>
                  </w:pPr>
                </w:p>
              </w:tc>
            </w:tr>
          </w:tbl>
          <w:p w14:paraId="17C8A6F6">
            <w:pPr>
              <w:adjustRightInd w:val="0"/>
              <w:snapToGrid w:val="0"/>
              <w:spacing w:line="240" w:lineRule="auto"/>
              <w:ind w:firstLine="422"/>
              <w:rPr>
                <w:b/>
                <w:bCs/>
                <w:sz w:val="21"/>
                <w:szCs w:val="21"/>
              </w:rPr>
            </w:pPr>
            <w:r>
              <w:rPr>
                <w:b/>
                <w:bCs/>
                <w:sz w:val="21"/>
                <w:szCs w:val="21"/>
              </w:rPr>
              <w:t>注：污染源非正常排放按照无处理效率进行核算。</w:t>
            </w:r>
          </w:p>
          <w:p w14:paraId="2CFC57BD">
            <w:pPr>
              <w:adjustRightInd w:val="0"/>
              <w:snapToGrid w:val="0"/>
              <w:spacing w:line="520" w:lineRule="exact"/>
              <w:ind w:firstLine="480"/>
              <w:rPr>
                <w:bCs/>
              </w:rPr>
            </w:pPr>
            <w:r>
              <w:rPr>
                <w:rFonts w:hint="eastAsia"/>
                <w:bCs/>
              </w:rPr>
              <w:t>项目应建立废气治理设施故障应急处置机制，发现装置故障时须立即停产检修，严禁非正常排放，待设施恢复正常运行后方可复产。</w:t>
            </w:r>
          </w:p>
          <w:p w14:paraId="77A7B1D8">
            <w:pPr>
              <w:snapToGrid w:val="0"/>
              <w:spacing w:line="520" w:lineRule="exact"/>
              <w:ind w:firstLine="482"/>
              <w:jc w:val="left"/>
              <w:rPr>
                <w:b/>
              </w:rPr>
            </w:pPr>
            <w:r>
              <w:rPr>
                <w:rFonts w:hint="eastAsia"/>
                <w:b/>
              </w:rPr>
              <w:t>1.7 监测要求</w:t>
            </w:r>
          </w:p>
          <w:p w14:paraId="7574B2EB">
            <w:pPr>
              <w:adjustRightInd w:val="0"/>
              <w:snapToGrid w:val="0"/>
              <w:spacing w:line="520" w:lineRule="exact"/>
              <w:ind w:firstLine="480"/>
            </w:pPr>
            <w:r>
              <w:rPr>
                <w:bCs/>
              </w:rPr>
              <w:t>根据《排污许可证申请与核发技术规范 纺织印染工业》（HJ861-2017）</w:t>
            </w:r>
            <w:r>
              <w:rPr>
                <w:rFonts w:hint="eastAsia"/>
                <w:bCs/>
              </w:rPr>
              <w:t>、《排污单位自行监测技术指南 纺织印染工业》（HJ 1207-2021）</w:t>
            </w:r>
            <w:r>
              <w:rPr>
                <w:bCs/>
              </w:rPr>
              <w:t>，</w:t>
            </w:r>
            <w:r>
              <w:rPr>
                <w:rFonts w:hint="eastAsia"/>
                <w:bCs/>
              </w:rPr>
              <w:t>本项目排放口属于一般排放口</w:t>
            </w:r>
            <w:r>
              <w:t>，评价提出项目在生产运行阶段的污染源监测计划，具体监测计划见下表。</w:t>
            </w:r>
          </w:p>
          <w:p w14:paraId="75D222EB">
            <w:pPr>
              <w:adjustRightInd w:val="0"/>
              <w:snapToGrid w:val="0"/>
              <w:spacing w:line="460" w:lineRule="exact"/>
              <w:ind w:firstLine="960" w:firstLineChars="400"/>
              <w:rPr>
                <w:rFonts w:eastAsia="黑体"/>
              </w:rPr>
            </w:pPr>
            <w:r>
              <w:rPr>
                <w:rFonts w:eastAsia="黑体"/>
              </w:rPr>
              <w:t>表</w:t>
            </w:r>
            <w:r>
              <w:rPr>
                <w:rFonts w:hint="eastAsia" w:eastAsia="黑体"/>
              </w:rPr>
              <w:t>4-8</w:t>
            </w:r>
            <w:r>
              <w:rPr>
                <w:rFonts w:eastAsia="黑体"/>
              </w:rPr>
              <w:t xml:space="preserve">        </w:t>
            </w:r>
            <w:r>
              <w:rPr>
                <w:rFonts w:hint="eastAsia" w:eastAsia="黑体"/>
              </w:rPr>
              <w:t xml:space="preserve"> </w:t>
            </w:r>
            <w:r>
              <w:rPr>
                <w:rFonts w:eastAsia="黑体"/>
              </w:rPr>
              <w:t xml:space="preserve">       污染源自行监测计划表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110"/>
              <w:gridCol w:w="1080"/>
              <w:gridCol w:w="5025"/>
            </w:tblGrid>
            <w:tr w14:paraId="1473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dxa"/>
                  <w:tcBorders>
                    <w:tl2br w:val="nil"/>
                    <w:tr2bl w:val="nil"/>
                  </w:tcBorders>
                  <w:vAlign w:val="center"/>
                </w:tcPr>
                <w:p w14:paraId="5171440C">
                  <w:pPr>
                    <w:adjustRightInd w:val="0"/>
                    <w:snapToGrid w:val="0"/>
                    <w:spacing w:line="240" w:lineRule="auto"/>
                    <w:ind w:firstLine="0" w:firstLineChars="0"/>
                    <w:jc w:val="center"/>
                    <w:rPr>
                      <w:b/>
                      <w:bCs/>
                      <w:sz w:val="21"/>
                      <w:szCs w:val="21"/>
                    </w:rPr>
                  </w:pPr>
                  <w:r>
                    <w:rPr>
                      <w:b/>
                      <w:bCs/>
                      <w:sz w:val="21"/>
                      <w:szCs w:val="21"/>
                    </w:rPr>
                    <w:t>监测点</w:t>
                  </w:r>
                </w:p>
              </w:tc>
              <w:tc>
                <w:tcPr>
                  <w:tcW w:w="1110" w:type="dxa"/>
                  <w:tcBorders>
                    <w:tl2br w:val="nil"/>
                    <w:tr2bl w:val="nil"/>
                  </w:tcBorders>
                  <w:vAlign w:val="center"/>
                </w:tcPr>
                <w:p w14:paraId="3F98C531">
                  <w:pPr>
                    <w:adjustRightInd w:val="0"/>
                    <w:snapToGrid w:val="0"/>
                    <w:spacing w:line="240" w:lineRule="auto"/>
                    <w:ind w:firstLine="0" w:firstLineChars="0"/>
                    <w:jc w:val="center"/>
                    <w:rPr>
                      <w:b/>
                      <w:bCs/>
                      <w:sz w:val="21"/>
                      <w:szCs w:val="21"/>
                    </w:rPr>
                  </w:pPr>
                  <w:r>
                    <w:rPr>
                      <w:b/>
                      <w:bCs/>
                      <w:sz w:val="21"/>
                      <w:szCs w:val="21"/>
                    </w:rPr>
                    <w:t>监测项目</w:t>
                  </w:r>
                </w:p>
              </w:tc>
              <w:tc>
                <w:tcPr>
                  <w:tcW w:w="1080" w:type="dxa"/>
                  <w:tcBorders>
                    <w:tl2br w:val="nil"/>
                    <w:tr2bl w:val="nil"/>
                  </w:tcBorders>
                  <w:vAlign w:val="center"/>
                </w:tcPr>
                <w:p w14:paraId="62B096BD">
                  <w:pPr>
                    <w:adjustRightInd w:val="0"/>
                    <w:snapToGrid w:val="0"/>
                    <w:spacing w:line="240" w:lineRule="auto"/>
                    <w:ind w:firstLine="0" w:firstLineChars="0"/>
                    <w:jc w:val="center"/>
                    <w:rPr>
                      <w:b/>
                      <w:bCs/>
                      <w:sz w:val="21"/>
                      <w:szCs w:val="21"/>
                    </w:rPr>
                  </w:pPr>
                  <w:r>
                    <w:rPr>
                      <w:b/>
                      <w:bCs/>
                      <w:sz w:val="21"/>
                      <w:szCs w:val="21"/>
                    </w:rPr>
                    <w:t>监测频次</w:t>
                  </w:r>
                </w:p>
              </w:tc>
              <w:tc>
                <w:tcPr>
                  <w:tcW w:w="5025" w:type="dxa"/>
                  <w:tcBorders>
                    <w:tl2br w:val="nil"/>
                    <w:tr2bl w:val="nil"/>
                  </w:tcBorders>
                  <w:vAlign w:val="center"/>
                </w:tcPr>
                <w:p w14:paraId="01EA042C">
                  <w:pPr>
                    <w:adjustRightInd w:val="0"/>
                    <w:snapToGrid w:val="0"/>
                    <w:spacing w:line="240" w:lineRule="auto"/>
                    <w:ind w:firstLine="0" w:firstLineChars="0"/>
                    <w:jc w:val="center"/>
                    <w:rPr>
                      <w:b/>
                      <w:bCs/>
                      <w:sz w:val="21"/>
                      <w:szCs w:val="21"/>
                    </w:rPr>
                  </w:pPr>
                  <w:r>
                    <w:rPr>
                      <w:b/>
                      <w:bCs/>
                      <w:sz w:val="21"/>
                      <w:szCs w:val="21"/>
                    </w:rPr>
                    <w:t>执行排放标准</w:t>
                  </w:r>
                </w:p>
              </w:tc>
            </w:tr>
            <w:tr w14:paraId="154F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7" w:type="dxa"/>
                  <w:gridSpan w:val="4"/>
                  <w:tcBorders>
                    <w:tl2br w:val="nil"/>
                    <w:tr2bl w:val="nil"/>
                  </w:tcBorders>
                  <w:vAlign w:val="center"/>
                </w:tcPr>
                <w:p w14:paraId="3FDFDBE0">
                  <w:pPr>
                    <w:adjustRightInd w:val="0"/>
                    <w:snapToGrid w:val="0"/>
                    <w:spacing w:line="240" w:lineRule="auto"/>
                    <w:ind w:firstLine="0" w:firstLineChars="0"/>
                    <w:jc w:val="center"/>
                    <w:rPr>
                      <w:sz w:val="21"/>
                      <w:szCs w:val="21"/>
                    </w:rPr>
                  </w:pPr>
                  <w:r>
                    <w:rPr>
                      <w:sz w:val="21"/>
                      <w:szCs w:val="21"/>
                    </w:rPr>
                    <w:t>有组织废气</w:t>
                  </w:r>
                </w:p>
              </w:tc>
            </w:tr>
            <w:tr w14:paraId="47FC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dxa"/>
                  <w:vMerge w:val="restart"/>
                  <w:tcBorders>
                    <w:tl2br w:val="nil"/>
                    <w:tr2bl w:val="nil"/>
                  </w:tcBorders>
                  <w:vAlign w:val="center"/>
                </w:tcPr>
                <w:p w14:paraId="348A04BD">
                  <w:pPr>
                    <w:adjustRightInd w:val="0"/>
                    <w:snapToGrid w:val="0"/>
                    <w:spacing w:line="240" w:lineRule="auto"/>
                    <w:ind w:firstLine="0" w:firstLineChars="0"/>
                    <w:jc w:val="center"/>
                    <w:rPr>
                      <w:sz w:val="21"/>
                      <w:szCs w:val="21"/>
                    </w:rPr>
                  </w:pPr>
                  <w:r>
                    <w:rPr>
                      <w:sz w:val="21"/>
                      <w:szCs w:val="21"/>
                    </w:rPr>
                    <w:t>排气筒DA001</w:t>
                  </w:r>
                </w:p>
              </w:tc>
              <w:tc>
                <w:tcPr>
                  <w:tcW w:w="1110" w:type="dxa"/>
                  <w:tcBorders>
                    <w:tl2br w:val="nil"/>
                    <w:tr2bl w:val="nil"/>
                  </w:tcBorders>
                  <w:vAlign w:val="center"/>
                </w:tcPr>
                <w:p w14:paraId="451DEA26">
                  <w:pPr>
                    <w:adjustRightInd w:val="0"/>
                    <w:snapToGrid w:val="0"/>
                    <w:spacing w:line="240" w:lineRule="auto"/>
                    <w:ind w:firstLine="0" w:firstLineChars="0"/>
                    <w:jc w:val="center"/>
                    <w:rPr>
                      <w:sz w:val="21"/>
                      <w:szCs w:val="21"/>
                    </w:rPr>
                  </w:pPr>
                  <w:r>
                    <w:rPr>
                      <w:rFonts w:hint="eastAsia"/>
                      <w:sz w:val="21"/>
                      <w:szCs w:val="21"/>
                    </w:rPr>
                    <w:t>非甲烷总烃</w:t>
                  </w:r>
                </w:p>
              </w:tc>
              <w:tc>
                <w:tcPr>
                  <w:tcW w:w="1080" w:type="dxa"/>
                  <w:tcBorders>
                    <w:tl2br w:val="nil"/>
                    <w:tr2bl w:val="nil"/>
                  </w:tcBorders>
                  <w:vAlign w:val="center"/>
                </w:tcPr>
                <w:p w14:paraId="5C5144A6">
                  <w:pPr>
                    <w:adjustRightInd w:val="0"/>
                    <w:snapToGrid w:val="0"/>
                    <w:spacing w:line="240" w:lineRule="auto"/>
                    <w:ind w:firstLine="0" w:firstLineChars="0"/>
                    <w:jc w:val="center"/>
                    <w:rPr>
                      <w:sz w:val="21"/>
                      <w:szCs w:val="21"/>
                    </w:rPr>
                  </w:pPr>
                  <w:r>
                    <w:rPr>
                      <w:rFonts w:hint="eastAsia"/>
                      <w:sz w:val="21"/>
                      <w:szCs w:val="21"/>
                    </w:rPr>
                    <w:t>1次/季度</w:t>
                  </w:r>
                </w:p>
              </w:tc>
              <w:tc>
                <w:tcPr>
                  <w:tcW w:w="5025" w:type="dxa"/>
                  <w:tcBorders>
                    <w:tl2br w:val="nil"/>
                    <w:tr2bl w:val="nil"/>
                  </w:tcBorders>
                  <w:vAlign w:val="center"/>
                </w:tcPr>
                <w:p w14:paraId="68E968B5">
                  <w:pPr>
                    <w:adjustRightInd w:val="0"/>
                    <w:snapToGrid w:val="0"/>
                    <w:spacing w:line="240" w:lineRule="auto"/>
                    <w:ind w:firstLine="0" w:firstLineChars="0"/>
                    <w:jc w:val="center"/>
                    <w:rPr>
                      <w:sz w:val="21"/>
                      <w:szCs w:val="21"/>
                      <w:lang w:val="zh-CN"/>
                    </w:rPr>
                  </w:pPr>
                  <w:r>
                    <w:rPr>
                      <w:rFonts w:hint="eastAsia"/>
                      <w:kern w:val="0"/>
                      <w:sz w:val="21"/>
                      <w:szCs w:val="21"/>
                    </w:rPr>
                    <w:t>《大气污染物综合排放标准》（GB16297-1996）、《河南省重污染天气重点行业应急减排措施制定技术指南</w:t>
                  </w:r>
                  <w:r>
                    <w:rPr>
                      <w:rFonts w:hint="eastAsia"/>
                      <w:kern w:val="0"/>
                      <w:sz w:val="21"/>
                      <w:szCs w:val="21"/>
                      <w:lang w:eastAsia="zh-CN"/>
                    </w:rPr>
                    <w:t xml:space="preserve">（2024年修订版）》 </w:t>
                  </w:r>
                  <w:r>
                    <w:rPr>
                      <w:rFonts w:hint="eastAsia"/>
                      <w:kern w:val="0"/>
                      <w:sz w:val="21"/>
                      <w:szCs w:val="21"/>
                    </w:rPr>
                    <w:t>“纺织印染与服饰制造”绩效分级A级</w:t>
                  </w:r>
                </w:p>
              </w:tc>
            </w:tr>
            <w:tr w14:paraId="5AE0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dxa"/>
                  <w:vMerge w:val="continue"/>
                  <w:tcBorders>
                    <w:tl2br w:val="nil"/>
                    <w:tr2bl w:val="nil"/>
                  </w:tcBorders>
                  <w:vAlign w:val="center"/>
                </w:tcPr>
                <w:p w14:paraId="78A622F0">
                  <w:pPr>
                    <w:adjustRightInd w:val="0"/>
                    <w:snapToGrid w:val="0"/>
                    <w:spacing w:line="240" w:lineRule="auto"/>
                    <w:ind w:firstLine="0" w:firstLineChars="0"/>
                    <w:jc w:val="center"/>
                    <w:rPr>
                      <w:sz w:val="21"/>
                      <w:szCs w:val="21"/>
                    </w:rPr>
                  </w:pPr>
                </w:p>
              </w:tc>
              <w:tc>
                <w:tcPr>
                  <w:tcW w:w="1110" w:type="dxa"/>
                  <w:tcBorders>
                    <w:tl2br w:val="nil"/>
                    <w:tr2bl w:val="nil"/>
                  </w:tcBorders>
                  <w:shd w:val="clear" w:color="auto" w:fill="auto"/>
                  <w:vAlign w:val="center"/>
                </w:tcPr>
                <w:p w14:paraId="388EF26A">
                  <w:pPr>
                    <w:adjustRightInd w:val="0"/>
                    <w:snapToGrid w:val="0"/>
                    <w:spacing w:line="240" w:lineRule="auto"/>
                    <w:ind w:firstLine="0" w:firstLineChars="0"/>
                    <w:jc w:val="center"/>
                    <w:rPr>
                      <w:sz w:val="21"/>
                      <w:szCs w:val="21"/>
                    </w:rPr>
                  </w:pPr>
                  <w:r>
                    <w:rPr>
                      <w:rFonts w:hint="eastAsia"/>
                      <w:sz w:val="21"/>
                      <w:szCs w:val="21"/>
                    </w:rPr>
                    <w:t>颗粒物</w:t>
                  </w:r>
                </w:p>
              </w:tc>
              <w:tc>
                <w:tcPr>
                  <w:tcW w:w="1080" w:type="dxa"/>
                  <w:tcBorders>
                    <w:tl2br w:val="nil"/>
                    <w:tr2bl w:val="nil"/>
                  </w:tcBorders>
                  <w:shd w:val="clear" w:color="auto" w:fill="auto"/>
                  <w:vAlign w:val="center"/>
                </w:tcPr>
                <w:p w14:paraId="3B13E787">
                  <w:pPr>
                    <w:adjustRightInd w:val="0"/>
                    <w:snapToGrid w:val="0"/>
                    <w:spacing w:line="240" w:lineRule="auto"/>
                    <w:ind w:firstLine="0" w:firstLineChars="0"/>
                    <w:jc w:val="center"/>
                    <w:rPr>
                      <w:sz w:val="21"/>
                      <w:szCs w:val="21"/>
                    </w:rPr>
                  </w:pPr>
                  <w:r>
                    <w:rPr>
                      <w:rFonts w:hint="eastAsia"/>
                      <w:sz w:val="21"/>
                      <w:szCs w:val="21"/>
                    </w:rPr>
                    <w:t>1次/半年</w:t>
                  </w:r>
                </w:p>
              </w:tc>
              <w:tc>
                <w:tcPr>
                  <w:tcW w:w="5025" w:type="dxa"/>
                  <w:tcBorders>
                    <w:tl2br w:val="nil"/>
                    <w:tr2bl w:val="nil"/>
                  </w:tcBorders>
                  <w:shd w:val="clear" w:color="auto" w:fill="auto"/>
                  <w:vAlign w:val="center"/>
                </w:tcPr>
                <w:p w14:paraId="2E56C9AB">
                  <w:pPr>
                    <w:adjustRightInd w:val="0"/>
                    <w:snapToGrid w:val="0"/>
                    <w:spacing w:line="240" w:lineRule="auto"/>
                    <w:ind w:firstLine="0" w:firstLineChars="0"/>
                    <w:jc w:val="center"/>
                    <w:rPr>
                      <w:kern w:val="0"/>
                      <w:sz w:val="21"/>
                      <w:szCs w:val="21"/>
                    </w:rPr>
                  </w:pPr>
                  <w:r>
                    <w:rPr>
                      <w:kern w:val="0"/>
                      <w:sz w:val="21"/>
                      <w:szCs w:val="21"/>
                    </w:rPr>
                    <w:t>《大气污染物综合排放标准》（GB16297-1996）</w:t>
                  </w:r>
                  <w:r>
                    <w:rPr>
                      <w:rFonts w:hint="eastAsia"/>
                      <w:kern w:val="0"/>
                      <w:sz w:val="21"/>
                      <w:szCs w:val="21"/>
                    </w:rPr>
                    <w:t>、新乡市生态环境局《关于进一步规范工业企业颗粒物排放限值的通知》</w:t>
                  </w:r>
                </w:p>
              </w:tc>
            </w:tr>
            <w:tr w14:paraId="3DD8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7" w:type="dxa"/>
                  <w:gridSpan w:val="4"/>
                  <w:tcBorders>
                    <w:tl2br w:val="nil"/>
                    <w:tr2bl w:val="nil"/>
                  </w:tcBorders>
                  <w:vAlign w:val="center"/>
                </w:tcPr>
                <w:p w14:paraId="60E4F9AF">
                  <w:pPr>
                    <w:adjustRightInd w:val="0"/>
                    <w:snapToGrid w:val="0"/>
                    <w:spacing w:line="240" w:lineRule="auto"/>
                    <w:ind w:firstLine="0" w:firstLineChars="0"/>
                    <w:jc w:val="center"/>
                    <w:rPr>
                      <w:kern w:val="0"/>
                      <w:sz w:val="21"/>
                      <w:szCs w:val="21"/>
                    </w:rPr>
                  </w:pPr>
                  <w:r>
                    <w:rPr>
                      <w:rFonts w:hint="eastAsia"/>
                      <w:sz w:val="21"/>
                      <w:szCs w:val="21"/>
                    </w:rPr>
                    <w:t>无</w:t>
                  </w:r>
                  <w:r>
                    <w:rPr>
                      <w:sz w:val="21"/>
                      <w:szCs w:val="21"/>
                    </w:rPr>
                    <w:t>组织废气</w:t>
                  </w:r>
                </w:p>
              </w:tc>
            </w:tr>
            <w:tr w14:paraId="53E7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dxa"/>
                  <w:vMerge w:val="restart"/>
                  <w:tcBorders>
                    <w:tl2br w:val="nil"/>
                    <w:tr2bl w:val="nil"/>
                  </w:tcBorders>
                  <w:vAlign w:val="center"/>
                </w:tcPr>
                <w:p w14:paraId="23E60070">
                  <w:pPr>
                    <w:adjustRightInd w:val="0"/>
                    <w:snapToGrid w:val="0"/>
                    <w:spacing w:line="240" w:lineRule="auto"/>
                    <w:ind w:firstLine="0" w:firstLineChars="0"/>
                    <w:jc w:val="center"/>
                    <w:rPr>
                      <w:sz w:val="21"/>
                      <w:szCs w:val="21"/>
                    </w:rPr>
                  </w:pPr>
                  <w:r>
                    <w:rPr>
                      <w:rFonts w:hint="eastAsia"/>
                      <w:sz w:val="21"/>
                      <w:szCs w:val="21"/>
                    </w:rPr>
                    <w:t>厂界</w:t>
                  </w:r>
                </w:p>
              </w:tc>
              <w:tc>
                <w:tcPr>
                  <w:tcW w:w="1110" w:type="dxa"/>
                  <w:tcBorders>
                    <w:tl2br w:val="nil"/>
                    <w:tr2bl w:val="nil"/>
                  </w:tcBorders>
                  <w:shd w:val="clear" w:color="auto" w:fill="auto"/>
                  <w:vAlign w:val="center"/>
                </w:tcPr>
                <w:p w14:paraId="6A60FBF0">
                  <w:pPr>
                    <w:adjustRightInd w:val="0"/>
                    <w:snapToGrid w:val="0"/>
                    <w:spacing w:line="240" w:lineRule="auto"/>
                    <w:ind w:firstLine="0" w:firstLineChars="0"/>
                    <w:jc w:val="center"/>
                    <w:rPr>
                      <w:sz w:val="21"/>
                      <w:szCs w:val="21"/>
                    </w:rPr>
                  </w:pPr>
                  <w:r>
                    <w:rPr>
                      <w:rFonts w:hint="eastAsia"/>
                      <w:sz w:val="21"/>
                      <w:szCs w:val="21"/>
                    </w:rPr>
                    <w:t>非甲烷总烃</w:t>
                  </w:r>
                </w:p>
              </w:tc>
              <w:tc>
                <w:tcPr>
                  <w:tcW w:w="1080" w:type="dxa"/>
                  <w:tcBorders>
                    <w:tl2br w:val="nil"/>
                    <w:tr2bl w:val="nil"/>
                  </w:tcBorders>
                  <w:shd w:val="clear" w:color="auto" w:fill="auto"/>
                  <w:vAlign w:val="center"/>
                </w:tcPr>
                <w:p w14:paraId="12C4A2AF">
                  <w:pPr>
                    <w:adjustRightInd w:val="0"/>
                    <w:snapToGrid w:val="0"/>
                    <w:spacing w:line="240" w:lineRule="auto"/>
                    <w:ind w:firstLine="0" w:firstLineChars="0"/>
                    <w:jc w:val="center"/>
                    <w:rPr>
                      <w:sz w:val="21"/>
                      <w:szCs w:val="21"/>
                    </w:rPr>
                  </w:pPr>
                  <w:r>
                    <w:rPr>
                      <w:rFonts w:hint="eastAsia"/>
                      <w:sz w:val="21"/>
                      <w:szCs w:val="21"/>
                    </w:rPr>
                    <w:t>1次/半年</w:t>
                  </w:r>
                </w:p>
              </w:tc>
              <w:tc>
                <w:tcPr>
                  <w:tcW w:w="5025" w:type="dxa"/>
                  <w:tcBorders>
                    <w:tl2br w:val="nil"/>
                    <w:tr2bl w:val="nil"/>
                  </w:tcBorders>
                  <w:shd w:val="clear" w:color="auto" w:fill="auto"/>
                  <w:vAlign w:val="center"/>
                </w:tcPr>
                <w:p w14:paraId="2DB2D25B">
                  <w:pPr>
                    <w:adjustRightInd w:val="0"/>
                    <w:snapToGrid w:val="0"/>
                    <w:spacing w:line="240" w:lineRule="auto"/>
                    <w:ind w:firstLine="0" w:firstLineChars="0"/>
                    <w:jc w:val="center"/>
                    <w:rPr>
                      <w:kern w:val="0"/>
                      <w:sz w:val="21"/>
                      <w:szCs w:val="21"/>
                    </w:rPr>
                  </w:pPr>
                  <w:r>
                    <w:rPr>
                      <w:kern w:val="0"/>
                      <w:sz w:val="21"/>
                      <w:szCs w:val="21"/>
                    </w:rPr>
                    <w:t>《大气污染物综合排放标准》（GB16297-1996）、《关于全省开展工业企业挥发性有机物专项治理工作中排放建议值的通知》（豫环攻坚办[2017]162号）</w:t>
                  </w:r>
                </w:p>
              </w:tc>
            </w:tr>
            <w:tr w14:paraId="67F6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dxa"/>
                  <w:vMerge w:val="continue"/>
                  <w:tcBorders>
                    <w:tl2br w:val="nil"/>
                    <w:tr2bl w:val="nil"/>
                  </w:tcBorders>
                  <w:vAlign w:val="center"/>
                </w:tcPr>
                <w:p w14:paraId="59DAAC99">
                  <w:pPr>
                    <w:adjustRightInd w:val="0"/>
                    <w:snapToGrid w:val="0"/>
                    <w:spacing w:line="240" w:lineRule="auto"/>
                    <w:ind w:firstLine="0" w:firstLineChars="0"/>
                    <w:jc w:val="center"/>
                    <w:rPr>
                      <w:sz w:val="21"/>
                      <w:szCs w:val="21"/>
                    </w:rPr>
                  </w:pPr>
                </w:p>
              </w:tc>
              <w:tc>
                <w:tcPr>
                  <w:tcW w:w="1110" w:type="dxa"/>
                  <w:tcBorders>
                    <w:tl2br w:val="nil"/>
                    <w:tr2bl w:val="nil"/>
                  </w:tcBorders>
                  <w:shd w:val="clear" w:color="auto" w:fill="auto"/>
                  <w:vAlign w:val="center"/>
                </w:tcPr>
                <w:p w14:paraId="205B7096">
                  <w:pPr>
                    <w:adjustRightInd w:val="0"/>
                    <w:snapToGrid w:val="0"/>
                    <w:spacing w:line="240" w:lineRule="auto"/>
                    <w:ind w:firstLine="0" w:firstLineChars="0"/>
                    <w:jc w:val="center"/>
                    <w:rPr>
                      <w:sz w:val="21"/>
                      <w:szCs w:val="21"/>
                    </w:rPr>
                  </w:pPr>
                  <w:r>
                    <w:rPr>
                      <w:rFonts w:hint="eastAsia"/>
                      <w:sz w:val="21"/>
                      <w:szCs w:val="21"/>
                    </w:rPr>
                    <w:t>颗粒物</w:t>
                  </w:r>
                </w:p>
              </w:tc>
              <w:tc>
                <w:tcPr>
                  <w:tcW w:w="1080" w:type="dxa"/>
                  <w:tcBorders>
                    <w:tl2br w:val="nil"/>
                    <w:tr2bl w:val="nil"/>
                  </w:tcBorders>
                  <w:shd w:val="clear" w:color="auto" w:fill="auto"/>
                  <w:vAlign w:val="center"/>
                </w:tcPr>
                <w:p w14:paraId="2C1EC329">
                  <w:pPr>
                    <w:adjustRightInd w:val="0"/>
                    <w:snapToGrid w:val="0"/>
                    <w:spacing w:line="240" w:lineRule="auto"/>
                    <w:ind w:firstLine="0" w:firstLineChars="0"/>
                    <w:jc w:val="center"/>
                    <w:rPr>
                      <w:sz w:val="21"/>
                      <w:szCs w:val="21"/>
                    </w:rPr>
                  </w:pPr>
                  <w:r>
                    <w:rPr>
                      <w:rFonts w:hint="eastAsia"/>
                      <w:sz w:val="21"/>
                      <w:szCs w:val="21"/>
                    </w:rPr>
                    <w:t>1次/半年</w:t>
                  </w:r>
                </w:p>
              </w:tc>
              <w:tc>
                <w:tcPr>
                  <w:tcW w:w="5025" w:type="dxa"/>
                  <w:tcBorders>
                    <w:tl2br w:val="nil"/>
                    <w:tr2bl w:val="nil"/>
                  </w:tcBorders>
                  <w:shd w:val="clear" w:color="auto" w:fill="auto"/>
                  <w:vAlign w:val="center"/>
                </w:tcPr>
                <w:p w14:paraId="32BA1189">
                  <w:pPr>
                    <w:adjustRightInd w:val="0"/>
                    <w:snapToGrid w:val="0"/>
                    <w:spacing w:line="240" w:lineRule="auto"/>
                    <w:ind w:firstLine="0" w:firstLineChars="0"/>
                    <w:jc w:val="center"/>
                    <w:rPr>
                      <w:kern w:val="0"/>
                      <w:sz w:val="21"/>
                      <w:szCs w:val="21"/>
                    </w:rPr>
                  </w:pPr>
                  <w:r>
                    <w:rPr>
                      <w:kern w:val="0"/>
                      <w:sz w:val="21"/>
                      <w:szCs w:val="21"/>
                    </w:rPr>
                    <w:t>《大气污染物综合排放标准》（GB16297-1996）</w:t>
                  </w:r>
                  <w:r>
                    <w:rPr>
                      <w:rFonts w:hint="eastAsia"/>
                      <w:kern w:val="0"/>
                      <w:sz w:val="21"/>
                      <w:szCs w:val="21"/>
                    </w:rPr>
                    <w:t>、</w:t>
                  </w:r>
                  <w:r>
                    <w:rPr>
                      <w:kern w:val="0"/>
                      <w:sz w:val="21"/>
                      <w:szCs w:val="21"/>
                    </w:rPr>
                    <w:t>《新乡市生态环境局关于进一步规范工业企业颗粒物排放限值的通知》</w:t>
                  </w:r>
                </w:p>
              </w:tc>
            </w:tr>
          </w:tbl>
          <w:p w14:paraId="5A12FC23">
            <w:pPr>
              <w:pStyle w:val="101"/>
              <w:keepNext w:val="0"/>
              <w:keepLines w:val="0"/>
              <w:pageBreakBefore w:val="0"/>
              <w:widowControl/>
              <w:kinsoku/>
              <w:wordWrap/>
              <w:overflowPunct/>
              <w:topLinePunct w:val="0"/>
              <w:autoSpaceDE/>
              <w:autoSpaceDN/>
              <w:bidi w:val="0"/>
              <w:adjustRightInd w:val="0"/>
              <w:snapToGrid w:val="0"/>
              <w:spacing w:line="520" w:lineRule="exact"/>
              <w:ind w:firstLine="482"/>
              <w:textAlignment w:val="auto"/>
              <w:rPr>
                <w:rFonts w:ascii="Times New Roman" w:hAnsi="Times New Roman"/>
                <w:b/>
                <w:bCs/>
                <w:sz w:val="24"/>
              </w:rPr>
            </w:pPr>
            <w:r>
              <w:rPr>
                <w:rFonts w:hint="eastAsia" w:ascii="Times New Roman" w:hAnsi="Times New Roman"/>
                <w:b/>
                <w:sz w:val="24"/>
              </w:rPr>
              <w:t>1.8</w:t>
            </w:r>
            <w:r>
              <w:rPr>
                <w:rFonts w:hint="eastAsia" w:ascii="Times New Roman" w:hAnsi="Times New Roman"/>
                <w:b/>
                <w:bCs/>
                <w:sz w:val="24"/>
              </w:rPr>
              <w:t>环境影响分析</w:t>
            </w:r>
          </w:p>
          <w:p w14:paraId="1A4E2B5E">
            <w:pPr>
              <w:pStyle w:val="101"/>
              <w:keepNext w:val="0"/>
              <w:keepLines w:val="0"/>
              <w:pageBreakBefore w:val="0"/>
              <w:widowControl/>
              <w:kinsoku/>
              <w:wordWrap/>
              <w:overflowPunct/>
              <w:topLinePunct w:val="0"/>
              <w:autoSpaceDE/>
              <w:autoSpaceDN/>
              <w:bidi w:val="0"/>
              <w:adjustRightInd w:val="0"/>
              <w:snapToGrid w:val="0"/>
              <w:spacing w:line="520" w:lineRule="exact"/>
              <w:ind w:firstLine="480"/>
              <w:textAlignment w:val="auto"/>
              <w:rPr>
                <w:rFonts w:ascii="Times New Roman" w:hAnsi="Times New Roman"/>
                <w:sz w:val="24"/>
              </w:rPr>
            </w:pPr>
            <w:r>
              <w:rPr>
                <w:rFonts w:ascii="Times New Roman" w:hAnsi="Times New Roman"/>
                <w:sz w:val="24"/>
              </w:rPr>
              <w:t>根据《环境影响评价技术导则 大气环境》(HJ2.2-2018)，本项目所在区域属于不达标区，超标污染物为PM</w:t>
            </w:r>
            <w:r>
              <w:rPr>
                <w:rFonts w:ascii="Times New Roman" w:hAnsi="Times New Roman"/>
                <w:sz w:val="24"/>
                <w:vertAlign w:val="subscript"/>
              </w:rPr>
              <w:t>10</w:t>
            </w:r>
            <w:r>
              <w:rPr>
                <w:rFonts w:ascii="Times New Roman" w:hAnsi="Times New Roman"/>
                <w:sz w:val="24"/>
              </w:rPr>
              <w:t>、PM</w:t>
            </w:r>
            <w:r>
              <w:rPr>
                <w:rFonts w:ascii="Times New Roman" w:hAnsi="Times New Roman"/>
                <w:sz w:val="24"/>
                <w:vertAlign w:val="subscript"/>
              </w:rPr>
              <w:t>2.5</w:t>
            </w:r>
            <w:r>
              <w:rPr>
                <w:rFonts w:ascii="Times New Roman" w:hAnsi="Times New Roman"/>
                <w:sz w:val="24"/>
              </w:rPr>
              <w:t>、O</w:t>
            </w:r>
            <w:r>
              <w:rPr>
                <w:rFonts w:ascii="Times New Roman" w:hAnsi="Times New Roman"/>
                <w:sz w:val="24"/>
                <w:vertAlign w:val="subscript"/>
              </w:rPr>
              <w:t>3</w:t>
            </w:r>
            <w:r>
              <w:rPr>
                <w:rFonts w:ascii="Times New Roman" w:hAnsi="Times New Roman"/>
                <w:sz w:val="24"/>
              </w:rPr>
              <w:t>，项目产生的颗粒物、非甲烷总烃通过削减区域现有污染源排放量进行替代。本项目颗粒物满足《大气污染物综合排放标准》（GB16297-1996）表2中二级排放标准（当排气筒高度为15m时，非甲烷总烃排放浓度限值120 mg/m</w:t>
            </w:r>
            <w:r>
              <w:rPr>
                <w:rFonts w:ascii="Times New Roman" w:hAnsi="Times New Roman"/>
                <w:sz w:val="24"/>
                <w:vertAlign w:val="superscript"/>
              </w:rPr>
              <w:t>3</w:t>
            </w:r>
            <w:r>
              <w:rPr>
                <w:rFonts w:ascii="Times New Roman" w:hAnsi="Times New Roman"/>
                <w:sz w:val="24"/>
              </w:rPr>
              <w:t>，排放速率限值10kg/h；颗粒物排放浓度限值120 mg/m</w:t>
            </w:r>
            <w:r>
              <w:rPr>
                <w:rFonts w:ascii="Times New Roman" w:hAnsi="Times New Roman"/>
                <w:sz w:val="24"/>
                <w:vertAlign w:val="superscript"/>
              </w:rPr>
              <w:t>3</w:t>
            </w:r>
            <w:r>
              <w:rPr>
                <w:rFonts w:ascii="Times New Roman" w:hAnsi="Times New Roman"/>
                <w:sz w:val="24"/>
              </w:rPr>
              <w:t>，排放速率限值3.5kg/h），同时满足《河南省重污染天气重点行业应急减排措施制定技术指南</w:t>
            </w:r>
            <w:r>
              <w:rPr>
                <w:rFonts w:hint="eastAsia" w:ascii="Times New Roman" w:hAnsi="Times New Roman"/>
                <w:sz w:val="24"/>
                <w:lang w:eastAsia="zh-CN"/>
              </w:rPr>
              <w:t xml:space="preserve">（2024年修订版）》 </w:t>
            </w:r>
            <w:r>
              <w:rPr>
                <w:rFonts w:ascii="Times New Roman" w:hAnsi="Times New Roman"/>
                <w:sz w:val="24"/>
              </w:rPr>
              <w:t>“纺织印染与服饰制造”绩效分级A级要求（颗粒物排放浓度限值10mg/m</w:t>
            </w:r>
            <w:r>
              <w:rPr>
                <w:rFonts w:ascii="Times New Roman" w:hAnsi="Times New Roman"/>
                <w:sz w:val="24"/>
                <w:vertAlign w:val="superscript"/>
              </w:rPr>
              <w:t>3</w:t>
            </w:r>
            <w:r>
              <w:rPr>
                <w:rFonts w:ascii="Times New Roman" w:hAnsi="Times New Roman"/>
                <w:sz w:val="24"/>
              </w:rPr>
              <w:t>，非甲烷总烃40mg/m</w:t>
            </w:r>
            <w:r>
              <w:rPr>
                <w:rFonts w:ascii="Times New Roman" w:hAnsi="Times New Roman"/>
                <w:sz w:val="24"/>
                <w:vertAlign w:val="superscript"/>
              </w:rPr>
              <w:t>3</w:t>
            </w:r>
            <w:r>
              <w:rPr>
                <w:rFonts w:ascii="Times New Roman" w:hAnsi="Times New Roman"/>
                <w:sz w:val="24"/>
              </w:rPr>
              <w:t>，去除效率不低于90%）和《新乡市生态环境局关于进一步规范工业企业颗粒物排放限值的通知》限值要求（颗粒物浓度限值10mg/m</w:t>
            </w:r>
            <w:r>
              <w:rPr>
                <w:rFonts w:ascii="Times New Roman" w:hAnsi="Times New Roman"/>
                <w:sz w:val="24"/>
                <w:vertAlign w:val="superscript"/>
              </w:rPr>
              <w:t>3</w:t>
            </w:r>
            <w:r>
              <w:rPr>
                <w:rFonts w:ascii="Times New Roman" w:hAnsi="Times New Roman"/>
                <w:sz w:val="24"/>
              </w:rPr>
              <w:t>）。通过区域削减和污染物扩散，不会对周边环境造成明显影响。</w:t>
            </w:r>
          </w:p>
          <w:p w14:paraId="00F7DC53">
            <w:pPr>
              <w:keepNext w:val="0"/>
              <w:keepLines w:val="0"/>
              <w:pageBreakBefore w:val="0"/>
              <w:kinsoku/>
              <w:wordWrap/>
              <w:overflowPunct/>
              <w:topLinePunct w:val="0"/>
              <w:bidi w:val="0"/>
              <w:adjustRightInd w:val="0"/>
              <w:snapToGrid w:val="0"/>
              <w:spacing w:line="520" w:lineRule="exact"/>
              <w:ind w:firstLine="480"/>
              <w:rPr>
                <w:b/>
                <w:bCs/>
                <w:color w:val="000000" w:themeColor="text1"/>
                <w14:textFill>
                  <w14:solidFill>
                    <w14:schemeClr w14:val="tx1"/>
                  </w14:solidFill>
                </w14:textFill>
              </w:rPr>
            </w:pPr>
            <w:r>
              <w:rPr>
                <w:rFonts w:hint="eastAsia"/>
              </w:rPr>
              <w:t>综上所述，评价认为项目建成运行过程中对周围大气环境影响可以接受。</w:t>
            </w:r>
          </w:p>
          <w:p w14:paraId="224D1F11">
            <w:pPr>
              <w:keepNext w:val="0"/>
              <w:keepLines w:val="0"/>
              <w:pageBreakBefore w:val="0"/>
              <w:kinsoku/>
              <w:wordWrap/>
              <w:overflowPunct/>
              <w:topLinePunct w:val="0"/>
              <w:bidi w:val="0"/>
              <w:adjustRightInd w:val="0"/>
              <w:snapToGrid w:val="0"/>
              <w:spacing w:line="520" w:lineRule="exact"/>
              <w:ind w:firstLine="482"/>
              <w:rPr>
                <w:b/>
                <w:bCs/>
              </w:rPr>
            </w:pPr>
            <w:r>
              <w:rPr>
                <w:b/>
                <w:bCs/>
              </w:rPr>
              <w:t>2、废水</w:t>
            </w:r>
          </w:p>
          <w:p w14:paraId="344FE871">
            <w:pPr>
              <w:keepNext w:val="0"/>
              <w:keepLines w:val="0"/>
              <w:pageBreakBefore w:val="0"/>
              <w:kinsoku/>
              <w:wordWrap/>
              <w:overflowPunct/>
              <w:topLinePunct w:val="0"/>
              <w:bidi w:val="0"/>
              <w:adjustRightInd w:val="0"/>
              <w:snapToGrid w:val="0"/>
              <w:spacing w:line="520" w:lineRule="exact"/>
              <w:ind w:firstLine="480"/>
              <w:textAlignment w:val="baseline"/>
            </w:pPr>
            <w:r>
              <w:rPr>
                <w:rFonts w:hint="eastAsia"/>
              </w:rPr>
              <w:t>项目无生产废水产生，废水主要为生活污水。</w:t>
            </w:r>
          </w:p>
          <w:p w14:paraId="592E494A">
            <w:pPr>
              <w:pStyle w:val="101"/>
              <w:keepNext w:val="0"/>
              <w:keepLines w:val="0"/>
              <w:pageBreakBefore w:val="0"/>
              <w:widowControl/>
              <w:kinsoku/>
              <w:wordWrap/>
              <w:overflowPunct/>
              <w:topLinePunct w:val="0"/>
              <w:bidi w:val="0"/>
              <w:adjustRightInd w:val="0"/>
              <w:snapToGrid w:val="0"/>
              <w:spacing w:line="520" w:lineRule="exact"/>
              <w:ind w:firstLine="482"/>
              <w:rPr>
                <w:rFonts w:ascii="Times New Roman" w:hAnsi="Times New Roman"/>
                <w:b/>
                <w:bCs/>
                <w:sz w:val="24"/>
              </w:rPr>
            </w:pPr>
            <w:r>
              <w:rPr>
                <w:rFonts w:hint="eastAsia" w:ascii="Times New Roman" w:hAnsi="Times New Roman"/>
                <w:b/>
                <w:sz w:val="24"/>
              </w:rPr>
              <w:t>2.</w:t>
            </w:r>
            <w:r>
              <w:rPr>
                <w:rFonts w:hint="eastAsia" w:ascii="Times New Roman" w:hAnsi="Times New Roman"/>
                <w:b/>
                <w:sz w:val="24"/>
                <w:lang w:val="en-US" w:eastAsia="zh-CN"/>
              </w:rPr>
              <w:t>1</w:t>
            </w:r>
            <w:r>
              <w:rPr>
                <w:rFonts w:hint="eastAsia" w:ascii="Times New Roman" w:hAnsi="Times New Roman"/>
                <w:b/>
                <w:bCs/>
                <w:sz w:val="24"/>
              </w:rPr>
              <w:t>生活污水</w:t>
            </w:r>
          </w:p>
          <w:p w14:paraId="5EE19A87">
            <w:pPr>
              <w:keepNext w:val="0"/>
              <w:keepLines w:val="0"/>
              <w:pageBreakBefore w:val="0"/>
              <w:kinsoku/>
              <w:wordWrap/>
              <w:overflowPunct/>
              <w:topLinePunct w:val="0"/>
              <w:bidi w:val="0"/>
              <w:adjustRightInd w:val="0"/>
              <w:snapToGrid w:val="0"/>
              <w:spacing w:line="520" w:lineRule="exact"/>
              <w:ind w:firstLine="480"/>
            </w:pPr>
            <w:r>
              <w:rPr>
                <w:rFonts w:hint="eastAsia"/>
              </w:rPr>
              <w:t>项目劳动定员50人，两</w:t>
            </w:r>
            <w:r>
              <w:t>班生产，年工作300天，员工均不在厂内食宿，</w:t>
            </w:r>
            <w:r>
              <w:rPr>
                <w:rFonts w:hint="eastAsia"/>
              </w:rPr>
              <w:t>根据《建筑给水排水设计标准》（GB50015-2019），办公生活用水定额宜采用30L（人·</w:t>
            </w:r>
            <w:r>
              <w:rPr>
                <w:rFonts w:hint="eastAsia"/>
                <w:lang w:eastAsia="zh-CN"/>
              </w:rPr>
              <w:t>天</w:t>
            </w:r>
            <w:r>
              <w:rPr>
                <w:rFonts w:hint="eastAsia"/>
              </w:rPr>
              <w:t>）~50L（人·</w:t>
            </w:r>
            <w:r>
              <w:rPr>
                <w:rFonts w:hint="eastAsia"/>
                <w:lang w:eastAsia="zh-CN"/>
              </w:rPr>
              <w:t>天</w:t>
            </w:r>
            <w:r>
              <w:rPr>
                <w:rFonts w:hint="eastAsia"/>
              </w:rPr>
              <w:t>），项目用水量按照30L/人·天计算，则生活用水量为450m</w:t>
            </w:r>
            <w:r>
              <w:rPr>
                <w:rFonts w:hint="eastAsia"/>
                <w:vertAlign w:val="superscript"/>
              </w:rPr>
              <w:t>3</w:t>
            </w:r>
            <w:r>
              <w:rPr>
                <w:rFonts w:hint="eastAsia"/>
              </w:rPr>
              <w:t>/a（1.5m</w:t>
            </w:r>
            <w:r>
              <w:rPr>
                <w:rFonts w:hint="eastAsia"/>
                <w:vertAlign w:val="superscript"/>
              </w:rPr>
              <w:t>3</w:t>
            </w:r>
            <w:r>
              <w:rPr>
                <w:rFonts w:hint="eastAsia"/>
              </w:rPr>
              <w:t>/d）。生活污水产污系数0.8，则生活污水产生量为360m</w:t>
            </w:r>
            <w:r>
              <w:rPr>
                <w:rFonts w:hint="eastAsia"/>
                <w:vertAlign w:val="superscript"/>
              </w:rPr>
              <w:t>3</w:t>
            </w:r>
            <w:r>
              <w:rPr>
                <w:rFonts w:hint="eastAsia"/>
              </w:rPr>
              <w:t>/a（1.2m</w:t>
            </w:r>
            <w:r>
              <w:rPr>
                <w:rFonts w:hint="eastAsia"/>
                <w:vertAlign w:val="superscript"/>
              </w:rPr>
              <w:t>3</w:t>
            </w:r>
            <w:r>
              <w:rPr>
                <w:rFonts w:hint="eastAsia"/>
              </w:rPr>
              <w:t>/d）。</w:t>
            </w:r>
            <w:r>
              <w:t>类比一般生活污水水质，主要污染物产生浓度分别为COD</w:t>
            </w:r>
            <w:r>
              <w:rPr>
                <w:rFonts w:hint="eastAsia"/>
              </w:rPr>
              <w:t>35</w:t>
            </w:r>
            <w:r>
              <w:t>0mg/L，SS200mg/L，NH</w:t>
            </w:r>
            <w:r>
              <w:rPr>
                <w:vertAlign w:val="subscript"/>
              </w:rPr>
              <w:t>3</w:t>
            </w:r>
            <w:r>
              <w:t>-N</w:t>
            </w:r>
            <w:r>
              <w:rPr>
                <w:rFonts w:hint="eastAsia"/>
              </w:rPr>
              <w:t>25</w:t>
            </w:r>
            <w:r>
              <w:t>mg/L</w:t>
            </w:r>
            <w:r>
              <w:rPr>
                <w:rFonts w:hint="eastAsia"/>
              </w:rPr>
              <w:t>，TP2</w:t>
            </w:r>
            <w:r>
              <w:t>mg/L</w:t>
            </w:r>
            <w:r>
              <w:rPr>
                <w:rFonts w:hint="eastAsia"/>
              </w:rPr>
              <w:t>，TN</w:t>
            </w:r>
            <w:r>
              <w:t>30mg/L。</w:t>
            </w:r>
          </w:p>
          <w:p w14:paraId="20AEC80E">
            <w:pPr>
              <w:keepNext w:val="0"/>
              <w:keepLines w:val="0"/>
              <w:pageBreakBefore w:val="0"/>
              <w:kinsoku/>
              <w:wordWrap/>
              <w:overflowPunct/>
              <w:topLinePunct w:val="0"/>
              <w:autoSpaceDE w:val="0"/>
              <w:autoSpaceDN w:val="0"/>
              <w:bidi w:val="0"/>
              <w:adjustRightInd w:val="0"/>
              <w:snapToGrid w:val="0"/>
              <w:spacing w:line="520" w:lineRule="exact"/>
              <w:ind w:firstLine="480"/>
              <w:rPr>
                <w:rFonts w:cs="宋体"/>
                <w:b/>
                <w:kern w:val="0"/>
              </w:rPr>
            </w:pPr>
            <w:r>
              <w:t>生活污水经化粪池处理后排入</w:t>
            </w:r>
            <w:r>
              <w:rPr>
                <w:rFonts w:hint="eastAsia"/>
              </w:rPr>
              <w:t>河南新投水务有限公司（小尚庄污水处理厂）</w:t>
            </w:r>
            <w:r>
              <w:t>进一步处理。生活污水经化粪池处理后水质为COD 2</w:t>
            </w:r>
            <w:r>
              <w:rPr>
                <w:rFonts w:hint="eastAsia"/>
              </w:rPr>
              <w:t>8</w:t>
            </w:r>
            <w:r>
              <w:t>0mg/L、SS 1</w:t>
            </w:r>
            <w:r>
              <w:rPr>
                <w:rFonts w:hint="eastAsia"/>
              </w:rPr>
              <w:t>4</w:t>
            </w:r>
            <w:r>
              <w:t>0mg/L、NH</w:t>
            </w:r>
            <w:r>
              <w:rPr>
                <w:vertAlign w:val="subscript"/>
              </w:rPr>
              <w:t>3</w:t>
            </w:r>
            <w:r>
              <w:t xml:space="preserve">-N </w:t>
            </w:r>
            <w:r>
              <w:rPr>
                <w:rFonts w:hint="eastAsia"/>
              </w:rPr>
              <w:t>25</w:t>
            </w:r>
            <w:r>
              <w:t xml:space="preserve">mg/L、TP </w:t>
            </w:r>
            <w:r>
              <w:rPr>
                <w:rFonts w:hint="eastAsia"/>
              </w:rPr>
              <w:t>2</w:t>
            </w:r>
            <w:r>
              <w:t>mg/L、TN 30mg/L，能够满足《污水综合排放标准》（GB8978-1996）三级标准（COD500mg/L、SS400mg/L）</w:t>
            </w:r>
            <w:r>
              <w:rPr>
                <w:rFonts w:hint="eastAsia"/>
              </w:rPr>
              <w:t>和河南新投水务有限公司（小尚庄污水处理厂）</w:t>
            </w:r>
            <w:r>
              <w:t>收水要求（</w:t>
            </w:r>
            <w:r>
              <w:rPr>
                <w:rFonts w:cs="宋体"/>
                <w:bCs/>
                <w:kern w:val="0"/>
              </w:rPr>
              <w:t>COD</w:t>
            </w:r>
            <w:r>
              <w:rPr>
                <w:rFonts w:hint="eastAsia" w:cs="宋体"/>
                <w:bCs/>
                <w:kern w:val="0"/>
              </w:rPr>
              <w:t>350</w:t>
            </w:r>
            <w:r>
              <w:rPr>
                <w:rFonts w:cs="宋体"/>
                <w:bCs/>
                <w:kern w:val="0"/>
              </w:rPr>
              <w:t>mg/L</w:t>
            </w:r>
            <w:r>
              <w:rPr>
                <w:rFonts w:hint="eastAsia" w:cs="宋体"/>
                <w:bCs/>
                <w:kern w:val="0"/>
              </w:rPr>
              <w:t>、SS250</w:t>
            </w:r>
            <w:r>
              <w:rPr>
                <w:rFonts w:cs="宋体"/>
                <w:bCs/>
                <w:kern w:val="0"/>
              </w:rPr>
              <w:t xml:space="preserve"> mg/L</w:t>
            </w:r>
            <w:r>
              <w:rPr>
                <w:rFonts w:hint="eastAsia" w:cs="宋体"/>
                <w:bCs/>
                <w:kern w:val="0"/>
              </w:rPr>
              <w:t>、氨氮30</w:t>
            </w:r>
            <w:r>
              <w:rPr>
                <w:rFonts w:cs="宋体"/>
                <w:bCs/>
                <w:kern w:val="0"/>
              </w:rPr>
              <w:t>mg/L</w:t>
            </w:r>
            <w:r>
              <w:rPr>
                <w:rFonts w:hint="eastAsia" w:cs="宋体"/>
                <w:bCs/>
                <w:kern w:val="0"/>
              </w:rPr>
              <w:t>、TP3</w:t>
            </w:r>
            <w:r>
              <w:rPr>
                <w:rFonts w:cs="宋体"/>
                <w:bCs/>
                <w:kern w:val="0"/>
              </w:rPr>
              <w:t>mg/L</w:t>
            </w:r>
            <w:r>
              <w:rPr>
                <w:rFonts w:hint="eastAsia" w:cs="宋体"/>
                <w:bCs/>
                <w:kern w:val="0"/>
              </w:rPr>
              <w:t>、TN40</w:t>
            </w:r>
            <w:r>
              <w:rPr>
                <w:rFonts w:cs="宋体"/>
                <w:bCs/>
                <w:kern w:val="0"/>
              </w:rPr>
              <w:t xml:space="preserve"> mg/L</w:t>
            </w:r>
            <w:r>
              <w:t>）。</w:t>
            </w:r>
          </w:p>
          <w:p w14:paraId="0E5D6ECC">
            <w:pPr>
              <w:keepNext w:val="0"/>
              <w:keepLines w:val="0"/>
              <w:pageBreakBefore w:val="0"/>
              <w:kinsoku/>
              <w:wordWrap/>
              <w:overflowPunct/>
              <w:topLinePunct w:val="0"/>
              <w:autoSpaceDE w:val="0"/>
              <w:autoSpaceDN w:val="0"/>
              <w:bidi w:val="0"/>
              <w:adjustRightInd w:val="0"/>
              <w:snapToGrid w:val="0"/>
              <w:spacing w:line="520" w:lineRule="exact"/>
              <w:ind w:firstLine="482"/>
              <w:rPr>
                <w:rFonts w:cs="宋体"/>
                <w:bCs/>
                <w:kern w:val="0"/>
              </w:rPr>
            </w:pPr>
            <w:r>
              <w:rPr>
                <w:rFonts w:hint="eastAsia" w:cs="宋体"/>
                <w:b/>
                <w:kern w:val="0"/>
              </w:rPr>
              <w:t>2.2废水排入河南新投水务有限公司（小尚庄污水处理厂）可行性分析</w:t>
            </w:r>
          </w:p>
          <w:p w14:paraId="37AE859C">
            <w:pPr>
              <w:keepNext w:val="0"/>
              <w:keepLines w:val="0"/>
              <w:pageBreakBefore w:val="0"/>
              <w:kinsoku/>
              <w:wordWrap/>
              <w:overflowPunct/>
              <w:topLinePunct w:val="0"/>
              <w:bidi w:val="0"/>
              <w:spacing w:line="520" w:lineRule="exact"/>
              <w:ind w:firstLine="480"/>
              <w:rPr>
                <w:color w:val="000000" w:themeColor="text1"/>
                <w14:textFill>
                  <w14:solidFill>
                    <w14:schemeClr w14:val="tx1"/>
                  </w14:solidFill>
                </w14:textFill>
              </w:rPr>
            </w:pPr>
            <w:r>
              <w:rPr>
                <w:rFonts w:hint="eastAsia" w:cs="宋体"/>
                <w:bCs/>
                <w:kern w:val="0"/>
              </w:rPr>
              <w:t>河南新投水务有限公司（小尚庄污水处理厂）位于</w:t>
            </w:r>
            <w:r>
              <w:rPr>
                <w:rFonts w:hint="eastAsia"/>
                <w:color w:val="000000" w:themeColor="text1"/>
                <w14:textFill>
                  <w14:solidFill>
                    <w14:schemeClr w14:val="tx1"/>
                  </w14:solidFill>
                </w14:textFill>
              </w:rPr>
              <w:t>位于新乡市卫河以北、牧野路以东、河南师范大学东北的小尚庄附近，占地面积141.5亩，设计处理规模为25万</w:t>
            </w:r>
            <w:r>
              <w:rPr>
                <w:rFonts w:hint="eastAsia"/>
                <w:bCs/>
                <w:color w:val="000000" w:themeColor="text1"/>
                <w14:textFill>
                  <w14:solidFill>
                    <w14:schemeClr w14:val="tx1"/>
                  </w14:solidFill>
                </w14:textFill>
              </w:rPr>
              <w:t>m</w:t>
            </w:r>
            <w:r>
              <w:rPr>
                <w:rFonts w:hint="eastAsia"/>
                <w:bCs/>
                <w:color w:val="000000" w:themeColor="text1"/>
                <w:vertAlign w:val="superscript"/>
                <w14:textFill>
                  <w14:solidFill>
                    <w14:schemeClr w14:val="tx1"/>
                  </w14:solidFill>
                </w14:textFill>
              </w:rPr>
              <w:t>3</w:t>
            </w:r>
            <w:r>
              <w:rPr>
                <w:rFonts w:hint="eastAsia"/>
                <w:bCs/>
                <w:color w:val="000000" w:themeColor="text1"/>
                <w14:textFill>
                  <w14:solidFill>
                    <w14:schemeClr w14:val="tx1"/>
                  </w14:solidFill>
                </w14:textFill>
              </w:rPr>
              <w:t>/d</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目前建设规模为</w:t>
            </w:r>
            <w:r>
              <w:rPr>
                <w:rFonts w:hint="eastAsia"/>
                <w:color w:val="000000" w:themeColor="text1"/>
                <w14:textFill>
                  <w14:solidFill>
                    <w14:schemeClr w14:val="tx1"/>
                  </w14:solidFill>
                </w14:textFill>
              </w:rPr>
              <w:t>25万</w:t>
            </w:r>
            <w:r>
              <w:rPr>
                <w:rFonts w:hint="eastAsia"/>
                <w:bCs/>
                <w:color w:val="000000" w:themeColor="text1"/>
                <w14:textFill>
                  <w14:solidFill>
                    <w14:schemeClr w14:val="tx1"/>
                  </w14:solidFill>
                </w14:textFill>
              </w:rPr>
              <w:t>m</w:t>
            </w:r>
            <w:r>
              <w:rPr>
                <w:rFonts w:hint="eastAsia"/>
                <w:bCs/>
                <w:color w:val="000000" w:themeColor="text1"/>
                <w:vertAlign w:val="superscript"/>
                <w14:textFill>
                  <w14:solidFill>
                    <w14:schemeClr w14:val="tx1"/>
                  </w14:solidFill>
                </w14:textFill>
              </w:rPr>
              <w:t>3</w:t>
            </w:r>
            <w:r>
              <w:rPr>
                <w:rFonts w:hint="eastAsia"/>
                <w:bCs/>
                <w:color w:val="000000" w:themeColor="text1"/>
                <w14:textFill>
                  <w14:solidFill>
                    <w14:schemeClr w14:val="tx1"/>
                  </w14:solidFill>
                </w14:textFill>
              </w:rPr>
              <w:t>/d</w:t>
            </w:r>
            <w:r>
              <w:rPr>
                <w:rFonts w:hint="eastAsia"/>
                <w:color w:val="000000" w:themeColor="text1"/>
                <w14:textFill>
                  <w14:solidFill>
                    <w14:schemeClr w14:val="tx1"/>
                  </w14:solidFill>
                </w14:textFill>
              </w:rPr>
              <w:t>。</w:t>
            </w:r>
            <w:r>
              <w:rPr>
                <w:rFonts w:hint="eastAsia"/>
                <w:bCs/>
                <w:color w:val="000000" w:themeColor="text1"/>
                <w14:textFill>
                  <w14:solidFill>
                    <w14:schemeClr w14:val="tx1"/>
                  </w14:solidFill>
                </w14:textFill>
              </w:rPr>
              <w:t>河南新投水务有限公司（小尚庄污水处理厂）</w:t>
            </w:r>
            <w:r>
              <w:rPr>
                <w:rFonts w:hint="eastAsia"/>
                <w:color w:val="000000" w:themeColor="text1"/>
                <w14:textFill>
                  <w14:solidFill>
                    <w14:schemeClr w14:val="tx1"/>
                  </w14:solidFill>
                </w14:textFill>
              </w:rPr>
              <w:t>于2</w:t>
            </w:r>
            <w:r>
              <w:rPr>
                <w:color w:val="000000" w:themeColor="text1"/>
                <w14:textFill>
                  <w14:solidFill>
                    <w14:schemeClr w14:val="tx1"/>
                  </w14:solidFill>
                </w14:textFill>
              </w:rPr>
              <w:t>008</w:t>
            </w:r>
            <w:r>
              <w:rPr>
                <w:rFonts w:hint="eastAsia"/>
                <w:color w:val="000000" w:themeColor="text1"/>
                <w14:textFill>
                  <w14:solidFill>
                    <w14:schemeClr w14:val="tx1"/>
                  </w14:solidFill>
                </w14:textFill>
              </w:rPr>
              <w:t>年1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月进行升级改造，升级改造后的工艺为改良A/O﹢微絮凝工艺，2</w:t>
            </w:r>
            <w:r>
              <w:rPr>
                <w:color w:val="000000" w:themeColor="text1"/>
                <w14:textFill>
                  <w14:solidFill>
                    <w14:schemeClr w14:val="tx1"/>
                  </w14:solidFill>
                </w14:textFill>
              </w:rPr>
              <w:t>017</w:t>
            </w:r>
            <w:r>
              <w:rPr>
                <w:rFonts w:hint="eastAsia"/>
                <w:color w:val="000000" w:themeColor="text1"/>
                <w14:textFill>
                  <w14:solidFill>
                    <w14:schemeClr w14:val="tx1"/>
                  </w14:solidFill>
                </w14:textFill>
              </w:rPr>
              <w:t>年进行改扩建时采用A/A/O+平板膜MBR处理工艺。</w:t>
            </w:r>
            <w:r>
              <w:rPr>
                <w:rFonts w:hint="eastAsia"/>
                <w:bCs/>
                <w:color w:val="000000" w:themeColor="text1"/>
                <w14:textFill>
                  <w14:solidFill>
                    <w14:schemeClr w14:val="tx1"/>
                  </w14:solidFill>
                </w14:textFill>
              </w:rPr>
              <w:t>河南新投水务有限公司（小尚庄污水处理厂）</w:t>
            </w:r>
            <w:r>
              <w:rPr>
                <w:color w:val="000000" w:themeColor="text1"/>
                <w14:textFill>
                  <w14:solidFill>
                    <w14:schemeClr w14:val="tx1"/>
                  </w14:solidFill>
                </w14:textFill>
              </w:rPr>
              <w:t>的收水范围为新乡市卫河以北所有城市污水管网，主要处理城市生活污水和工业废水，本项目属于</w:t>
            </w:r>
            <w:r>
              <w:rPr>
                <w:rFonts w:hint="eastAsia"/>
                <w:bCs/>
                <w:color w:val="000000" w:themeColor="text1"/>
                <w14:textFill>
                  <w14:solidFill>
                    <w14:schemeClr w14:val="tx1"/>
                  </w14:solidFill>
                </w14:textFill>
              </w:rPr>
              <w:t>河南新投水务有限公司（小尚庄污水处理厂）</w:t>
            </w:r>
            <w:r>
              <w:rPr>
                <w:color w:val="000000" w:themeColor="text1"/>
                <w14:textFill>
                  <w14:solidFill>
                    <w14:schemeClr w14:val="tx1"/>
                  </w14:solidFill>
                </w14:textFill>
              </w:rPr>
              <w:t>的收水范围。</w:t>
            </w:r>
          </w:p>
          <w:p w14:paraId="0FE4483D">
            <w:pPr>
              <w:adjustRightInd w:val="0"/>
              <w:snapToGrid w:val="0"/>
              <w:spacing w:line="520" w:lineRule="exact"/>
              <w:ind w:firstLine="480"/>
              <w:rPr>
                <w:color w:val="000000" w:themeColor="text1"/>
                <w14:textFill>
                  <w14:solidFill>
                    <w14:schemeClr w14:val="tx1"/>
                  </w14:solidFill>
                </w14:textFill>
              </w:rPr>
            </w:pPr>
            <w:r>
              <w:rPr>
                <w:color w:val="000000" w:themeColor="text1"/>
                <w14:textFill>
                  <w14:solidFill>
                    <w14:schemeClr w14:val="tx1"/>
                  </w14:solidFill>
                </w14:textFill>
              </w:rPr>
              <w:t>本项目生活污水经化粪池处理后排</w:t>
            </w:r>
            <w:r>
              <w:rPr>
                <w:rFonts w:hint="eastAsia"/>
                <w:bCs/>
                <w:color w:val="000000" w:themeColor="text1"/>
                <w14:textFill>
                  <w14:solidFill>
                    <w14:schemeClr w14:val="tx1"/>
                  </w14:solidFill>
                </w14:textFill>
              </w:rPr>
              <w:t>河南新投水务有限公司（小尚庄污水处理厂）</w:t>
            </w:r>
            <w:r>
              <w:rPr>
                <w:color w:val="000000" w:themeColor="text1"/>
                <w14:textFill>
                  <w14:solidFill>
                    <w14:schemeClr w14:val="tx1"/>
                  </w14:solidFill>
                </w14:textFill>
              </w:rPr>
              <w:t>进一步处理，处理后排入</w:t>
            </w:r>
            <w:r>
              <w:rPr>
                <w:rFonts w:hint="eastAsia"/>
                <w:color w:val="000000" w:themeColor="text1"/>
                <w14:textFill>
                  <w14:solidFill>
                    <w14:schemeClr w14:val="tx1"/>
                  </w14:solidFill>
                </w14:textFill>
              </w:rPr>
              <w:t>卫河</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经查阅</w:t>
            </w:r>
            <w:r>
              <w:rPr>
                <w:rFonts w:hint="eastAsia"/>
                <w:bCs/>
                <w:color w:val="000000" w:themeColor="text1"/>
                <w14:textFill>
                  <w14:solidFill>
                    <w14:schemeClr w14:val="tx1"/>
                  </w14:solidFill>
                </w14:textFill>
              </w:rPr>
              <w:t>河南新投水务有限公司（小尚庄污水处理厂）</w:t>
            </w:r>
            <w:r>
              <w:rPr>
                <w:rFonts w:hint="eastAsia"/>
                <w:color w:val="000000" w:themeColor="text1"/>
                <w14:textFill>
                  <w14:solidFill>
                    <w14:schemeClr w14:val="tx1"/>
                  </w14:solidFill>
                </w14:textFill>
              </w:rPr>
              <w:t>在线监测信息，</w:t>
            </w:r>
            <w:r>
              <w:rPr>
                <w:rFonts w:hint="eastAsia"/>
                <w:bCs/>
                <w:color w:val="000000" w:themeColor="text1"/>
                <w14:textFill>
                  <w14:solidFill>
                    <w14:schemeClr w14:val="tx1"/>
                  </w14:solidFill>
                </w14:textFill>
              </w:rPr>
              <w:t>河南新投水务有限公司（小尚庄污水处理厂）</w:t>
            </w:r>
            <w:r>
              <w:rPr>
                <w:rFonts w:hint="eastAsia"/>
                <w:color w:val="000000" w:themeColor="text1"/>
                <w14:textFill>
                  <w14:solidFill>
                    <w14:schemeClr w14:val="tx1"/>
                  </w14:solidFill>
                </w14:textFill>
              </w:rPr>
              <w:t>2024年平均进水量为14.58万m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r>
              <w:rPr>
                <w:rFonts w:hint="eastAsia"/>
                <w:bCs/>
                <w:color w:val="000000" w:themeColor="text1"/>
                <w14:textFill>
                  <w14:solidFill>
                    <w14:schemeClr w14:val="tx1"/>
                  </w14:solidFill>
                </w14:textFill>
              </w:rPr>
              <w:t>河南新投水务有限公司（小尚庄污水处理厂）</w:t>
            </w:r>
            <w:r>
              <w:rPr>
                <w:rFonts w:hint="eastAsia"/>
                <w:color w:val="000000" w:themeColor="text1"/>
                <w14:textFill>
                  <w14:solidFill>
                    <w14:schemeClr w14:val="tx1"/>
                  </w14:solidFill>
                </w14:textFill>
              </w:rPr>
              <w:t>尚有10.42万m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/d余量，</w:t>
            </w:r>
            <w:r>
              <w:rPr>
                <w:color w:val="000000" w:themeColor="text1"/>
                <w14:textFill>
                  <w14:solidFill>
                    <w14:schemeClr w14:val="tx1"/>
                  </w14:solidFill>
                </w14:textFill>
              </w:rPr>
              <w:t>本项目新增外排废水</w:t>
            </w:r>
            <w:r>
              <w:rPr>
                <w:rFonts w:hint="eastAsia"/>
                <w:color w:val="000000" w:themeColor="text1"/>
                <w14:textFill>
                  <w14:solidFill>
                    <w14:schemeClr w14:val="tx1"/>
                  </w14:solidFill>
                </w14:textFill>
              </w:rPr>
              <w:t>量为1.2</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/d，仅占</w:t>
            </w:r>
            <w:r>
              <w:rPr>
                <w:rFonts w:hint="eastAsia"/>
                <w:bCs/>
                <w:color w:val="000000" w:themeColor="text1"/>
                <w14:textFill>
                  <w14:solidFill>
                    <w14:schemeClr w14:val="tx1"/>
                  </w14:solidFill>
                </w14:textFill>
              </w:rPr>
              <w:t>河南新投水务有限公司（小尚庄污水处理厂）</w:t>
            </w:r>
            <w:r>
              <w:rPr>
                <w:rFonts w:hint="eastAsia"/>
                <w:color w:val="000000" w:themeColor="text1"/>
                <w14:textFill>
                  <w14:solidFill>
                    <w14:schemeClr w14:val="tx1"/>
                  </w14:solidFill>
                </w14:textFill>
              </w:rPr>
              <w:t>剩余</w:t>
            </w:r>
            <w:r>
              <w:rPr>
                <w:color w:val="000000" w:themeColor="text1"/>
                <w14:textFill>
                  <w14:solidFill>
                    <w14:schemeClr w14:val="tx1"/>
                  </w14:solidFill>
                </w14:textFill>
              </w:rPr>
              <w:t>处理能力的0.0</w:t>
            </w:r>
            <w:r>
              <w:rPr>
                <w:rFonts w:hint="eastAsia"/>
                <w:color w:val="000000" w:themeColor="text1"/>
                <w14:textFill>
                  <w14:solidFill>
                    <w14:schemeClr w14:val="tx1"/>
                  </w14:solidFill>
                </w14:textFill>
              </w:rPr>
              <w:t>115</w:t>
            </w:r>
            <w:r>
              <w:rPr>
                <w:color w:val="000000" w:themeColor="text1"/>
                <w14:textFill>
                  <w14:solidFill>
                    <w14:schemeClr w14:val="tx1"/>
                  </w14:solidFill>
                </w14:textFill>
              </w:rPr>
              <w:t>‰，满足项目处理的需要，不会对污水处理厂造成冲击，评价认为本项目</w:t>
            </w:r>
            <w:r>
              <w:rPr>
                <w:rFonts w:hint="eastAsia"/>
                <w:color w:val="000000" w:themeColor="text1"/>
                <w14:textFill>
                  <w14:solidFill>
                    <w14:schemeClr w14:val="tx1"/>
                  </w14:solidFill>
                </w14:textFill>
              </w:rPr>
              <w:t>生活污水</w:t>
            </w:r>
            <w:r>
              <w:rPr>
                <w:color w:val="000000" w:themeColor="text1"/>
                <w14:textFill>
                  <w14:solidFill>
                    <w14:schemeClr w14:val="tx1"/>
                  </w14:solidFill>
                </w14:textFill>
              </w:rPr>
              <w:t>经化粪池处理后经污水管网排入</w:t>
            </w:r>
            <w:r>
              <w:rPr>
                <w:rFonts w:hint="eastAsia"/>
                <w:bCs/>
                <w:color w:val="000000" w:themeColor="text1"/>
                <w14:textFill>
                  <w14:solidFill>
                    <w14:schemeClr w14:val="tx1"/>
                  </w14:solidFill>
                </w14:textFill>
              </w:rPr>
              <w:t>河南新投水务有限公司（小尚庄污水处理厂）</w:t>
            </w:r>
            <w:r>
              <w:rPr>
                <w:color w:val="000000" w:themeColor="text1"/>
                <w14:textFill>
                  <w14:solidFill>
                    <w14:schemeClr w14:val="tx1"/>
                  </w14:solidFill>
                </w14:textFill>
              </w:rPr>
              <w:t>处理是可行的。</w:t>
            </w:r>
          </w:p>
          <w:p w14:paraId="5CF00B37">
            <w:pPr>
              <w:autoSpaceDE w:val="0"/>
              <w:autoSpaceDN w:val="0"/>
              <w:adjustRightInd w:val="0"/>
              <w:snapToGrid w:val="0"/>
              <w:spacing w:line="520" w:lineRule="exact"/>
              <w:ind w:firstLine="480"/>
              <w:rPr>
                <w:rFonts w:cs="宋体"/>
                <w:bCs/>
                <w:kern w:val="0"/>
              </w:rPr>
            </w:pPr>
            <w:r>
              <w:rPr>
                <w:rFonts w:hint="eastAsia" w:cs="宋体"/>
                <w:bCs/>
                <w:kern w:val="0"/>
              </w:rPr>
              <w:t>本项目位于</w:t>
            </w:r>
            <w:r>
              <w:rPr>
                <w:rFonts w:hint="eastAsia" w:cs="宋体"/>
                <w:bCs/>
                <w:kern w:val="0"/>
                <w:lang w:eastAsia="zh-CN"/>
              </w:rPr>
              <w:t>新乡市新能源电池专业园区标北路11号3A号厂房</w:t>
            </w:r>
            <w:r>
              <w:rPr>
                <w:rFonts w:hint="eastAsia" w:cs="宋体"/>
                <w:bCs/>
                <w:kern w:val="0"/>
              </w:rPr>
              <w:t>，在河南新投水务有限公司（小尚庄污水处理厂）收水范围内，且该区域污水管网已铺设完成，项目废水能进入河南新投水务有限公司（小尚庄污水处理厂）进行处理，本项目废水排放总量为</w:t>
            </w:r>
            <w:r>
              <w:rPr>
                <w:rFonts w:hint="eastAsia"/>
              </w:rPr>
              <w:t>360m</w:t>
            </w:r>
            <w:r>
              <w:rPr>
                <w:rFonts w:hint="eastAsia"/>
                <w:vertAlign w:val="superscript"/>
              </w:rPr>
              <w:t>3</w:t>
            </w:r>
            <w:r>
              <w:rPr>
                <w:rFonts w:hint="eastAsia"/>
              </w:rPr>
              <w:t>/a（1.2m</w:t>
            </w:r>
            <w:r>
              <w:rPr>
                <w:rFonts w:hint="eastAsia"/>
                <w:vertAlign w:val="superscript"/>
              </w:rPr>
              <w:t>3</w:t>
            </w:r>
            <w:r>
              <w:rPr>
                <w:rFonts w:hint="eastAsia"/>
              </w:rPr>
              <w:t>/d）</w:t>
            </w:r>
            <w:r>
              <w:rPr>
                <w:rFonts w:hint="eastAsia" w:cs="宋体"/>
                <w:bCs/>
                <w:kern w:val="0"/>
              </w:rPr>
              <w:t>，水量较小，且水质能够满足河南新投水务有限公司（小尚庄污水处理厂）进水标准，因此项目废水不会对河南新投水务有限公司（小尚庄污水处理厂）产生明显冲击。废水排入河南新投水务有限公司（小尚庄污水处理厂）是可行的。</w:t>
            </w:r>
          </w:p>
          <w:p w14:paraId="207B4F54">
            <w:pPr>
              <w:autoSpaceDE w:val="0"/>
              <w:autoSpaceDN w:val="0"/>
              <w:adjustRightInd w:val="0"/>
              <w:snapToGrid w:val="0"/>
              <w:spacing w:line="520" w:lineRule="exact"/>
              <w:ind w:firstLine="480"/>
              <w:rPr>
                <w:rFonts w:cs="宋体"/>
                <w:b/>
                <w:kern w:val="0"/>
              </w:rPr>
            </w:pPr>
            <w:r>
              <w:rPr>
                <w:rFonts w:cs="宋体"/>
                <w:bCs/>
                <w:kern w:val="0"/>
              </w:rPr>
              <w:t>综上所述，项目建成运行过程中对周围地表水环境影响可以接受。</w:t>
            </w:r>
          </w:p>
          <w:p w14:paraId="043E9640">
            <w:pPr>
              <w:autoSpaceDE w:val="0"/>
              <w:autoSpaceDN w:val="0"/>
              <w:adjustRightInd w:val="0"/>
              <w:snapToGrid w:val="0"/>
              <w:spacing w:line="520" w:lineRule="exact"/>
              <w:ind w:firstLine="482"/>
              <w:rPr>
                <w:rFonts w:cs="宋体"/>
                <w:bCs/>
                <w:kern w:val="0"/>
              </w:rPr>
            </w:pPr>
            <w:r>
              <w:rPr>
                <w:rFonts w:hint="eastAsia" w:cs="宋体"/>
                <w:b/>
                <w:kern w:val="0"/>
              </w:rPr>
              <w:t>2.3</w:t>
            </w:r>
            <w:r>
              <w:rPr>
                <w:rFonts w:cs="宋体"/>
                <w:b/>
                <w:kern w:val="0"/>
              </w:rPr>
              <w:t>废水排放口基本情况</w:t>
            </w:r>
          </w:p>
          <w:p w14:paraId="62741E60">
            <w:pPr>
              <w:autoSpaceDE w:val="0"/>
              <w:autoSpaceDN w:val="0"/>
              <w:adjustRightInd w:val="0"/>
              <w:snapToGrid w:val="0"/>
              <w:spacing w:line="520" w:lineRule="exact"/>
              <w:ind w:firstLine="480"/>
              <w:rPr>
                <w:rFonts w:eastAsia="黑体"/>
                <w:b/>
                <w:bCs w:val="0"/>
                <w:kern w:val="1"/>
              </w:rPr>
            </w:pPr>
            <w:r>
              <w:rPr>
                <w:rFonts w:hint="eastAsia" w:cs="宋体"/>
                <w:b/>
                <w:bCs w:val="0"/>
                <w:kern w:val="0"/>
              </w:rPr>
              <w:t>2.3.1</w:t>
            </w:r>
            <w:r>
              <w:rPr>
                <w:rFonts w:cs="宋体"/>
                <w:b/>
                <w:bCs w:val="0"/>
                <w:kern w:val="0"/>
              </w:rPr>
              <w:t>废水类别、污染物及污染治理设施信息</w:t>
            </w:r>
          </w:p>
          <w:p w14:paraId="09FD1A37">
            <w:pPr>
              <w:autoSpaceDE w:val="0"/>
              <w:autoSpaceDN w:val="0"/>
              <w:adjustRightInd w:val="0"/>
              <w:snapToGrid w:val="0"/>
              <w:spacing w:line="520" w:lineRule="exact"/>
              <w:ind w:firstLine="960" w:firstLineChars="400"/>
              <w:rPr>
                <w:rFonts w:ascii="黑体" w:hAnsi="黑体" w:eastAsia="黑体" w:cs="黑体"/>
                <w:bCs/>
                <w:kern w:val="0"/>
              </w:rPr>
            </w:pPr>
            <w:r>
              <w:rPr>
                <w:rFonts w:hint="eastAsia" w:ascii="黑体" w:hAnsi="黑体" w:eastAsia="黑体" w:cs="黑体"/>
                <w:kern w:val="1"/>
              </w:rPr>
              <w:t xml:space="preserve">表4-9    项目废水类别、污染物及污染治理设施信息表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746"/>
              <w:gridCol w:w="865"/>
              <w:gridCol w:w="602"/>
              <w:gridCol w:w="477"/>
              <w:gridCol w:w="836"/>
              <w:gridCol w:w="734"/>
              <w:gridCol w:w="826"/>
              <w:gridCol w:w="581"/>
              <w:gridCol w:w="886"/>
              <w:gridCol w:w="1164"/>
            </w:tblGrid>
            <w:tr w14:paraId="29DB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dxa"/>
                  <w:vMerge w:val="restart"/>
                  <w:tcBorders>
                    <w:tl2br w:val="nil"/>
                    <w:tr2bl w:val="nil"/>
                  </w:tcBorders>
                  <w:vAlign w:val="center"/>
                </w:tcPr>
                <w:p w14:paraId="5D841AE6">
                  <w:pPr>
                    <w:spacing w:line="240" w:lineRule="auto"/>
                    <w:ind w:firstLine="0" w:firstLineChars="0"/>
                    <w:jc w:val="center"/>
                    <w:rPr>
                      <w:b/>
                      <w:bCs/>
                      <w:sz w:val="21"/>
                      <w:szCs w:val="21"/>
                      <w:lang w:val="zh-CN"/>
                    </w:rPr>
                  </w:pPr>
                  <w:r>
                    <w:rPr>
                      <w:b/>
                      <w:bCs/>
                      <w:sz w:val="21"/>
                      <w:szCs w:val="21"/>
                      <w:lang w:val="zh-CN"/>
                    </w:rPr>
                    <w:t>序号</w:t>
                  </w:r>
                </w:p>
              </w:tc>
              <w:tc>
                <w:tcPr>
                  <w:tcW w:w="746" w:type="dxa"/>
                  <w:vMerge w:val="restart"/>
                  <w:tcBorders>
                    <w:tl2br w:val="nil"/>
                    <w:tr2bl w:val="nil"/>
                  </w:tcBorders>
                  <w:vAlign w:val="center"/>
                </w:tcPr>
                <w:p w14:paraId="19150415">
                  <w:pPr>
                    <w:spacing w:line="240" w:lineRule="auto"/>
                    <w:ind w:firstLine="0" w:firstLineChars="0"/>
                    <w:jc w:val="center"/>
                    <w:rPr>
                      <w:b/>
                      <w:bCs/>
                      <w:sz w:val="21"/>
                      <w:szCs w:val="21"/>
                      <w:lang w:val="zh-CN"/>
                    </w:rPr>
                  </w:pPr>
                  <w:r>
                    <w:rPr>
                      <w:b/>
                      <w:bCs/>
                      <w:sz w:val="21"/>
                      <w:szCs w:val="21"/>
                      <w:lang w:val="zh-CN"/>
                    </w:rPr>
                    <w:t>废水类别</w:t>
                  </w:r>
                </w:p>
              </w:tc>
              <w:tc>
                <w:tcPr>
                  <w:tcW w:w="865" w:type="dxa"/>
                  <w:vMerge w:val="restart"/>
                  <w:tcBorders>
                    <w:tl2br w:val="nil"/>
                    <w:tr2bl w:val="nil"/>
                  </w:tcBorders>
                  <w:vAlign w:val="center"/>
                </w:tcPr>
                <w:p w14:paraId="7C263AEE">
                  <w:pPr>
                    <w:spacing w:line="240" w:lineRule="auto"/>
                    <w:ind w:firstLine="0" w:firstLineChars="0"/>
                    <w:jc w:val="center"/>
                    <w:rPr>
                      <w:b/>
                      <w:bCs/>
                      <w:sz w:val="21"/>
                      <w:szCs w:val="21"/>
                      <w:lang w:val="zh-CN"/>
                    </w:rPr>
                  </w:pPr>
                  <w:r>
                    <w:rPr>
                      <w:b/>
                      <w:bCs/>
                      <w:sz w:val="21"/>
                      <w:szCs w:val="21"/>
                      <w:lang w:val="zh-CN"/>
                    </w:rPr>
                    <w:t>污染物种类</w:t>
                  </w:r>
                </w:p>
              </w:tc>
              <w:tc>
                <w:tcPr>
                  <w:tcW w:w="602" w:type="dxa"/>
                  <w:vMerge w:val="restart"/>
                  <w:tcBorders>
                    <w:tl2br w:val="nil"/>
                    <w:tr2bl w:val="nil"/>
                  </w:tcBorders>
                  <w:vAlign w:val="center"/>
                </w:tcPr>
                <w:p w14:paraId="7F125F8E">
                  <w:pPr>
                    <w:spacing w:line="240" w:lineRule="auto"/>
                    <w:ind w:firstLine="0" w:firstLineChars="0"/>
                    <w:jc w:val="center"/>
                    <w:rPr>
                      <w:b/>
                      <w:bCs/>
                      <w:sz w:val="21"/>
                      <w:szCs w:val="21"/>
                      <w:lang w:val="zh-CN"/>
                    </w:rPr>
                  </w:pPr>
                  <w:r>
                    <w:rPr>
                      <w:b/>
                      <w:bCs/>
                      <w:sz w:val="21"/>
                      <w:szCs w:val="21"/>
                      <w:lang w:val="zh-CN"/>
                    </w:rPr>
                    <w:t>排放去向</w:t>
                  </w:r>
                </w:p>
              </w:tc>
              <w:tc>
                <w:tcPr>
                  <w:tcW w:w="477" w:type="dxa"/>
                  <w:vMerge w:val="restart"/>
                  <w:tcBorders>
                    <w:tl2br w:val="nil"/>
                    <w:tr2bl w:val="nil"/>
                  </w:tcBorders>
                  <w:vAlign w:val="center"/>
                </w:tcPr>
                <w:p w14:paraId="7D9E2A8E">
                  <w:pPr>
                    <w:spacing w:line="240" w:lineRule="auto"/>
                    <w:ind w:firstLine="0" w:firstLineChars="0"/>
                    <w:jc w:val="center"/>
                    <w:rPr>
                      <w:b/>
                      <w:bCs/>
                      <w:sz w:val="21"/>
                      <w:szCs w:val="21"/>
                      <w:lang w:val="zh-CN"/>
                    </w:rPr>
                  </w:pPr>
                  <w:r>
                    <w:rPr>
                      <w:b/>
                      <w:bCs/>
                      <w:sz w:val="21"/>
                      <w:szCs w:val="21"/>
                      <w:lang w:val="zh-CN"/>
                    </w:rPr>
                    <w:t>排放</w:t>
                  </w:r>
                </w:p>
                <w:p w14:paraId="7B93390F">
                  <w:pPr>
                    <w:spacing w:line="240" w:lineRule="auto"/>
                    <w:ind w:firstLine="0" w:firstLineChars="0"/>
                    <w:jc w:val="center"/>
                    <w:rPr>
                      <w:b/>
                      <w:bCs/>
                      <w:sz w:val="21"/>
                      <w:szCs w:val="21"/>
                      <w:lang w:val="zh-CN"/>
                    </w:rPr>
                  </w:pPr>
                  <w:r>
                    <w:rPr>
                      <w:b/>
                      <w:bCs/>
                      <w:sz w:val="21"/>
                      <w:szCs w:val="21"/>
                      <w:lang w:val="zh-CN"/>
                    </w:rPr>
                    <w:t>规律</w:t>
                  </w:r>
                </w:p>
              </w:tc>
              <w:tc>
                <w:tcPr>
                  <w:tcW w:w="2396" w:type="dxa"/>
                  <w:gridSpan w:val="3"/>
                  <w:tcBorders>
                    <w:tl2br w:val="nil"/>
                    <w:tr2bl w:val="nil"/>
                  </w:tcBorders>
                  <w:vAlign w:val="center"/>
                </w:tcPr>
                <w:p w14:paraId="6DF4C136">
                  <w:pPr>
                    <w:spacing w:line="240" w:lineRule="auto"/>
                    <w:ind w:firstLine="0" w:firstLineChars="0"/>
                    <w:jc w:val="center"/>
                    <w:rPr>
                      <w:b/>
                      <w:bCs/>
                      <w:sz w:val="21"/>
                      <w:szCs w:val="21"/>
                      <w:lang w:val="zh-CN"/>
                    </w:rPr>
                  </w:pPr>
                  <w:r>
                    <w:rPr>
                      <w:b/>
                      <w:bCs/>
                      <w:sz w:val="21"/>
                      <w:szCs w:val="21"/>
                      <w:lang w:val="zh-CN"/>
                    </w:rPr>
                    <w:t>污染治理设施</w:t>
                  </w:r>
                </w:p>
              </w:tc>
              <w:tc>
                <w:tcPr>
                  <w:tcW w:w="581" w:type="dxa"/>
                  <w:vMerge w:val="restart"/>
                  <w:tcBorders>
                    <w:tl2br w:val="nil"/>
                    <w:tr2bl w:val="nil"/>
                  </w:tcBorders>
                  <w:vAlign w:val="center"/>
                </w:tcPr>
                <w:p w14:paraId="649BE57E">
                  <w:pPr>
                    <w:spacing w:line="240" w:lineRule="auto"/>
                    <w:ind w:firstLine="0" w:firstLineChars="0"/>
                    <w:jc w:val="center"/>
                    <w:rPr>
                      <w:b/>
                      <w:bCs/>
                      <w:sz w:val="21"/>
                      <w:szCs w:val="21"/>
                      <w:lang w:val="zh-CN"/>
                    </w:rPr>
                  </w:pPr>
                  <w:r>
                    <w:rPr>
                      <w:b/>
                      <w:bCs/>
                      <w:sz w:val="21"/>
                      <w:szCs w:val="21"/>
                      <w:lang w:val="zh-CN"/>
                    </w:rPr>
                    <w:t>排放口编号</w:t>
                  </w:r>
                </w:p>
              </w:tc>
              <w:tc>
                <w:tcPr>
                  <w:tcW w:w="886" w:type="dxa"/>
                  <w:vMerge w:val="restart"/>
                  <w:tcBorders>
                    <w:tl2br w:val="nil"/>
                    <w:tr2bl w:val="nil"/>
                  </w:tcBorders>
                  <w:vAlign w:val="center"/>
                </w:tcPr>
                <w:p w14:paraId="701775B2">
                  <w:pPr>
                    <w:spacing w:line="240" w:lineRule="auto"/>
                    <w:ind w:firstLine="0" w:firstLineChars="0"/>
                    <w:jc w:val="center"/>
                    <w:rPr>
                      <w:b/>
                      <w:bCs/>
                      <w:sz w:val="21"/>
                      <w:szCs w:val="21"/>
                      <w:lang w:val="zh-CN"/>
                    </w:rPr>
                  </w:pPr>
                  <w:r>
                    <w:rPr>
                      <w:b/>
                      <w:bCs/>
                      <w:sz w:val="21"/>
                      <w:szCs w:val="21"/>
                      <w:lang w:val="zh-CN"/>
                    </w:rPr>
                    <w:t>排放口设置是否符合要求</w:t>
                  </w:r>
                </w:p>
              </w:tc>
              <w:tc>
                <w:tcPr>
                  <w:tcW w:w="1164" w:type="dxa"/>
                  <w:vMerge w:val="restart"/>
                  <w:tcBorders>
                    <w:tl2br w:val="nil"/>
                    <w:tr2bl w:val="nil"/>
                  </w:tcBorders>
                  <w:vAlign w:val="center"/>
                </w:tcPr>
                <w:p w14:paraId="40FB363A">
                  <w:pPr>
                    <w:spacing w:line="240" w:lineRule="auto"/>
                    <w:ind w:firstLine="0" w:firstLineChars="0"/>
                    <w:jc w:val="center"/>
                    <w:rPr>
                      <w:b/>
                      <w:bCs/>
                      <w:sz w:val="21"/>
                      <w:szCs w:val="21"/>
                      <w:lang w:val="zh-CN"/>
                    </w:rPr>
                  </w:pPr>
                  <w:r>
                    <w:rPr>
                      <w:b/>
                      <w:bCs/>
                      <w:sz w:val="21"/>
                      <w:szCs w:val="21"/>
                      <w:lang w:val="zh-CN"/>
                    </w:rPr>
                    <w:t>排放口类型</w:t>
                  </w:r>
                </w:p>
              </w:tc>
            </w:tr>
            <w:tr w14:paraId="1988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dxa"/>
                  <w:vMerge w:val="continue"/>
                  <w:tcBorders>
                    <w:tl2br w:val="nil"/>
                    <w:tr2bl w:val="nil"/>
                  </w:tcBorders>
                  <w:vAlign w:val="center"/>
                </w:tcPr>
                <w:p w14:paraId="4C5CE9BD">
                  <w:pPr>
                    <w:spacing w:line="240" w:lineRule="auto"/>
                    <w:ind w:firstLine="0" w:firstLineChars="0"/>
                    <w:jc w:val="center"/>
                    <w:rPr>
                      <w:b/>
                      <w:bCs/>
                      <w:sz w:val="21"/>
                      <w:szCs w:val="21"/>
                      <w:lang w:val="zh-CN"/>
                    </w:rPr>
                  </w:pPr>
                </w:p>
              </w:tc>
              <w:tc>
                <w:tcPr>
                  <w:tcW w:w="746" w:type="dxa"/>
                  <w:vMerge w:val="continue"/>
                  <w:tcBorders>
                    <w:tl2br w:val="nil"/>
                    <w:tr2bl w:val="nil"/>
                  </w:tcBorders>
                  <w:vAlign w:val="center"/>
                </w:tcPr>
                <w:p w14:paraId="72670AB9">
                  <w:pPr>
                    <w:spacing w:line="240" w:lineRule="auto"/>
                    <w:ind w:firstLine="0" w:firstLineChars="0"/>
                    <w:jc w:val="center"/>
                    <w:rPr>
                      <w:b/>
                      <w:bCs/>
                      <w:sz w:val="21"/>
                      <w:szCs w:val="21"/>
                      <w:lang w:val="zh-CN"/>
                    </w:rPr>
                  </w:pPr>
                </w:p>
              </w:tc>
              <w:tc>
                <w:tcPr>
                  <w:tcW w:w="865" w:type="dxa"/>
                  <w:vMerge w:val="continue"/>
                  <w:tcBorders>
                    <w:tl2br w:val="nil"/>
                    <w:tr2bl w:val="nil"/>
                  </w:tcBorders>
                  <w:vAlign w:val="center"/>
                </w:tcPr>
                <w:p w14:paraId="7FA33F71">
                  <w:pPr>
                    <w:spacing w:line="240" w:lineRule="auto"/>
                    <w:ind w:firstLine="0" w:firstLineChars="0"/>
                    <w:jc w:val="center"/>
                    <w:rPr>
                      <w:b/>
                      <w:bCs/>
                      <w:sz w:val="21"/>
                      <w:szCs w:val="21"/>
                      <w:lang w:val="zh-CN"/>
                    </w:rPr>
                  </w:pPr>
                </w:p>
              </w:tc>
              <w:tc>
                <w:tcPr>
                  <w:tcW w:w="602" w:type="dxa"/>
                  <w:vMerge w:val="continue"/>
                  <w:tcBorders>
                    <w:tl2br w:val="nil"/>
                    <w:tr2bl w:val="nil"/>
                  </w:tcBorders>
                  <w:vAlign w:val="center"/>
                </w:tcPr>
                <w:p w14:paraId="028F25EB">
                  <w:pPr>
                    <w:spacing w:line="240" w:lineRule="auto"/>
                    <w:ind w:firstLine="0" w:firstLineChars="0"/>
                    <w:jc w:val="center"/>
                    <w:rPr>
                      <w:b/>
                      <w:bCs/>
                      <w:sz w:val="21"/>
                      <w:szCs w:val="21"/>
                      <w:lang w:val="zh-CN"/>
                    </w:rPr>
                  </w:pPr>
                </w:p>
              </w:tc>
              <w:tc>
                <w:tcPr>
                  <w:tcW w:w="477" w:type="dxa"/>
                  <w:vMerge w:val="continue"/>
                  <w:tcBorders>
                    <w:tl2br w:val="nil"/>
                    <w:tr2bl w:val="nil"/>
                  </w:tcBorders>
                  <w:vAlign w:val="center"/>
                </w:tcPr>
                <w:p w14:paraId="25F72007">
                  <w:pPr>
                    <w:spacing w:line="240" w:lineRule="auto"/>
                    <w:ind w:firstLine="0" w:firstLineChars="0"/>
                    <w:jc w:val="center"/>
                    <w:rPr>
                      <w:b/>
                      <w:bCs/>
                      <w:sz w:val="21"/>
                      <w:szCs w:val="21"/>
                      <w:lang w:val="zh-CN"/>
                    </w:rPr>
                  </w:pPr>
                </w:p>
              </w:tc>
              <w:tc>
                <w:tcPr>
                  <w:tcW w:w="836" w:type="dxa"/>
                  <w:tcBorders>
                    <w:tl2br w:val="nil"/>
                    <w:tr2bl w:val="nil"/>
                  </w:tcBorders>
                  <w:vAlign w:val="center"/>
                </w:tcPr>
                <w:p w14:paraId="11134653">
                  <w:pPr>
                    <w:spacing w:line="240" w:lineRule="auto"/>
                    <w:ind w:firstLine="0" w:firstLineChars="0"/>
                    <w:jc w:val="center"/>
                    <w:rPr>
                      <w:b/>
                      <w:bCs/>
                      <w:sz w:val="21"/>
                      <w:szCs w:val="21"/>
                      <w:lang w:val="zh-CN"/>
                    </w:rPr>
                  </w:pPr>
                  <w:r>
                    <w:rPr>
                      <w:b/>
                      <w:bCs/>
                      <w:sz w:val="21"/>
                      <w:szCs w:val="21"/>
                      <w:lang w:val="zh-CN"/>
                    </w:rPr>
                    <w:t>污染治理设施编号</w:t>
                  </w:r>
                </w:p>
              </w:tc>
              <w:tc>
                <w:tcPr>
                  <w:tcW w:w="734" w:type="dxa"/>
                  <w:tcBorders>
                    <w:tl2br w:val="nil"/>
                    <w:tr2bl w:val="nil"/>
                  </w:tcBorders>
                  <w:vAlign w:val="center"/>
                </w:tcPr>
                <w:p w14:paraId="190BCF68">
                  <w:pPr>
                    <w:spacing w:line="240" w:lineRule="auto"/>
                    <w:ind w:firstLine="0" w:firstLineChars="0"/>
                    <w:jc w:val="center"/>
                    <w:rPr>
                      <w:b/>
                      <w:bCs/>
                      <w:sz w:val="21"/>
                      <w:szCs w:val="21"/>
                      <w:lang w:val="zh-CN"/>
                    </w:rPr>
                  </w:pPr>
                  <w:r>
                    <w:rPr>
                      <w:b/>
                      <w:bCs/>
                      <w:sz w:val="21"/>
                      <w:szCs w:val="21"/>
                      <w:lang w:val="zh-CN"/>
                    </w:rPr>
                    <w:t>污染治理设施名称</w:t>
                  </w:r>
                </w:p>
              </w:tc>
              <w:tc>
                <w:tcPr>
                  <w:tcW w:w="826" w:type="dxa"/>
                  <w:tcBorders>
                    <w:tl2br w:val="nil"/>
                    <w:tr2bl w:val="nil"/>
                  </w:tcBorders>
                  <w:vAlign w:val="center"/>
                </w:tcPr>
                <w:p w14:paraId="0B641D48">
                  <w:pPr>
                    <w:spacing w:line="240" w:lineRule="auto"/>
                    <w:ind w:firstLine="0" w:firstLineChars="0"/>
                    <w:jc w:val="center"/>
                    <w:rPr>
                      <w:b/>
                      <w:bCs/>
                      <w:sz w:val="21"/>
                      <w:szCs w:val="21"/>
                      <w:lang w:val="zh-CN"/>
                    </w:rPr>
                  </w:pPr>
                  <w:r>
                    <w:rPr>
                      <w:b/>
                      <w:bCs/>
                      <w:sz w:val="21"/>
                      <w:szCs w:val="21"/>
                      <w:lang w:val="zh-CN"/>
                    </w:rPr>
                    <w:t>污染治理设施工艺</w:t>
                  </w:r>
                </w:p>
              </w:tc>
              <w:tc>
                <w:tcPr>
                  <w:tcW w:w="581" w:type="dxa"/>
                  <w:vMerge w:val="continue"/>
                  <w:tcBorders>
                    <w:tl2br w:val="nil"/>
                    <w:tr2bl w:val="nil"/>
                  </w:tcBorders>
                  <w:vAlign w:val="center"/>
                </w:tcPr>
                <w:p w14:paraId="27B693EF">
                  <w:pPr>
                    <w:spacing w:line="240" w:lineRule="auto"/>
                    <w:ind w:firstLine="0" w:firstLineChars="0"/>
                    <w:jc w:val="center"/>
                    <w:rPr>
                      <w:sz w:val="21"/>
                      <w:szCs w:val="21"/>
                      <w:lang w:val="zh-CN"/>
                    </w:rPr>
                  </w:pPr>
                </w:p>
              </w:tc>
              <w:tc>
                <w:tcPr>
                  <w:tcW w:w="886" w:type="dxa"/>
                  <w:vMerge w:val="continue"/>
                  <w:tcBorders>
                    <w:tl2br w:val="nil"/>
                    <w:tr2bl w:val="nil"/>
                  </w:tcBorders>
                  <w:vAlign w:val="center"/>
                </w:tcPr>
                <w:p w14:paraId="4A4EE79D">
                  <w:pPr>
                    <w:spacing w:line="240" w:lineRule="auto"/>
                    <w:ind w:firstLine="0" w:firstLineChars="0"/>
                    <w:jc w:val="center"/>
                    <w:rPr>
                      <w:sz w:val="21"/>
                      <w:szCs w:val="21"/>
                      <w:lang w:val="zh-CN"/>
                    </w:rPr>
                  </w:pPr>
                </w:p>
              </w:tc>
              <w:tc>
                <w:tcPr>
                  <w:tcW w:w="1164" w:type="dxa"/>
                  <w:vMerge w:val="continue"/>
                  <w:tcBorders>
                    <w:tl2br w:val="nil"/>
                    <w:tr2bl w:val="nil"/>
                  </w:tcBorders>
                  <w:vAlign w:val="center"/>
                </w:tcPr>
                <w:p w14:paraId="1BE98D5F">
                  <w:pPr>
                    <w:spacing w:line="240" w:lineRule="auto"/>
                    <w:ind w:firstLine="0" w:firstLineChars="0"/>
                    <w:jc w:val="center"/>
                    <w:rPr>
                      <w:sz w:val="21"/>
                      <w:szCs w:val="21"/>
                      <w:lang w:val="zh-CN"/>
                    </w:rPr>
                  </w:pPr>
                </w:p>
              </w:tc>
            </w:tr>
            <w:tr w14:paraId="130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0" w:type="dxa"/>
                  <w:tcBorders>
                    <w:tl2br w:val="nil"/>
                    <w:tr2bl w:val="nil"/>
                  </w:tcBorders>
                  <w:vAlign w:val="center"/>
                </w:tcPr>
                <w:p w14:paraId="45DEDCD8">
                  <w:pPr>
                    <w:spacing w:line="240" w:lineRule="auto"/>
                    <w:ind w:firstLine="0" w:firstLineChars="0"/>
                    <w:jc w:val="center"/>
                    <w:rPr>
                      <w:sz w:val="21"/>
                      <w:szCs w:val="21"/>
                      <w:lang w:val="zh-CN"/>
                    </w:rPr>
                  </w:pPr>
                  <w:r>
                    <w:rPr>
                      <w:sz w:val="21"/>
                      <w:szCs w:val="21"/>
                      <w:lang w:val="zh-CN"/>
                    </w:rPr>
                    <w:t>1</w:t>
                  </w:r>
                </w:p>
              </w:tc>
              <w:tc>
                <w:tcPr>
                  <w:tcW w:w="746" w:type="dxa"/>
                  <w:tcBorders>
                    <w:tl2br w:val="nil"/>
                    <w:tr2bl w:val="nil"/>
                  </w:tcBorders>
                  <w:vAlign w:val="center"/>
                </w:tcPr>
                <w:p w14:paraId="3E840624">
                  <w:pPr>
                    <w:spacing w:line="240" w:lineRule="auto"/>
                    <w:ind w:firstLine="0" w:firstLineChars="0"/>
                    <w:jc w:val="center"/>
                    <w:rPr>
                      <w:sz w:val="21"/>
                      <w:szCs w:val="21"/>
                    </w:rPr>
                  </w:pPr>
                  <w:r>
                    <w:rPr>
                      <w:sz w:val="21"/>
                      <w:szCs w:val="21"/>
                    </w:rPr>
                    <w:t>生活污水</w:t>
                  </w:r>
                </w:p>
              </w:tc>
              <w:tc>
                <w:tcPr>
                  <w:tcW w:w="865" w:type="dxa"/>
                  <w:tcBorders>
                    <w:tl2br w:val="nil"/>
                    <w:tr2bl w:val="nil"/>
                  </w:tcBorders>
                  <w:vAlign w:val="center"/>
                </w:tcPr>
                <w:p w14:paraId="1CA07DB3">
                  <w:pPr>
                    <w:spacing w:line="240" w:lineRule="auto"/>
                    <w:ind w:firstLine="0" w:firstLineChars="0"/>
                    <w:jc w:val="center"/>
                    <w:rPr>
                      <w:sz w:val="21"/>
                      <w:szCs w:val="21"/>
                    </w:rPr>
                  </w:pPr>
                  <w:r>
                    <w:rPr>
                      <w:sz w:val="21"/>
                      <w:szCs w:val="21"/>
                    </w:rPr>
                    <w:t>COD</w:t>
                  </w:r>
                  <w:r>
                    <w:rPr>
                      <w:sz w:val="21"/>
                      <w:szCs w:val="21"/>
                      <w:lang w:val="zh-CN"/>
                    </w:rPr>
                    <w:t>、</w:t>
                  </w:r>
                  <w:r>
                    <w:rPr>
                      <w:sz w:val="21"/>
                      <w:szCs w:val="21"/>
                    </w:rPr>
                    <w:t>SS、NH</w:t>
                  </w:r>
                  <w:r>
                    <w:rPr>
                      <w:sz w:val="21"/>
                      <w:szCs w:val="21"/>
                      <w:vertAlign w:val="subscript"/>
                    </w:rPr>
                    <w:t>3</w:t>
                  </w:r>
                  <w:r>
                    <w:rPr>
                      <w:sz w:val="21"/>
                      <w:szCs w:val="21"/>
                    </w:rPr>
                    <w:t>-N</w:t>
                  </w:r>
                  <w:r>
                    <w:rPr>
                      <w:sz w:val="21"/>
                      <w:szCs w:val="21"/>
                      <w:lang w:val="zh-CN"/>
                    </w:rPr>
                    <w:t>、</w:t>
                  </w:r>
                  <w:r>
                    <w:rPr>
                      <w:sz w:val="21"/>
                      <w:szCs w:val="21"/>
                    </w:rPr>
                    <w:t>TP、TN</w:t>
                  </w:r>
                </w:p>
              </w:tc>
              <w:tc>
                <w:tcPr>
                  <w:tcW w:w="602" w:type="dxa"/>
                  <w:tcBorders>
                    <w:tl2br w:val="nil"/>
                    <w:tr2bl w:val="nil"/>
                  </w:tcBorders>
                  <w:vAlign w:val="center"/>
                </w:tcPr>
                <w:p w14:paraId="2DE3D35C">
                  <w:pPr>
                    <w:spacing w:line="240" w:lineRule="auto"/>
                    <w:ind w:firstLine="0" w:firstLineChars="0"/>
                    <w:jc w:val="center"/>
                    <w:rPr>
                      <w:sz w:val="21"/>
                      <w:szCs w:val="21"/>
                      <w:lang w:val="zh-CN"/>
                    </w:rPr>
                  </w:pPr>
                  <w:r>
                    <w:rPr>
                      <w:sz w:val="21"/>
                      <w:szCs w:val="21"/>
                      <w:lang w:val="zh-CN"/>
                    </w:rPr>
                    <w:t>进入城市污水处理厂</w:t>
                  </w:r>
                </w:p>
              </w:tc>
              <w:tc>
                <w:tcPr>
                  <w:tcW w:w="477" w:type="dxa"/>
                  <w:tcBorders>
                    <w:tl2br w:val="nil"/>
                    <w:tr2bl w:val="nil"/>
                  </w:tcBorders>
                  <w:vAlign w:val="center"/>
                </w:tcPr>
                <w:p w14:paraId="00F12FBB">
                  <w:pPr>
                    <w:spacing w:line="240" w:lineRule="auto"/>
                    <w:ind w:firstLine="0" w:firstLineChars="0"/>
                    <w:jc w:val="center"/>
                    <w:rPr>
                      <w:sz w:val="21"/>
                      <w:szCs w:val="21"/>
                      <w:lang w:val="zh-CN"/>
                    </w:rPr>
                  </w:pPr>
                  <w:r>
                    <w:rPr>
                      <w:sz w:val="21"/>
                      <w:szCs w:val="21"/>
                      <w:lang w:val="zh-CN"/>
                    </w:rPr>
                    <w:t>间接</w:t>
                  </w:r>
                </w:p>
                <w:p w14:paraId="51F5333A">
                  <w:pPr>
                    <w:spacing w:line="240" w:lineRule="auto"/>
                    <w:ind w:firstLine="0" w:firstLineChars="0"/>
                    <w:jc w:val="center"/>
                    <w:rPr>
                      <w:sz w:val="21"/>
                      <w:szCs w:val="21"/>
                      <w:lang w:val="zh-CN"/>
                    </w:rPr>
                  </w:pPr>
                  <w:r>
                    <w:rPr>
                      <w:sz w:val="21"/>
                      <w:szCs w:val="21"/>
                      <w:lang w:val="zh-CN"/>
                    </w:rPr>
                    <w:t>排放</w:t>
                  </w:r>
                </w:p>
              </w:tc>
              <w:tc>
                <w:tcPr>
                  <w:tcW w:w="836" w:type="dxa"/>
                  <w:tcBorders>
                    <w:tl2br w:val="nil"/>
                    <w:tr2bl w:val="nil"/>
                  </w:tcBorders>
                  <w:vAlign w:val="center"/>
                </w:tcPr>
                <w:p w14:paraId="37D3537D">
                  <w:pPr>
                    <w:spacing w:line="240" w:lineRule="auto"/>
                    <w:ind w:firstLine="0" w:firstLineChars="0"/>
                    <w:jc w:val="center"/>
                    <w:rPr>
                      <w:sz w:val="21"/>
                      <w:szCs w:val="21"/>
                      <w:lang w:val="zh-CN"/>
                    </w:rPr>
                  </w:pPr>
                  <w:r>
                    <w:rPr>
                      <w:sz w:val="21"/>
                      <w:szCs w:val="21"/>
                      <w:lang w:val="zh-CN"/>
                    </w:rPr>
                    <w:t>TW001</w:t>
                  </w:r>
                </w:p>
              </w:tc>
              <w:tc>
                <w:tcPr>
                  <w:tcW w:w="734" w:type="dxa"/>
                  <w:tcBorders>
                    <w:tl2br w:val="nil"/>
                    <w:tr2bl w:val="nil"/>
                  </w:tcBorders>
                  <w:vAlign w:val="center"/>
                </w:tcPr>
                <w:p w14:paraId="1C9D3239">
                  <w:pPr>
                    <w:spacing w:line="240" w:lineRule="auto"/>
                    <w:ind w:firstLine="0" w:firstLineChars="0"/>
                    <w:jc w:val="center"/>
                    <w:rPr>
                      <w:sz w:val="21"/>
                      <w:szCs w:val="21"/>
                      <w:lang w:val="zh-CN"/>
                    </w:rPr>
                  </w:pPr>
                  <w:r>
                    <w:rPr>
                      <w:sz w:val="21"/>
                      <w:szCs w:val="21"/>
                      <w:lang w:val="zh-CN"/>
                    </w:rPr>
                    <w:t>化粪池</w:t>
                  </w:r>
                </w:p>
              </w:tc>
              <w:tc>
                <w:tcPr>
                  <w:tcW w:w="826" w:type="dxa"/>
                  <w:tcBorders>
                    <w:tl2br w:val="nil"/>
                    <w:tr2bl w:val="nil"/>
                  </w:tcBorders>
                  <w:vAlign w:val="center"/>
                </w:tcPr>
                <w:p w14:paraId="5F4F9972">
                  <w:pPr>
                    <w:spacing w:line="240" w:lineRule="auto"/>
                    <w:ind w:firstLine="0" w:firstLineChars="0"/>
                    <w:jc w:val="center"/>
                    <w:rPr>
                      <w:sz w:val="21"/>
                      <w:szCs w:val="21"/>
                    </w:rPr>
                  </w:pPr>
                  <w:r>
                    <w:rPr>
                      <w:sz w:val="21"/>
                      <w:szCs w:val="21"/>
                      <w:lang w:val="zh-CN"/>
                    </w:rPr>
                    <w:t>化粪池</w:t>
                  </w:r>
                </w:p>
              </w:tc>
              <w:tc>
                <w:tcPr>
                  <w:tcW w:w="581" w:type="dxa"/>
                  <w:tcBorders>
                    <w:tl2br w:val="nil"/>
                    <w:tr2bl w:val="nil"/>
                  </w:tcBorders>
                  <w:vAlign w:val="center"/>
                </w:tcPr>
                <w:p w14:paraId="145D8EE4">
                  <w:pPr>
                    <w:spacing w:line="240" w:lineRule="auto"/>
                    <w:ind w:firstLine="0" w:firstLineChars="0"/>
                    <w:jc w:val="center"/>
                    <w:rPr>
                      <w:sz w:val="21"/>
                      <w:szCs w:val="21"/>
                      <w:lang w:val="zh-CN"/>
                    </w:rPr>
                  </w:pPr>
                  <w:r>
                    <w:rPr>
                      <w:sz w:val="21"/>
                      <w:szCs w:val="21"/>
                      <w:lang w:val="zh-CN"/>
                    </w:rPr>
                    <w:t>DW001</w:t>
                  </w:r>
                </w:p>
              </w:tc>
              <w:tc>
                <w:tcPr>
                  <w:tcW w:w="886" w:type="dxa"/>
                  <w:tcBorders>
                    <w:tl2br w:val="nil"/>
                    <w:tr2bl w:val="nil"/>
                  </w:tcBorders>
                  <w:vAlign w:val="center"/>
                </w:tcPr>
                <w:p w14:paraId="3465FF11">
                  <w:pPr>
                    <w:spacing w:line="240" w:lineRule="auto"/>
                    <w:ind w:firstLine="0" w:firstLineChars="0"/>
                    <w:jc w:val="center"/>
                    <w:rPr>
                      <w:sz w:val="21"/>
                      <w:szCs w:val="21"/>
                      <w:lang w:val="zh-CN"/>
                    </w:rPr>
                  </w:pPr>
                  <w:r>
                    <w:rPr>
                      <w:sz w:val="21"/>
                      <w:szCs w:val="21"/>
                      <w:lang w:val="zh-CN"/>
                    </w:rPr>
                    <w:t>☑是</w:t>
                  </w:r>
                </w:p>
                <w:p w14:paraId="0C39ACD6">
                  <w:pPr>
                    <w:spacing w:line="240" w:lineRule="auto"/>
                    <w:ind w:firstLine="0" w:firstLineChars="0"/>
                    <w:jc w:val="center"/>
                    <w:rPr>
                      <w:sz w:val="21"/>
                      <w:szCs w:val="21"/>
                      <w:lang w:val="zh-CN"/>
                    </w:rPr>
                  </w:pPr>
                  <w:r>
                    <w:rPr>
                      <w:sz w:val="21"/>
                      <w:szCs w:val="21"/>
                      <w:lang w:val="zh-CN"/>
                    </w:rPr>
                    <w:sym w:font="Wingdings 2" w:char="00A3"/>
                  </w:r>
                  <w:r>
                    <w:rPr>
                      <w:sz w:val="21"/>
                      <w:szCs w:val="21"/>
                      <w:lang w:val="zh-CN"/>
                    </w:rPr>
                    <w:t>否</w:t>
                  </w:r>
                </w:p>
              </w:tc>
              <w:tc>
                <w:tcPr>
                  <w:tcW w:w="1164" w:type="dxa"/>
                  <w:tcBorders>
                    <w:tl2br w:val="nil"/>
                    <w:tr2bl w:val="nil"/>
                  </w:tcBorders>
                  <w:vAlign w:val="center"/>
                </w:tcPr>
                <w:p w14:paraId="5DBAE0B6">
                  <w:pPr>
                    <w:spacing w:line="240" w:lineRule="auto"/>
                    <w:ind w:firstLine="0" w:firstLineChars="0"/>
                    <w:jc w:val="center"/>
                    <w:rPr>
                      <w:sz w:val="21"/>
                      <w:szCs w:val="21"/>
                      <w:lang w:val="zh-CN"/>
                    </w:rPr>
                  </w:pPr>
                  <w:r>
                    <w:rPr>
                      <w:sz w:val="21"/>
                      <w:szCs w:val="21"/>
                      <w:lang w:val="zh-CN"/>
                    </w:rPr>
                    <w:t>☑企业总排</w:t>
                  </w:r>
                </w:p>
                <w:p w14:paraId="6EB10064">
                  <w:pPr>
                    <w:spacing w:line="240" w:lineRule="auto"/>
                    <w:ind w:firstLine="0" w:firstLineChars="0"/>
                    <w:jc w:val="center"/>
                    <w:rPr>
                      <w:sz w:val="21"/>
                      <w:szCs w:val="21"/>
                      <w:lang w:val="zh-CN"/>
                    </w:rPr>
                  </w:pPr>
                  <w:r>
                    <w:rPr>
                      <w:sz w:val="21"/>
                      <w:szCs w:val="21"/>
                      <w:lang w:val="zh-CN"/>
                    </w:rPr>
                    <w:sym w:font="Wingdings 2" w:char="00A3"/>
                  </w:r>
                  <w:r>
                    <w:rPr>
                      <w:sz w:val="21"/>
                      <w:szCs w:val="21"/>
                      <w:lang w:val="zh-CN"/>
                    </w:rPr>
                    <w:t>雨水排放</w:t>
                  </w:r>
                </w:p>
                <w:p w14:paraId="598DF1AA">
                  <w:pPr>
                    <w:spacing w:line="240" w:lineRule="auto"/>
                    <w:ind w:firstLine="0" w:firstLineChars="0"/>
                    <w:jc w:val="center"/>
                    <w:rPr>
                      <w:sz w:val="21"/>
                      <w:szCs w:val="21"/>
                      <w:lang w:val="zh-CN"/>
                    </w:rPr>
                  </w:pPr>
                  <w:r>
                    <w:rPr>
                      <w:sz w:val="21"/>
                      <w:szCs w:val="21"/>
                      <w:lang w:val="zh-CN"/>
                    </w:rPr>
                    <w:sym w:font="Wingdings 2" w:char="00A3"/>
                  </w:r>
                  <w:r>
                    <w:rPr>
                      <w:sz w:val="21"/>
                      <w:szCs w:val="21"/>
                      <w:lang w:val="zh-CN"/>
                    </w:rPr>
                    <w:t>清净下水排放</w:t>
                  </w:r>
                </w:p>
                <w:p w14:paraId="122131E2">
                  <w:pPr>
                    <w:spacing w:line="240" w:lineRule="auto"/>
                    <w:ind w:firstLine="0" w:firstLineChars="0"/>
                    <w:jc w:val="center"/>
                    <w:rPr>
                      <w:sz w:val="21"/>
                      <w:szCs w:val="21"/>
                      <w:lang w:val="zh-CN"/>
                    </w:rPr>
                  </w:pPr>
                  <w:r>
                    <w:rPr>
                      <w:sz w:val="21"/>
                      <w:szCs w:val="21"/>
                      <w:lang w:val="zh-CN"/>
                    </w:rPr>
                    <w:sym w:font="Wingdings 2" w:char="00A3"/>
                  </w:r>
                  <w:r>
                    <w:rPr>
                      <w:sz w:val="21"/>
                      <w:szCs w:val="21"/>
                      <w:lang w:val="zh-CN"/>
                    </w:rPr>
                    <w:t>温排水排放</w:t>
                  </w:r>
                </w:p>
                <w:p w14:paraId="1CBE5C98">
                  <w:pPr>
                    <w:spacing w:line="240" w:lineRule="auto"/>
                    <w:ind w:firstLine="0" w:firstLineChars="0"/>
                    <w:jc w:val="center"/>
                    <w:rPr>
                      <w:sz w:val="21"/>
                      <w:szCs w:val="21"/>
                      <w:lang w:val="zh-CN"/>
                    </w:rPr>
                  </w:pPr>
                  <w:r>
                    <w:rPr>
                      <w:sz w:val="21"/>
                      <w:szCs w:val="21"/>
                      <w:lang w:val="zh-CN"/>
                    </w:rPr>
                    <w:sym w:font="Wingdings 2" w:char="00A3"/>
                  </w:r>
                  <w:r>
                    <w:rPr>
                      <w:sz w:val="21"/>
                      <w:szCs w:val="21"/>
                      <w:lang w:val="zh-CN"/>
                    </w:rPr>
                    <w:t>车间或车间处理设施排放口</w:t>
                  </w:r>
                </w:p>
              </w:tc>
            </w:tr>
          </w:tbl>
          <w:p w14:paraId="1BAD96D8">
            <w:pPr>
              <w:spacing w:line="500" w:lineRule="exact"/>
              <w:ind w:firstLine="480"/>
              <w:jc w:val="left"/>
              <w:rPr>
                <w:rFonts w:eastAsia="黑体"/>
                <w:b/>
                <w:bCs/>
                <w:kern w:val="1"/>
              </w:rPr>
            </w:pPr>
            <w:r>
              <w:rPr>
                <w:rFonts w:hint="eastAsia" w:eastAsia="黑体"/>
                <w:b/>
                <w:bCs/>
                <w:kern w:val="1"/>
              </w:rPr>
              <w:t>2.3.2</w:t>
            </w:r>
            <w:r>
              <w:rPr>
                <w:rFonts w:hint="eastAsia" w:ascii="宋体" w:hAnsi="宋体" w:cs="宋体"/>
                <w:b/>
                <w:bCs/>
                <w:kern w:val="1"/>
              </w:rPr>
              <w:t>废水间接排放口基本情况</w:t>
            </w:r>
          </w:p>
          <w:p w14:paraId="69369294">
            <w:pPr>
              <w:spacing w:line="500" w:lineRule="exact"/>
              <w:ind w:firstLine="960" w:firstLineChars="400"/>
              <w:jc w:val="left"/>
              <w:rPr>
                <w:rFonts w:eastAsia="黑体"/>
                <w:kern w:val="1"/>
              </w:rPr>
            </w:pPr>
            <w:r>
              <w:rPr>
                <w:rFonts w:eastAsia="黑体"/>
                <w:kern w:val="1"/>
              </w:rPr>
              <w:t>表</w:t>
            </w:r>
            <w:r>
              <w:rPr>
                <w:rFonts w:hint="eastAsia" w:eastAsia="黑体"/>
                <w:kern w:val="1"/>
              </w:rPr>
              <w:t xml:space="preserve">4-10      </w:t>
            </w:r>
            <w:r>
              <w:rPr>
                <w:rFonts w:eastAsia="黑体"/>
                <w:kern w:val="1"/>
              </w:rPr>
              <w:t>项目废水间接排放口基本情况表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863"/>
              <w:gridCol w:w="839"/>
              <w:gridCol w:w="791"/>
              <w:gridCol w:w="786"/>
              <w:gridCol w:w="712"/>
              <w:gridCol w:w="695"/>
              <w:gridCol w:w="520"/>
              <w:gridCol w:w="692"/>
              <w:gridCol w:w="768"/>
              <w:gridCol w:w="1049"/>
            </w:tblGrid>
            <w:tr w14:paraId="2DF9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restart"/>
                  <w:tcBorders>
                    <w:tl2br w:val="nil"/>
                    <w:tr2bl w:val="nil"/>
                  </w:tcBorders>
                  <w:vAlign w:val="center"/>
                </w:tcPr>
                <w:p w14:paraId="50C1E107">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b/>
                      <w:bCs/>
                      <w:sz w:val="21"/>
                      <w:szCs w:val="21"/>
                    </w:rPr>
                  </w:pPr>
                  <w:r>
                    <w:rPr>
                      <w:b/>
                      <w:bCs/>
                      <w:sz w:val="21"/>
                      <w:szCs w:val="21"/>
                    </w:rPr>
                    <w:t>序号</w:t>
                  </w:r>
                </w:p>
              </w:tc>
              <w:tc>
                <w:tcPr>
                  <w:tcW w:w="863" w:type="dxa"/>
                  <w:vMerge w:val="restart"/>
                  <w:tcBorders>
                    <w:tl2br w:val="nil"/>
                    <w:tr2bl w:val="nil"/>
                  </w:tcBorders>
                  <w:vAlign w:val="center"/>
                </w:tcPr>
                <w:p w14:paraId="2BE7AD7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排放口编号</w:t>
                  </w:r>
                </w:p>
              </w:tc>
              <w:tc>
                <w:tcPr>
                  <w:tcW w:w="1630" w:type="dxa"/>
                  <w:gridSpan w:val="2"/>
                  <w:tcBorders>
                    <w:tl2br w:val="nil"/>
                    <w:tr2bl w:val="nil"/>
                  </w:tcBorders>
                  <w:vAlign w:val="center"/>
                </w:tcPr>
                <w:p w14:paraId="2B61E63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排放口地理坐标</w:t>
                  </w:r>
                </w:p>
              </w:tc>
              <w:tc>
                <w:tcPr>
                  <w:tcW w:w="786" w:type="dxa"/>
                  <w:vMerge w:val="restart"/>
                  <w:tcBorders>
                    <w:tl2br w:val="nil"/>
                    <w:tr2bl w:val="nil"/>
                  </w:tcBorders>
                  <w:vAlign w:val="center"/>
                </w:tcPr>
                <w:p w14:paraId="15DE1B2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废水</w:t>
                  </w:r>
                </w:p>
                <w:p w14:paraId="48D0CA2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排放量/</w:t>
                  </w:r>
                </w:p>
                <w:p w14:paraId="668ECD5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（t/a）</w:t>
                  </w:r>
                </w:p>
              </w:tc>
              <w:tc>
                <w:tcPr>
                  <w:tcW w:w="712" w:type="dxa"/>
                  <w:vMerge w:val="restart"/>
                  <w:tcBorders>
                    <w:tl2br w:val="nil"/>
                    <w:tr2bl w:val="nil"/>
                  </w:tcBorders>
                  <w:vAlign w:val="center"/>
                </w:tcPr>
                <w:p w14:paraId="61D39E9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排放去向</w:t>
                  </w:r>
                </w:p>
              </w:tc>
              <w:tc>
                <w:tcPr>
                  <w:tcW w:w="695" w:type="dxa"/>
                  <w:vMerge w:val="restart"/>
                  <w:tcBorders>
                    <w:tl2br w:val="nil"/>
                    <w:tr2bl w:val="nil"/>
                  </w:tcBorders>
                  <w:vAlign w:val="center"/>
                </w:tcPr>
                <w:p w14:paraId="0902D05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排放规律</w:t>
                  </w:r>
                </w:p>
              </w:tc>
              <w:tc>
                <w:tcPr>
                  <w:tcW w:w="520" w:type="dxa"/>
                  <w:vMerge w:val="restart"/>
                  <w:tcBorders>
                    <w:tl2br w:val="nil"/>
                    <w:tr2bl w:val="nil"/>
                  </w:tcBorders>
                  <w:vAlign w:val="center"/>
                </w:tcPr>
                <w:p w14:paraId="3257CFE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间歇排放时段</w:t>
                  </w:r>
                </w:p>
              </w:tc>
              <w:tc>
                <w:tcPr>
                  <w:tcW w:w="2509" w:type="dxa"/>
                  <w:gridSpan w:val="3"/>
                  <w:tcBorders>
                    <w:tl2br w:val="nil"/>
                    <w:tr2bl w:val="nil"/>
                  </w:tcBorders>
                  <w:vAlign w:val="center"/>
                </w:tcPr>
                <w:p w14:paraId="7DF04C6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受纳污水处理厂信息</w:t>
                  </w:r>
                </w:p>
              </w:tc>
            </w:tr>
            <w:tr w14:paraId="34B4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continue"/>
                  <w:tcBorders>
                    <w:tl2br w:val="nil"/>
                    <w:tr2bl w:val="nil"/>
                  </w:tcBorders>
                  <w:vAlign w:val="center"/>
                </w:tcPr>
                <w:p w14:paraId="6D17B69D">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b/>
                      <w:bCs/>
                      <w:sz w:val="21"/>
                      <w:szCs w:val="21"/>
                    </w:rPr>
                  </w:pPr>
                </w:p>
              </w:tc>
              <w:tc>
                <w:tcPr>
                  <w:tcW w:w="863" w:type="dxa"/>
                  <w:vMerge w:val="continue"/>
                  <w:tcBorders>
                    <w:tl2br w:val="nil"/>
                    <w:tr2bl w:val="nil"/>
                  </w:tcBorders>
                  <w:vAlign w:val="center"/>
                </w:tcPr>
                <w:p w14:paraId="5CFEDB14">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b/>
                      <w:bCs/>
                      <w:sz w:val="21"/>
                      <w:szCs w:val="21"/>
                    </w:rPr>
                  </w:pPr>
                </w:p>
              </w:tc>
              <w:tc>
                <w:tcPr>
                  <w:tcW w:w="839" w:type="dxa"/>
                  <w:tcBorders>
                    <w:tl2br w:val="nil"/>
                    <w:tr2bl w:val="nil"/>
                  </w:tcBorders>
                  <w:vAlign w:val="center"/>
                </w:tcPr>
                <w:p w14:paraId="774283F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经度</w:t>
                  </w:r>
                </w:p>
              </w:tc>
              <w:tc>
                <w:tcPr>
                  <w:tcW w:w="791" w:type="dxa"/>
                  <w:tcBorders>
                    <w:tl2br w:val="nil"/>
                    <w:tr2bl w:val="nil"/>
                  </w:tcBorders>
                  <w:vAlign w:val="center"/>
                </w:tcPr>
                <w:p w14:paraId="53A5C06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纬度</w:t>
                  </w:r>
                </w:p>
              </w:tc>
              <w:tc>
                <w:tcPr>
                  <w:tcW w:w="786" w:type="dxa"/>
                  <w:vMerge w:val="continue"/>
                  <w:tcBorders>
                    <w:tl2br w:val="nil"/>
                    <w:tr2bl w:val="nil"/>
                  </w:tcBorders>
                  <w:vAlign w:val="center"/>
                </w:tcPr>
                <w:p w14:paraId="27B1FB4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p>
              </w:tc>
              <w:tc>
                <w:tcPr>
                  <w:tcW w:w="712" w:type="dxa"/>
                  <w:vMerge w:val="continue"/>
                  <w:tcBorders>
                    <w:tl2br w:val="nil"/>
                    <w:tr2bl w:val="nil"/>
                  </w:tcBorders>
                  <w:vAlign w:val="center"/>
                </w:tcPr>
                <w:p w14:paraId="706007E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p>
              </w:tc>
              <w:tc>
                <w:tcPr>
                  <w:tcW w:w="695" w:type="dxa"/>
                  <w:vMerge w:val="continue"/>
                  <w:tcBorders>
                    <w:tl2br w:val="nil"/>
                    <w:tr2bl w:val="nil"/>
                  </w:tcBorders>
                  <w:vAlign w:val="center"/>
                </w:tcPr>
                <w:p w14:paraId="54DAB95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p>
              </w:tc>
              <w:tc>
                <w:tcPr>
                  <w:tcW w:w="520" w:type="dxa"/>
                  <w:vMerge w:val="continue"/>
                  <w:tcBorders>
                    <w:tl2br w:val="nil"/>
                    <w:tr2bl w:val="nil"/>
                  </w:tcBorders>
                  <w:vAlign w:val="center"/>
                </w:tcPr>
                <w:p w14:paraId="74E3BB5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p>
              </w:tc>
              <w:tc>
                <w:tcPr>
                  <w:tcW w:w="692" w:type="dxa"/>
                  <w:tcBorders>
                    <w:tl2br w:val="nil"/>
                    <w:tr2bl w:val="nil"/>
                  </w:tcBorders>
                  <w:vAlign w:val="center"/>
                </w:tcPr>
                <w:p w14:paraId="00DA065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名称</w:t>
                  </w:r>
                </w:p>
              </w:tc>
              <w:tc>
                <w:tcPr>
                  <w:tcW w:w="768" w:type="dxa"/>
                  <w:tcBorders>
                    <w:tl2br w:val="nil"/>
                    <w:tr2bl w:val="nil"/>
                  </w:tcBorders>
                  <w:vAlign w:val="center"/>
                </w:tcPr>
                <w:p w14:paraId="75776CB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污染物种类</w:t>
                  </w:r>
                </w:p>
              </w:tc>
              <w:tc>
                <w:tcPr>
                  <w:tcW w:w="1049" w:type="dxa"/>
                  <w:tcBorders>
                    <w:tl2br w:val="nil"/>
                    <w:tr2bl w:val="nil"/>
                  </w:tcBorders>
                  <w:vAlign w:val="center"/>
                </w:tcPr>
                <w:p w14:paraId="61950D4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b/>
                      <w:bCs/>
                      <w:sz w:val="21"/>
                      <w:szCs w:val="21"/>
                    </w:rPr>
                  </w:pPr>
                  <w:r>
                    <w:rPr>
                      <w:b/>
                      <w:bCs/>
                      <w:sz w:val="21"/>
                      <w:szCs w:val="21"/>
                    </w:rPr>
                    <w:t>国家或地方污染物浓度排放限值/（mg/L）</w:t>
                  </w:r>
                </w:p>
              </w:tc>
            </w:tr>
            <w:tr w14:paraId="5BD7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restart"/>
                  <w:tcBorders>
                    <w:tl2br w:val="nil"/>
                    <w:tr2bl w:val="nil"/>
                  </w:tcBorders>
                  <w:vAlign w:val="center"/>
                </w:tcPr>
                <w:p w14:paraId="51B3FE3A">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sz w:val="21"/>
                      <w:szCs w:val="21"/>
                    </w:rPr>
                  </w:pPr>
                  <w:r>
                    <w:rPr>
                      <w:sz w:val="21"/>
                      <w:szCs w:val="21"/>
                    </w:rPr>
                    <w:t>1</w:t>
                  </w:r>
                </w:p>
              </w:tc>
              <w:tc>
                <w:tcPr>
                  <w:tcW w:w="863" w:type="dxa"/>
                  <w:vMerge w:val="restart"/>
                  <w:tcBorders>
                    <w:tl2br w:val="nil"/>
                    <w:tr2bl w:val="nil"/>
                  </w:tcBorders>
                  <w:vAlign w:val="center"/>
                </w:tcPr>
                <w:p w14:paraId="35DBACA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DW001</w:t>
                  </w:r>
                </w:p>
              </w:tc>
              <w:tc>
                <w:tcPr>
                  <w:tcW w:w="839" w:type="dxa"/>
                  <w:vMerge w:val="restart"/>
                  <w:tcBorders>
                    <w:tl2br w:val="nil"/>
                    <w:tr2bl w:val="nil"/>
                  </w:tcBorders>
                  <w:vAlign w:val="center"/>
                </w:tcPr>
                <w:p w14:paraId="771B4C46">
                  <w:pPr>
                    <w:pStyle w:val="79"/>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sz w:val="21"/>
                      <w:szCs w:val="21"/>
                      <w:lang w:val="en-US"/>
                    </w:rPr>
                  </w:pPr>
                  <w:r>
                    <w:rPr>
                      <w:sz w:val="21"/>
                      <w:szCs w:val="21"/>
                      <w:lang w:val="en-US"/>
                    </w:rPr>
                    <w:t>113.</w:t>
                  </w:r>
                  <w:r>
                    <w:rPr>
                      <w:rFonts w:hint="eastAsia"/>
                      <w:sz w:val="21"/>
                      <w:szCs w:val="21"/>
                      <w:lang w:val="en-US"/>
                    </w:rPr>
                    <w:t>880008</w:t>
                  </w:r>
                </w:p>
              </w:tc>
              <w:tc>
                <w:tcPr>
                  <w:tcW w:w="791" w:type="dxa"/>
                  <w:vMerge w:val="restart"/>
                  <w:tcBorders>
                    <w:tl2br w:val="nil"/>
                    <w:tr2bl w:val="nil"/>
                  </w:tcBorders>
                  <w:vAlign w:val="center"/>
                </w:tcPr>
                <w:p w14:paraId="7E18A2D4">
                  <w:pPr>
                    <w:pStyle w:val="79"/>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sz w:val="21"/>
                      <w:szCs w:val="21"/>
                      <w:lang w:val="en-US"/>
                    </w:rPr>
                  </w:pPr>
                  <w:r>
                    <w:rPr>
                      <w:sz w:val="21"/>
                      <w:szCs w:val="21"/>
                      <w:lang w:val="en-US"/>
                    </w:rPr>
                    <w:t>35.</w:t>
                  </w:r>
                  <w:r>
                    <w:rPr>
                      <w:rFonts w:hint="eastAsia"/>
                      <w:sz w:val="21"/>
                      <w:szCs w:val="21"/>
                      <w:lang w:val="en-US"/>
                    </w:rPr>
                    <w:t>385094</w:t>
                  </w:r>
                </w:p>
              </w:tc>
              <w:tc>
                <w:tcPr>
                  <w:tcW w:w="786" w:type="dxa"/>
                  <w:vMerge w:val="restart"/>
                  <w:tcBorders>
                    <w:tl2br w:val="nil"/>
                    <w:tr2bl w:val="nil"/>
                  </w:tcBorders>
                  <w:vAlign w:val="center"/>
                </w:tcPr>
                <w:p w14:paraId="56C7EDF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rFonts w:hint="eastAsia"/>
                      <w:sz w:val="21"/>
                      <w:szCs w:val="21"/>
                    </w:rPr>
                    <w:t>360</w:t>
                  </w:r>
                </w:p>
              </w:tc>
              <w:tc>
                <w:tcPr>
                  <w:tcW w:w="712" w:type="dxa"/>
                  <w:vMerge w:val="restart"/>
                  <w:tcBorders>
                    <w:tl2br w:val="nil"/>
                    <w:tr2bl w:val="nil"/>
                  </w:tcBorders>
                  <w:vAlign w:val="center"/>
                </w:tcPr>
                <w:p w14:paraId="2877C14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rFonts w:hint="eastAsia"/>
                      <w:sz w:val="21"/>
                      <w:szCs w:val="21"/>
                    </w:rPr>
                    <w:t>河南新投水务有限公司（小尚庄污水处理厂）</w:t>
                  </w:r>
                </w:p>
              </w:tc>
              <w:tc>
                <w:tcPr>
                  <w:tcW w:w="695" w:type="dxa"/>
                  <w:vMerge w:val="restart"/>
                  <w:tcBorders>
                    <w:tl2br w:val="nil"/>
                    <w:tr2bl w:val="nil"/>
                  </w:tcBorders>
                  <w:vAlign w:val="center"/>
                </w:tcPr>
                <w:p w14:paraId="1EAAE75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间断排放，排放期间流量稳定</w:t>
                  </w:r>
                </w:p>
              </w:tc>
              <w:tc>
                <w:tcPr>
                  <w:tcW w:w="520" w:type="dxa"/>
                  <w:vMerge w:val="restart"/>
                  <w:tcBorders>
                    <w:tl2br w:val="nil"/>
                    <w:tr2bl w:val="nil"/>
                  </w:tcBorders>
                  <w:vAlign w:val="center"/>
                </w:tcPr>
                <w:p w14:paraId="1528734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w:t>
                  </w:r>
                </w:p>
              </w:tc>
              <w:tc>
                <w:tcPr>
                  <w:tcW w:w="692" w:type="dxa"/>
                  <w:vMerge w:val="restart"/>
                  <w:tcBorders>
                    <w:tl2br w:val="nil"/>
                    <w:tr2bl w:val="nil"/>
                  </w:tcBorders>
                  <w:vAlign w:val="center"/>
                </w:tcPr>
                <w:p w14:paraId="1F37C1E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rFonts w:hint="eastAsia"/>
                      <w:sz w:val="21"/>
                      <w:szCs w:val="21"/>
                    </w:rPr>
                    <w:t>河南新投水务有限公司（小尚庄污水处理厂）</w:t>
                  </w:r>
                </w:p>
              </w:tc>
              <w:tc>
                <w:tcPr>
                  <w:tcW w:w="768" w:type="dxa"/>
                  <w:tcBorders>
                    <w:tl2br w:val="nil"/>
                    <w:tr2bl w:val="nil"/>
                  </w:tcBorders>
                  <w:vAlign w:val="center"/>
                </w:tcPr>
                <w:p w14:paraId="12490F27">
                  <w:pPr>
                    <w:keepNext w:val="0"/>
                    <w:keepLines w:val="0"/>
                    <w:pageBreakBefore w:val="0"/>
                    <w:widowControl w:val="0"/>
                    <w:kinsoku/>
                    <w:wordWrap/>
                    <w:overflowPunct/>
                    <w:topLinePunct w:val="0"/>
                    <w:bidi w:val="0"/>
                    <w:spacing w:line="240" w:lineRule="auto"/>
                    <w:ind w:firstLine="0" w:firstLineChars="0"/>
                    <w:jc w:val="center"/>
                    <w:textAlignment w:val="auto"/>
                    <w:rPr>
                      <w:sz w:val="21"/>
                      <w:szCs w:val="21"/>
                    </w:rPr>
                  </w:pPr>
                  <w:r>
                    <w:rPr>
                      <w:sz w:val="21"/>
                      <w:szCs w:val="21"/>
                    </w:rPr>
                    <w:t>COD</w:t>
                  </w:r>
                </w:p>
              </w:tc>
              <w:tc>
                <w:tcPr>
                  <w:tcW w:w="1049" w:type="dxa"/>
                  <w:tcBorders>
                    <w:tl2br w:val="nil"/>
                    <w:tr2bl w:val="nil"/>
                  </w:tcBorders>
                  <w:vAlign w:val="center"/>
                </w:tcPr>
                <w:p w14:paraId="2428FB0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rFonts w:hint="eastAsia"/>
                      <w:sz w:val="21"/>
                      <w:szCs w:val="21"/>
                    </w:rPr>
                    <w:t>5</w:t>
                  </w:r>
                  <w:r>
                    <w:rPr>
                      <w:sz w:val="21"/>
                      <w:szCs w:val="21"/>
                    </w:rPr>
                    <w:t>0</w:t>
                  </w:r>
                </w:p>
              </w:tc>
            </w:tr>
            <w:tr w14:paraId="7C43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continue"/>
                  <w:tcBorders>
                    <w:tl2br w:val="nil"/>
                    <w:tr2bl w:val="nil"/>
                  </w:tcBorders>
                  <w:vAlign w:val="center"/>
                </w:tcPr>
                <w:p w14:paraId="0C963DB1">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sz w:val="21"/>
                      <w:szCs w:val="21"/>
                    </w:rPr>
                  </w:pPr>
                </w:p>
              </w:tc>
              <w:tc>
                <w:tcPr>
                  <w:tcW w:w="863" w:type="dxa"/>
                  <w:vMerge w:val="continue"/>
                  <w:tcBorders>
                    <w:tl2br w:val="nil"/>
                    <w:tr2bl w:val="nil"/>
                  </w:tcBorders>
                  <w:vAlign w:val="center"/>
                </w:tcPr>
                <w:p w14:paraId="3DB6C4F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839" w:type="dxa"/>
                  <w:vMerge w:val="continue"/>
                  <w:tcBorders>
                    <w:tl2br w:val="nil"/>
                    <w:tr2bl w:val="nil"/>
                  </w:tcBorders>
                  <w:vAlign w:val="center"/>
                </w:tcPr>
                <w:p w14:paraId="38A74A2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91" w:type="dxa"/>
                  <w:vMerge w:val="continue"/>
                  <w:tcBorders>
                    <w:tl2br w:val="nil"/>
                    <w:tr2bl w:val="nil"/>
                  </w:tcBorders>
                  <w:vAlign w:val="center"/>
                </w:tcPr>
                <w:p w14:paraId="35B524B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86" w:type="dxa"/>
                  <w:vMerge w:val="continue"/>
                  <w:tcBorders>
                    <w:tl2br w:val="nil"/>
                    <w:tr2bl w:val="nil"/>
                  </w:tcBorders>
                  <w:vAlign w:val="center"/>
                </w:tcPr>
                <w:p w14:paraId="3CEC0DE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12" w:type="dxa"/>
                  <w:vMerge w:val="continue"/>
                  <w:tcBorders>
                    <w:tl2br w:val="nil"/>
                    <w:tr2bl w:val="nil"/>
                  </w:tcBorders>
                  <w:vAlign w:val="center"/>
                </w:tcPr>
                <w:p w14:paraId="58C57E6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5" w:type="dxa"/>
                  <w:vMerge w:val="continue"/>
                  <w:tcBorders>
                    <w:tl2br w:val="nil"/>
                    <w:tr2bl w:val="nil"/>
                  </w:tcBorders>
                  <w:vAlign w:val="center"/>
                </w:tcPr>
                <w:p w14:paraId="1611008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520" w:type="dxa"/>
                  <w:vMerge w:val="continue"/>
                  <w:tcBorders>
                    <w:tl2br w:val="nil"/>
                    <w:tr2bl w:val="nil"/>
                  </w:tcBorders>
                  <w:vAlign w:val="center"/>
                </w:tcPr>
                <w:p w14:paraId="1F3A03F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2" w:type="dxa"/>
                  <w:vMerge w:val="continue"/>
                  <w:tcBorders>
                    <w:tl2br w:val="nil"/>
                    <w:tr2bl w:val="nil"/>
                  </w:tcBorders>
                  <w:vAlign w:val="center"/>
                </w:tcPr>
                <w:p w14:paraId="146A6A1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68" w:type="dxa"/>
                  <w:tcBorders>
                    <w:tl2br w:val="nil"/>
                    <w:tr2bl w:val="nil"/>
                  </w:tcBorders>
                  <w:vAlign w:val="center"/>
                </w:tcPr>
                <w:p w14:paraId="2965C916">
                  <w:pPr>
                    <w:keepNext w:val="0"/>
                    <w:keepLines w:val="0"/>
                    <w:pageBreakBefore w:val="0"/>
                    <w:widowControl w:val="0"/>
                    <w:kinsoku/>
                    <w:wordWrap/>
                    <w:overflowPunct/>
                    <w:topLinePunct w:val="0"/>
                    <w:bidi w:val="0"/>
                    <w:spacing w:line="240" w:lineRule="auto"/>
                    <w:ind w:firstLine="0" w:firstLineChars="0"/>
                    <w:jc w:val="center"/>
                    <w:textAlignment w:val="auto"/>
                    <w:rPr>
                      <w:sz w:val="21"/>
                      <w:szCs w:val="21"/>
                    </w:rPr>
                  </w:pPr>
                  <w:r>
                    <w:rPr>
                      <w:sz w:val="21"/>
                      <w:szCs w:val="21"/>
                    </w:rPr>
                    <w:t>SS</w:t>
                  </w:r>
                </w:p>
              </w:tc>
              <w:tc>
                <w:tcPr>
                  <w:tcW w:w="1049" w:type="dxa"/>
                  <w:tcBorders>
                    <w:tl2br w:val="nil"/>
                    <w:tr2bl w:val="nil"/>
                  </w:tcBorders>
                  <w:vAlign w:val="center"/>
                </w:tcPr>
                <w:p w14:paraId="6A309D8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10</w:t>
                  </w:r>
                </w:p>
              </w:tc>
            </w:tr>
            <w:tr w14:paraId="73CE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continue"/>
                  <w:tcBorders>
                    <w:tl2br w:val="nil"/>
                    <w:tr2bl w:val="nil"/>
                  </w:tcBorders>
                  <w:vAlign w:val="center"/>
                </w:tcPr>
                <w:p w14:paraId="5D995F0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863" w:type="dxa"/>
                  <w:vMerge w:val="continue"/>
                  <w:tcBorders>
                    <w:tl2br w:val="nil"/>
                    <w:tr2bl w:val="nil"/>
                  </w:tcBorders>
                  <w:vAlign w:val="center"/>
                </w:tcPr>
                <w:p w14:paraId="25B9654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839" w:type="dxa"/>
                  <w:vMerge w:val="continue"/>
                  <w:tcBorders>
                    <w:tl2br w:val="nil"/>
                    <w:tr2bl w:val="nil"/>
                  </w:tcBorders>
                  <w:vAlign w:val="center"/>
                </w:tcPr>
                <w:p w14:paraId="0996007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91" w:type="dxa"/>
                  <w:vMerge w:val="continue"/>
                  <w:tcBorders>
                    <w:tl2br w:val="nil"/>
                    <w:tr2bl w:val="nil"/>
                  </w:tcBorders>
                  <w:vAlign w:val="center"/>
                </w:tcPr>
                <w:p w14:paraId="7BE8FF3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86" w:type="dxa"/>
                  <w:vMerge w:val="continue"/>
                  <w:tcBorders>
                    <w:tl2br w:val="nil"/>
                    <w:tr2bl w:val="nil"/>
                  </w:tcBorders>
                  <w:vAlign w:val="center"/>
                </w:tcPr>
                <w:p w14:paraId="0D8F2D1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12" w:type="dxa"/>
                  <w:vMerge w:val="continue"/>
                  <w:tcBorders>
                    <w:tl2br w:val="nil"/>
                    <w:tr2bl w:val="nil"/>
                  </w:tcBorders>
                  <w:vAlign w:val="center"/>
                </w:tcPr>
                <w:p w14:paraId="27FC46F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5" w:type="dxa"/>
                  <w:vMerge w:val="continue"/>
                  <w:tcBorders>
                    <w:tl2br w:val="nil"/>
                    <w:tr2bl w:val="nil"/>
                  </w:tcBorders>
                  <w:vAlign w:val="center"/>
                </w:tcPr>
                <w:p w14:paraId="37A4249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520" w:type="dxa"/>
                  <w:vMerge w:val="continue"/>
                  <w:tcBorders>
                    <w:tl2br w:val="nil"/>
                    <w:tr2bl w:val="nil"/>
                  </w:tcBorders>
                  <w:vAlign w:val="center"/>
                </w:tcPr>
                <w:p w14:paraId="509DC5A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2" w:type="dxa"/>
                  <w:vMerge w:val="continue"/>
                  <w:tcBorders>
                    <w:tl2br w:val="nil"/>
                    <w:tr2bl w:val="nil"/>
                  </w:tcBorders>
                  <w:vAlign w:val="center"/>
                </w:tcPr>
                <w:p w14:paraId="177950B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68" w:type="dxa"/>
                  <w:tcBorders>
                    <w:tl2br w:val="nil"/>
                    <w:tr2bl w:val="nil"/>
                  </w:tcBorders>
                  <w:vAlign w:val="center"/>
                </w:tcPr>
                <w:p w14:paraId="2B58F083">
                  <w:pPr>
                    <w:keepNext w:val="0"/>
                    <w:keepLines w:val="0"/>
                    <w:pageBreakBefore w:val="0"/>
                    <w:widowControl w:val="0"/>
                    <w:kinsoku/>
                    <w:wordWrap/>
                    <w:overflowPunct/>
                    <w:topLinePunct w:val="0"/>
                    <w:bidi w:val="0"/>
                    <w:spacing w:line="240" w:lineRule="auto"/>
                    <w:ind w:firstLine="0" w:firstLineChars="0"/>
                    <w:jc w:val="center"/>
                    <w:textAlignment w:val="auto"/>
                    <w:rPr>
                      <w:sz w:val="21"/>
                      <w:szCs w:val="21"/>
                    </w:rPr>
                  </w:pPr>
                  <w:r>
                    <w:rPr>
                      <w:sz w:val="21"/>
                      <w:szCs w:val="21"/>
                    </w:rPr>
                    <w:t>NH</w:t>
                  </w:r>
                  <w:r>
                    <w:rPr>
                      <w:sz w:val="21"/>
                      <w:szCs w:val="21"/>
                      <w:vertAlign w:val="subscript"/>
                    </w:rPr>
                    <w:t>3</w:t>
                  </w:r>
                  <w:r>
                    <w:rPr>
                      <w:sz w:val="21"/>
                      <w:szCs w:val="21"/>
                    </w:rPr>
                    <w:t>-N</w:t>
                  </w:r>
                </w:p>
              </w:tc>
              <w:tc>
                <w:tcPr>
                  <w:tcW w:w="1049" w:type="dxa"/>
                  <w:tcBorders>
                    <w:tl2br w:val="nil"/>
                    <w:tr2bl w:val="nil"/>
                  </w:tcBorders>
                  <w:vAlign w:val="center"/>
                </w:tcPr>
                <w:p w14:paraId="18C5DAF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rFonts w:hint="eastAsia"/>
                      <w:sz w:val="21"/>
                      <w:szCs w:val="21"/>
                    </w:rPr>
                    <w:t>5</w:t>
                  </w:r>
                </w:p>
              </w:tc>
            </w:tr>
            <w:tr w14:paraId="7E03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continue"/>
                  <w:tcBorders>
                    <w:tl2br w:val="nil"/>
                    <w:tr2bl w:val="nil"/>
                  </w:tcBorders>
                  <w:vAlign w:val="center"/>
                </w:tcPr>
                <w:p w14:paraId="62BF04F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863" w:type="dxa"/>
                  <w:vMerge w:val="continue"/>
                  <w:tcBorders>
                    <w:tl2br w:val="nil"/>
                    <w:tr2bl w:val="nil"/>
                  </w:tcBorders>
                  <w:vAlign w:val="center"/>
                </w:tcPr>
                <w:p w14:paraId="091CECA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839" w:type="dxa"/>
                  <w:vMerge w:val="continue"/>
                  <w:tcBorders>
                    <w:tl2br w:val="nil"/>
                    <w:tr2bl w:val="nil"/>
                  </w:tcBorders>
                  <w:vAlign w:val="center"/>
                </w:tcPr>
                <w:p w14:paraId="6BFE632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91" w:type="dxa"/>
                  <w:vMerge w:val="continue"/>
                  <w:tcBorders>
                    <w:tl2br w:val="nil"/>
                    <w:tr2bl w:val="nil"/>
                  </w:tcBorders>
                  <w:vAlign w:val="center"/>
                </w:tcPr>
                <w:p w14:paraId="4C22BAF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86" w:type="dxa"/>
                  <w:vMerge w:val="continue"/>
                  <w:tcBorders>
                    <w:tl2br w:val="nil"/>
                    <w:tr2bl w:val="nil"/>
                  </w:tcBorders>
                  <w:vAlign w:val="center"/>
                </w:tcPr>
                <w:p w14:paraId="045594E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12" w:type="dxa"/>
                  <w:vMerge w:val="continue"/>
                  <w:tcBorders>
                    <w:tl2br w:val="nil"/>
                    <w:tr2bl w:val="nil"/>
                  </w:tcBorders>
                  <w:vAlign w:val="center"/>
                </w:tcPr>
                <w:p w14:paraId="002A75B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5" w:type="dxa"/>
                  <w:vMerge w:val="continue"/>
                  <w:tcBorders>
                    <w:tl2br w:val="nil"/>
                    <w:tr2bl w:val="nil"/>
                  </w:tcBorders>
                  <w:vAlign w:val="center"/>
                </w:tcPr>
                <w:p w14:paraId="69E6FA5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520" w:type="dxa"/>
                  <w:vMerge w:val="continue"/>
                  <w:tcBorders>
                    <w:tl2br w:val="nil"/>
                    <w:tr2bl w:val="nil"/>
                  </w:tcBorders>
                  <w:vAlign w:val="center"/>
                </w:tcPr>
                <w:p w14:paraId="1A57D46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2" w:type="dxa"/>
                  <w:vMerge w:val="continue"/>
                  <w:tcBorders>
                    <w:tl2br w:val="nil"/>
                    <w:tr2bl w:val="nil"/>
                  </w:tcBorders>
                  <w:vAlign w:val="center"/>
                </w:tcPr>
                <w:p w14:paraId="09941EB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68" w:type="dxa"/>
                  <w:tcBorders>
                    <w:tl2br w:val="nil"/>
                    <w:tr2bl w:val="nil"/>
                  </w:tcBorders>
                  <w:vAlign w:val="center"/>
                </w:tcPr>
                <w:p w14:paraId="3ED63150">
                  <w:pPr>
                    <w:keepNext w:val="0"/>
                    <w:keepLines w:val="0"/>
                    <w:pageBreakBefore w:val="0"/>
                    <w:widowControl w:val="0"/>
                    <w:kinsoku/>
                    <w:wordWrap/>
                    <w:overflowPunct/>
                    <w:topLinePunct w:val="0"/>
                    <w:bidi w:val="0"/>
                    <w:spacing w:line="240" w:lineRule="auto"/>
                    <w:ind w:firstLine="0" w:firstLineChars="0"/>
                    <w:jc w:val="center"/>
                    <w:textAlignment w:val="auto"/>
                    <w:rPr>
                      <w:sz w:val="21"/>
                      <w:szCs w:val="21"/>
                    </w:rPr>
                  </w:pPr>
                  <w:r>
                    <w:rPr>
                      <w:sz w:val="21"/>
                      <w:szCs w:val="21"/>
                    </w:rPr>
                    <w:t>TP</w:t>
                  </w:r>
                </w:p>
              </w:tc>
              <w:tc>
                <w:tcPr>
                  <w:tcW w:w="1049" w:type="dxa"/>
                  <w:tcBorders>
                    <w:tl2br w:val="nil"/>
                    <w:tr2bl w:val="nil"/>
                  </w:tcBorders>
                  <w:vAlign w:val="center"/>
                </w:tcPr>
                <w:p w14:paraId="62655C0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0.</w:t>
                  </w:r>
                  <w:r>
                    <w:rPr>
                      <w:rFonts w:hint="eastAsia"/>
                      <w:sz w:val="21"/>
                      <w:szCs w:val="21"/>
                    </w:rPr>
                    <w:t>5</w:t>
                  </w:r>
                </w:p>
              </w:tc>
            </w:tr>
            <w:tr w14:paraId="6BB5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2" w:type="dxa"/>
                  <w:vMerge w:val="continue"/>
                  <w:tcBorders>
                    <w:tl2br w:val="nil"/>
                    <w:tr2bl w:val="nil"/>
                  </w:tcBorders>
                  <w:vAlign w:val="center"/>
                </w:tcPr>
                <w:p w14:paraId="66994827">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sz w:val="21"/>
                      <w:szCs w:val="21"/>
                    </w:rPr>
                  </w:pPr>
                </w:p>
              </w:tc>
              <w:tc>
                <w:tcPr>
                  <w:tcW w:w="863" w:type="dxa"/>
                  <w:vMerge w:val="continue"/>
                  <w:tcBorders>
                    <w:tl2br w:val="nil"/>
                    <w:tr2bl w:val="nil"/>
                  </w:tcBorders>
                  <w:vAlign w:val="center"/>
                </w:tcPr>
                <w:p w14:paraId="08EE3E86">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sz w:val="21"/>
                      <w:szCs w:val="21"/>
                    </w:rPr>
                  </w:pPr>
                </w:p>
              </w:tc>
              <w:tc>
                <w:tcPr>
                  <w:tcW w:w="839" w:type="dxa"/>
                  <w:vMerge w:val="continue"/>
                  <w:tcBorders>
                    <w:tl2br w:val="nil"/>
                    <w:tr2bl w:val="nil"/>
                  </w:tcBorders>
                  <w:vAlign w:val="center"/>
                </w:tcPr>
                <w:p w14:paraId="41254E5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91" w:type="dxa"/>
                  <w:vMerge w:val="continue"/>
                  <w:tcBorders>
                    <w:tl2br w:val="nil"/>
                    <w:tr2bl w:val="nil"/>
                  </w:tcBorders>
                  <w:vAlign w:val="center"/>
                </w:tcPr>
                <w:p w14:paraId="43A969F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86" w:type="dxa"/>
                  <w:vMerge w:val="continue"/>
                  <w:tcBorders>
                    <w:tl2br w:val="nil"/>
                    <w:tr2bl w:val="nil"/>
                  </w:tcBorders>
                  <w:vAlign w:val="center"/>
                </w:tcPr>
                <w:p w14:paraId="1B493D2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12" w:type="dxa"/>
                  <w:vMerge w:val="continue"/>
                  <w:tcBorders>
                    <w:tl2br w:val="nil"/>
                    <w:tr2bl w:val="nil"/>
                  </w:tcBorders>
                  <w:vAlign w:val="center"/>
                </w:tcPr>
                <w:p w14:paraId="0E82904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5" w:type="dxa"/>
                  <w:vMerge w:val="continue"/>
                  <w:tcBorders>
                    <w:tl2br w:val="nil"/>
                    <w:tr2bl w:val="nil"/>
                  </w:tcBorders>
                  <w:vAlign w:val="center"/>
                </w:tcPr>
                <w:p w14:paraId="656CDFD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520" w:type="dxa"/>
                  <w:vMerge w:val="continue"/>
                  <w:tcBorders>
                    <w:tl2br w:val="nil"/>
                    <w:tr2bl w:val="nil"/>
                  </w:tcBorders>
                  <w:vAlign w:val="center"/>
                </w:tcPr>
                <w:p w14:paraId="59A5DAC9">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692" w:type="dxa"/>
                  <w:vMerge w:val="continue"/>
                  <w:tcBorders>
                    <w:tl2br w:val="nil"/>
                    <w:tr2bl w:val="nil"/>
                  </w:tcBorders>
                  <w:vAlign w:val="center"/>
                </w:tcPr>
                <w:p w14:paraId="04091A7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p>
              </w:tc>
              <w:tc>
                <w:tcPr>
                  <w:tcW w:w="768" w:type="dxa"/>
                  <w:tcBorders>
                    <w:tl2br w:val="nil"/>
                    <w:tr2bl w:val="nil"/>
                  </w:tcBorders>
                  <w:vAlign w:val="center"/>
                </w:tcPr>
                <w:p w14:paraId="42938C7E">
                  <w:pPr>
                    <w:keepNext w:val="0"/>
                    <w:keepLines w:val="0"/>
                    <w:pageBreakBefore w:val="0"/>
                    <w:widowControl w:val="0"/>
                    <w:kinsoku/>
                    <w:wordWrap/>
                    <w:overflowPunct/>
                    <w:topLinePunct w:val="0"/>
                    <w:bidi w:val="0"/>
                    <w:spacing w:line="240" w:lineRule="auto"/>
                    <w:ind w:firstLine="0" w:firstLineChars="0"/>
                    <w:jc w:val="center"/>
                    <w:textAlignment w:val="auto"/>
                    <w:rPr>
                      <w:sz w:val="21"/>
                      <w:szCs w:val="21"/>
                    </w:rPr>
                  </w:pPr>
                  <w:r>
                    <w:rPr>
                      <w:sz w:val="21"/>
                      <w:szCs w:val="21"/>
                    </w:rPr>
                    <w:t>TN</w:t>
                  </w:r>
                </w:p>
              </w:tc>
              <w:tc>
                <w:tcPr>
                  <w:tcW w:w="1049" w:type="dxa"/>
                  <w:tcBorders>
                    <w:tl2br w:val="nil"/>
                    <w:tr2bl w:val="nil"/>
                  </w:tcBorders>
                  <w:vAlign w:val="center"/>
                </w:tcPr>
                <w:p w14:paraId="18A6795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1"/>
                      <w:szCs w:val="21"/>
                    </w:rPr>
                  </w:pPr>
                  <w:r>
                    <w:rPr>
                      <w:sz w:val="21"/>
                      <w:szCs w:val="21"/>
                    </w:rPr>
                    <w:t>15</w:t>
                  </w:r>
                </w:p>
              </w:tc>
            </w:tr>
          </w:tbl>
          <w:p w14:paraId="03EB8210">
            <w:pPr>
              <w:adjustRightInd w:val="0"/>
              <w:snapToGrid w:val="0"/>
              <w:spacing w:line="520" w:lineRule="atLeast"/>
              <w:ind w:firstLine="480"/>
              <w:rPr>
                <w:b/>
                <w:bCs/>
              </w:rPr>
            </w:pPr>
            <w:r>
              <w:rPr>
                <w:rFonts w:hint="eastAsia"/>
                <w:b/>
                <w:bCs w:val="0"/>
              </w:rPr>
              <w:t>2.3.3</w:t>
            </w:r>
            <w:r>
              <w:rPr>
                <w:b/>
                <w:bCs w:val="0"/>
              </w:rPr>
              <w:t>废水污染物排放</w:t>
            </w:r>
            <w:r>
              <w:rPr>
                <w:rFonts w:hint="eastAsia"/>
                <w:b/>
                <w:bCs w:val="0"/>
              </w:rPr>
              <w:t>量核算</w:t>
            </w:r>
          </w:p>
          <w:p w14:paraId="4CBDD50A">
            <w:pPr>
              <w:spacing w:line="520" w:lineRule="atLeast"/>
              <w:ind w:firstLine="1440" w:firstLineChars="600"/>
              <w:jc w:val="left"/>
              <w:rPr>
                <w:rFonts w:eastAsia="黑体"/>
                <w:kern w:val="1"/>
              </w:rPr>
            </w:pPr>
            <w:r>
              <w:rPr>
                <w:rFonts w:eastAsia="黑体"/>
                <w:kern w:val="1"/>
              </w:rPr>
              <w:t>表</w:t>
            </w:r>
            <w:r>
              <w:rPr>
                <w:rFonts w:hint="eastAsia" w:eastAsia="黑体"/>
                <w:kern w:val="1"/>
              </w:rPr>
              <w:t xml:space="preserve">4-11    </w:t>
            </w:r>
            <w:r>
              <w:rPr>
                <w:rFonts w:eastAsia="黑体"/>
                <w:kern w:val="1"/>
              </w:rPr>
              <w:t>项目废水间接排放口基本情况表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957"/>
              <w:gridCol w:w="1334"/>
              <w:gridCol w:w="1764"/>
              <w:gridCol w:w="2292"/>
            </w:tblGrid>
            <w:tr w14:paraId="78E2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4DD8FC24">
                  <w:pPr>
                    <w:spacing w:line="240" w:lineRule="auto"/>
                    <w:ind w:firstLine="0" w:firstLineChars="0"/>
                    <w:jc w:val="center"/>
                    <w:rPr>
                      <w:b/>
                      <w:sz w:val="21"/>
                      <w:szCs w:val="21"/>
                      <w:lang w:val="pt-BR"/>
                    </w:rPr>
                  </w:pPr>
                  <w:r>
                    <w:rPr>
                      <w:b/>
                      <w:sz w:val="21"/>
                      <w:szCs w:val="21"/>
                    </w:rPr>
                    <w:t>序号</w:t>
                  </w:r>
                </w:p>
              </w:tc>
              <w:tc>
                <w:tcPr>
                  <w:tcW w:w="1205" w:type="pct"/>
                  <w:tcBorders>
                    <w:tl2br w:val="nil"/>
                    <w:tr2bl w:val="nil"/>
                  </w:tcBorders>
                  <w:vAlign w:val="center"/>
                </w:tcPr>
                <w:p w14:paraId="673DA85E">
                  <w:pPr>
                    <w:spacing w:line="240" w:lineRule="auto"/>
                    <w:ind w:firstLine="0" w:firstLineChars="0"/>
                    <w:jc w:val="center"/>
                    <w:rPr>
                      <w:b/>
                      <w:sz w:val="21"/>
                      <w:szCs w:val="21"/>
                      <w:lang w:val="pt-BR"/>
                    </w:rPr>
                  </w:pPr>
                  <w:r>
                    <w:rPr>
                      <w:b/>
                      <w:sz w:val="21"/>
                      <w:szCs w:val="21"/>
                    </w:rPr>
                    <w:t>排放口编号</w:t>
                  </w:r>
                </w:p>
              </w:tc>
              <w:tc>
                <w:tcPr>
                  <w:tcW w:w="822" w:type="pct"/>
                  <w:tcBorders>
                    <w:tl2br w:val="nil"/>
                    <w:tr2bl w:val="nil"/>
                  </w:tcBorders>
                  <w:vAlign w:val="center"/>
                </w:tcPr>
                <w:p w14:paraId="0EF7D714">
                  <w:pPr>
                    <w:spacing w:line="240" w:lineRule="auto"/>
                    <w:ind w:firstLine="0" w:firstLineChars="0"/>
                    <w:jc w:val="center"/>
                    <w:rPr>
                      <w:b/>
                      <w:sz w:val="21"/>
                      <w:szCs w:val="21"/>
                      <w:lang w:val="pt-BR"/>
                    </w:rPr>
                  </w:pPr>
                  <w:r>
                    <w:rPr>
                      <w:b/>
                      <w:sz w:val="21"/>
                      <w:szCs w:val="21"/>
                    </w:rPr>
                    <w:t>污染物种类</w:t>
                  </w:r>
                </w:p>
              </w:tc>
              <w:tc>
                <w:tcPr>
                  <w:tcW w:w="1087" w:type="pct"/>
                  <w:tcBorders>
                    <w:tl2br w:val="nil"/>
                    <w:tr2bl w:val="nil"/>
                  </w:tcBorders>
                  <w:vAlign w:val="center"/>
                </w:tcPr>
                <w:p w14:paraId="021E664D">
                  <w:pPr>
                    <w:spacing w:line="240" w:lineRule="auto"/>
                    <w:ind w:firstLine="0" w:firstLineChars="0"/>
                    <w:jc w:val="center"/>
                    <w:rPr>
                      <w:b/>
                      <w:sz w:val="21"/>
                      <w:szCs w:val="21"/>
                      <w:lang w:val="pt-BR"/>
                    </w:rPr>
                  </w:pPr>
                  <w:r>
                    <w:rPr>
                      <w:b/>
                      <w:sz w:val="21"/>
                      <w:szCs w:val="21"/>
                    </w:rPr>
                    <w:t>排放浓度</w:t>
                  </w:r>
                  <w:r>
                    <w:rPr>
                      <w:b/>
                      <w:sz w:val="21"/>
                      <w:szCs w:val="21"/>
                      <w:lang w:val="pt-BR"/>
                    </w:rPr>
                    <w:t>（mg/L）</w:t>
                  </w:r>
                </w:p>
              </w:tc>
              <w:tc>
                <w:tcPr>
                  <w:tcW w:w="1412" w:type="pct"/>
                  <w:tcBorders>
                    <w:tl2br w:val="nil"/>
                    <w:tr2bl w:val="nil"/>
                  </w:tcBorders>
                  <w:vAlign w:val="center"/>
                </w:tcPr>
                <w:p w14:paraId="415619A0">
                  <w:pPr>
                    <w:spacing w:line="240" w:lineRule="auto"/>
                    <w:ind w:firstLine="0" w:firstLineChars="0"/>
                    <w:jc w:val="center"/>
                    <w:rPr>
                      <w:b/>
                      <w:sz w:val="21"/>
                      <w:szCs w:val="21"/>
                      <w:lang w:val="pt-BR"/>
                    </w:rPr>
                  </w:pPr>
                  <w:r>
                    <w:rPr>
                      <w:b/>
                      <w:sz w:val="21"/>
                      <w:szCs w:val="21"/>
                    </w:rPr>
                    <w:t>年排放量</w:t>
                  </w:r>
                  <w:r>
                    <w:rPr>
                      <w:b/>
                      <w:sz w:val="21"/>
                      <w:szCs w:val="21"/>
                      <w:lang w:val="pt-BR"/>
                    </w:rPr>
                    <w:t>（t/a）</w:t>
                  </w:r>
                </w:p>
              </w:tc>
            </w:tr>
            <w:tr w14:paraId="3473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48555A17">
                  <w:pPr>
                    <w:snapToGrid w:val="0"/>
                    <w:spacing w:line="240" w:lineRule="auto"/>
                    <w:ind w:firstLine="0" w:firstLineChars="0"/>
                    <w:jc w:val="center"/>
                    <w:rPr>
                      <w:sz w:val="21"/>
                      <w:szCs w:val="21"/>
                      <w:lang w:val="pt-BR"/>
                    </w:rPr>
                  </w:pPr>
                  <w:r>
                    <w:rPr>
                      <w:sz w:val="21"/>
                      <w:szCs w:val="21"/>
                      <w:lang w:val="pt-BR"/>
                    </w:rPr>
                    <w:t>1</w:t>
                  </w:r>
                </w:p>
              </w:tc>
              <w:tc>
                <w:tcPr>
                  <w:tcW w:w="1205" w:type="pct"/>
                  <w:vMerge w:val="restart"/>
                  <w:tcBorders>
                    <w:tl2br w:val="nil"/>
                    <w:tr2bl w:val="nil"/>
                  </w:tcBorders>
                  <w:vAlign w:val="center"/>
                </w:tcPr>
                <w:p w14:paraId="228C54F4">
                  <w:pPr>
                    <w:snapToGrid w:val="0"/>
                    <w:spacing w:line="240" w:lineRule="auto"/>
                    <w:ind w:firstLine="0" w:firstLineChars="0"/>
                    <w:jc w:val="center"/>
                    <w:rPr>
                      <w:sz w:val="21"/>
                      <w:szCs w:val="21"/>
                      <w:lang w:val="pt-BR"/>
                    </w:rPr>
                  </w:pPr>
                  <w:r>
                    <w:rPr>
                      <w:sz w:val="21"/>
                      <w:szCs w:val="21"/>
                      <w:lang w:val="pt-BR"/>
                    </w:rPr>
                    <w:t>DW001（</w:t>
                  </w:r>
                  <w:r>
                    <w:rPr>
                      <w:rFonts w:hint="eastAsia"/>
                      <w:sz w:val="21"/>
                      <w:szCs w:val="21"/>
                    </w:rPr>
                    <w:t>360</w:t>
                  </w:r>
                  <w:r>
                    <w:rPr>
                      <w:sz w:val="21"/>
                      <w:szCs w:val="21"/>
                    </w:rPr>
                    <w:t>m</w:t>
                  </w:r>
                  <w:r>
                    <w:rPr>
                      <w:sz w:val="21"/>
                      <w:szCs w:val="21"/>
                      <w:vertAlign w:val="superscript"/>
                    </w:rPr>
                    <w:t>3</w:t>
                  </w:r>
                  <w:r>
                    <w:rPr>
                      <w:sz w:val="21"/>
                      <w:szCs w:val="21"/>
                      <w:lang w:val="pt-BR"/>
                    </w:rPr>
                    <w:t>/</w:t>
                  </w:r>
                  <w:r>
                    <w:rPr>
                      <w:sz w:val="21"/>
                      <w:szCs w:val="21"/>
                    </w:rPr>
                    <w:t>a</w:t>
                  </w:r>
                  <w:r>
                    <w:rPr>
                      <w:sz w:val="21"/>
                      <w:szCs w:val="21"/>
                      <w:lang w:val="pt-BR"/>
                    </w:rPr>
                    <w:t>）</w:t>
                  </w:r>
                </w:p>
              </w:tc>
              <w:tc>
                <w:tcPr>
                  <w:tcW w:w="822" w:type="pct"/>
                  <w:tcBorders>
                    <w:tl2br w:val="nil"/>
                    <w:tr2bl w:val="nil"/>
                  </w:tcBorders>
                  <w:vAlign w:val="center"/>
                </w:tcPr>
                <w:p w14:paraId="10F2C72D">
                  <w:pPr>
                    <w:spacing w:line="240" w:lineRule="auto"/>
                    <w:ind w:firstLine="0" w:firstLineChars="0"/>
                    <w:jc w:val="center"/>
                    <w:rPr>
                      <w:sz w:val="21"/>
                      <w:szCs w:val="21"/>
                      <w:lang w:val="pt-BR"/>
                    </w:rPr>
                  </w:pPr>
                  <w:r>
                    <w:rPr>
                      <w:bCs/>
                      <w:spacing w:val="-4"/>
                      <w:sz w:val="21"/>
                      <w:szCs w:val="21"/>
                      <w:lang w:val="pt-BR"/>
                    </w:rPr>
                    <w:t>COD</w:t>
                  </w:r>
                </w:p>
              </w:tc>
              <w:tc>
                <w:tcPr>
                  <w:tcW w:w="1087" w:type="pct"/>
                  <w:tcBorders>
                    <w:tl2br w:val="nil"/>
                    <w:tr2bl w:val="nil"/>
                  </w:tcBorders>
                  <w:vAlign w:val="center"/>
                </w:tcPr>
                <w:p w14:paraId="0029D811">
                  <w:pPr>
                    <w:snapToGrid w:val="0"/>
                    <w:spacing w:line="240" w:lineRule="auto"/>
                    <w:ind w:firstLine="0" w:firstLineChars="0"/>
                    <w:jc w:val="center"/>
                    <w:rPr>
                      <w:sz w:val="21"/>
                      <w:szCs w:val="21"/>
                    </w:rPr>
                  </w:pPr>
                  <w:r>
                    <w:rPr>
                      <w:sz w:val="21"/>
                      <w:szCs w:val="21"/>
                    </w:rPr>
                    <w:t>280</w:t>
                  </w:r>
                </w:p>
              </w:tc>
              <w:tc>
                <w:tcPr>
                  <w:tcW w:w="1412" w:type="pct"/>
                  <w:tcBorders>
                    <w:tl2br w:val="nil"/>
                    <w:tr2bl w:val="nil"/>
                  </w:tcBorders>
                  <w:vAlign w:val="center"/>
                </w:tcPr>
                <w:p w14:paraId="023356FE">
                  <w:pPr>
                    <w:widowControl/>
                    <w:spacing w:line="240" w:lineRule="auto"/>
                    <w:ind w:firstLine="0" w:firstLineChars="0"/>
                    <w:jc w:val="center"/>
                    <w:textAlignment w:val="center"/>
                    <w:rPr>
                      <w:sz w:val="21"/>
                      <w:szCs w:val="21"/>
                    </w:rPr>
                  </w:pPr>
                  <w:r>
                    <w:rPr>
                      <w:color w:val="000000"/>
                      <w:kern w:val="0"/>
                      <w:sz w:val="21"/>
                      <w:szCs w:val="21"/>
                      <w:lang w:bidi="ar"/>
                    </w:rPr>
                    <w:t xml:space="preserve">0.1008 </w:t>
                  </w:r>
                </w:p>
              </w:tc>
            </w:tr>
            <w:tr w14:paraId="034C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1CD096BF">
                  <w:pPr>
                    <w:snapToGrid w:val="0"/>
                    <w:spacing w:line="240" w:lineRule="auto"/>
                    <w:ind w:firstLine="0" w:firstLineChars="0"/>
                    <w:jc w:val="center"/>
                    <w:rPr>
                      <w:sz w:val="21"/>
                      <w:szCs w:val="21"/>
                    </w:rPr>
                  </w:pPr>
                  <w:r>
                    <w:rPr>
                      <w:rFonts w:hint="eastAsia"/>
                      <w:sz w:val="21"/>
                      <w:szCs w:val="21"/>
                    </w:rPr>
                    <w:t>2</w:t>
                  </w:r>
                </w:p>
              </w:tc>
              <w:tc>
                <w:tcPr>
                  <w:tcW w:w="1205" w:type="pct"/>
                  <w:vMerge w:val="continue"/>
                  <w:tcBorders>
                    <w:tl2br w:val="nil"/>
                    <w:tr2bl w:val="nil"/>
                  </w:tcBorders>
                  <w:vAlign w:val="center"/>
                </w:tcPr>
                <w:p w14:paraId="133C0A30">
                  <w:pPr>
                    <w:snapToGrid w:val="0"/>
                    <w:spacing w:line="240" w:lineRule="auto"/>
                    <w:ind w:firstLine="0" w:firstLineChars="0"/>
                    <w:jc w:val="center"/>
                    <w:rPr>
                      <w:sz w:val="21"/>
                      <w:szCs w:val="21"/>
                      <w:lang w:val="pt-BR"/>
                    </w:rPr>
                  </w:pPr>
                </w:p>
              </w:tc>
              <w:tc>
                <w:tcPr>
                  <w:tcW w:w="822" w:type="pct"/>
                  <w:tcBorders>
                    <w:tl2br w:val="nil"/>
                    <w:tr2bl w:val="nil"/>
                  </w:tcBorders>
                  <w:vAlign w:val="center"/>
                </w:tcPr>
                <w:p w14:paraId="2391DDAA">
                  <w:pPr>
                    <w:spacing w:line="240" w:lineRule="auto"/>
                    <w:ind w:firstLine="0" w:firstLineChars="0"/>
                    <w:jc w:val="center"/>
                    <w:rPr>
                      <w:bCs/>
                      <w:spacing w:val="-4"/>
                      <w:sz w:val="21"/>
                      <w:szCs w:val="21"/>
                      <w:lang w:val="pt-BR"/>
                    </w:rPr>
                  </w:pPr>
                  <w:r>
                    <w:rPr>
                      <w:bCs/>
                      <w:spacing w:val="-4"/>
                      <w:sz w:val="21"/>
                      <w:szCs w:val="21"/>
                      <w:lang w:val="pt-BR"/>
                    </w:rPr>
                    <w:t>SS</w:t>
                  </w:r>
                </w:p>
              </w:tc>
              <w:tc>
                <w:tcPr>
                  <w:tcW w:w="1087" w:type="pct"/>
                  <w:tcBorders>
                    <w:tl2br w:val="nil"/>
                    <w:tr2bl w:val="nil"/>
                  </w:tcBorders>
                  <w:vAlign w:val="center"/>
                </w:tcPr>
                <w:p w14:paraId="17FA43F4">
                  <w:pPr>
                    <w:snapToGrid w:val="0"/>
                    <w:spacing w:line="240" w:lineRule="auto"/>
                    <w:ind w:firstLine="0" w:firstLineChars="0"/>
                    <w:jc w:val="center"/>
                    <w:rPr>
                      <w:sz w:val="21"/>
                      <w:szCs w:val="21"/>
                    </w:rPr>
                  </w:pPr>
                  <w:r>
                    <w:rPr>
                      <w:sz w:val="21"/>
                      <w:szCs w:val="21"/>
                    </w:rPr>
                    <w:t>140</w:t>
                  </w:r>
                </w:p>
              </w:tc>
              <w:tc>
                <w:tcPr>
                  <w:tcW w:w="1412" w:type="pct"/>
                  <w:tcBorders>
                    <w:tl2br w:val="nil"/>
                    <w:tr2bl w:val="nil"/>
                  </w:tcBorders>
                  <w:vAlign w:val="center"/>
                </w:tcPr>
                <w:p w14:paraId="6E740300">
                  <w:pPr>
                    <w:widowControl/>
                    <w:spacing w:line="240" w:lineRule="auto"/>
                    <w:ind w:firstLine="0" w:firstLineChars="0"/>
                    <w:jc w:val="center"/>
                    <w:textAlignment w:val="center"/>
                    <w:rPr>
                      <w:sz w:val="21"/>
                      <w:szCs w:val="21"/>
                    </w:rPr>
                  </w:pPr>
                  <w:r>
                    <w:rPr>
                      <w:color w:val="000000"/>
                      <w:kern w:val="0"/>
                      <w:sz w:val="21"/>
                      <w:szCs w:val="21"/>
                      <w:lang w:bidi="ar"/>
                    </w:rPr>
                    <w:t xml:space="preserve">0.0504 </w:t>
                  </w:r>
                </w:p>
              </w:tc>
            </w:tr>
            <w:tr w14:paraId="1FF1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3609E2E1">
                  <w:pPr>
                    <w:snapToGrid w:val="0"/>
                    <w:spacing w:line="240" w:lineRule="auto"/>
                    <w:ind w:firstLine="0" w:firstLineChars="0"/>
                    <w:jc w:val="center"/>
                    <w:rPr>
                      <w:sz w:val="21"/>
                      <w:szCs w:val="21"/>
                      <w:lang w:val="pt-BR"/>
                    </w:rPr>
                  </w:pPr>
                  <w:r>
                    <w:rPr>
                      <w:sz w:val="21"/>
                      <w:szCs w:val="21"/>
                      <w:lang w:val="pt-BR"/>
                    </w:rPr>
                    <w:t>3</w:t>
                  </w:r>
                </w:p>
              </w:tc>
              <w:tc>
                <w:tcPr>
                  <w:tcW w:w="1205" w:type="pct"/>
                  <w:vMerge w:val="continue"/>
                  <w:tcBorders>
                    <w:tl2br w:val="nil"/>
                    <w:tr2bl w:val="nil"/>
                  </w:tcBorders>
                  <w:vAlign w:val="center"/>
                </w:tcPr>
                <w:p w14:paraId="6B75D0EE">
                  <w:pPr>
                    <w:snapToGrid w:val="0"/>
                    <w:spacing w:line="240" w:lineRule="auto"/>
                    <w:ind w:firstLine="0" w:firstLineChars="0"/>
                    <w:jc w:val="center"/>
                    <w:rPr>
                      <w:sz w:val="21"/>
                      <w:szCs w:val="21"/>
                      <w:lang w:val="pt-BR"/>
                    </w:rPr>
                  </w:pPr>
                </w:p>
              </w:tc>
              <w:tc>
                <w:tcPr>
                  <w:tcW w:w="822" w:type="pct"/>
                  <w:tcBorders>
                    <w:tl2br w:val="nil"/>
                    <w:tr2bl w:val="nil"/>
                  </w:tcBorders>
                  <w:vAlign w:val="center"/>
                </w:tcPr>
                <w:p w14:paraId="53D6E0FB">
                  <w:pPr>
                    <w:spacing w:line="240" w:lineRule="auto"/>
                    <w:ind w:firstLine="0" w:firstLineChars="0"/>
                    <w:jc w:val="center"/>
                    <w:rPr>
                      <w:sz w:val="21"/>
                      <w:szCs w:val="21"/>
                      <w:lang w:val="pt-BR"/>
                    </w:rPr>
                  </w:pPr>
                  <w:r>
                    <w:rPr>
                      <w:bCs/>
                      <w:spacing w:val="-4"/>
                      <w:sz w:val="21"/>
                      <w:szCs w:val="21"/>
                      <w:lang w:val="pt-BR"/>
                    </w:rPr>
                    <w:t>NH</w:t>
                  </w:r>
                  <w:r>
                    <w:rPr>
                      <w:bCs/>
                      <w:spacing w:val="-4"/>
                      <w:sz w:val="21"/>
                      <w:szCs w:val="21"/>
                      <w:vertAlign w:val="subscript"/>
                      <w:lang w:val="pt-BR"/>
                    </w:rPr>
                    <w:t>3</w:t>
                  </w:r>
                  <w:r>
                    <w:rPr>
                      <w:bCs/>
                      <w:spacing w:val="-4"/>
                      <w:sz w:val="21"/>
                      <w:szCs w:val="21"/>
                      <w:lang w:val="pt-BR"/>
                    </w:rPr>
                    <w:t>-N</w:t>
                  </w:r>
                </w:p>
              </w:tc>
              <w:tc>
                <w:tcPr>
                  <w:tcW w:w="1087" w:type="pct"/>
                  <w:tcBorders>
                    <w:tl2br w:val="nil"/>
                    <w:tr2bl w:val="nil"/>
                  </w:tcBorders>
                  <w:vAlign w:val="center"/>
                </w:tcPr>
                <w:p w14:paraId="0F2E530D">
                  <w:pPr>
                    <w:snapToGrid w:val="0"/>
                    <w:spacing w:line="240" w:lineRule="auto"/>
                    <w:ind w:firstLine="0" w:firstLineChars="0"/>
                    <w:jc w:val="center"/>
                    <w:rPr>
                      <w:sz w:val="21"/>
                      <w:szCs w:val="21"/>
                    </w:rPr>
                  </w:pPr>
                  <w:r>
                    <w:rPr>
                      <w:sz w:val="21"/>
                      <w:szCs w:val="21"/>
                    </w:rPr>
                    <w:t>25</w:t>
                  </w:r>
                </w:p>
              </w:tc>
              <w:tc>
                <w:tcPr>
                  <w:tcW w:w="1412" w:type="pct"/>
                  <w:tcBorders>
                    <w:tl2br w:val="nil"/>
                    <w:tr2bl w:val="nil"/>
                  </w:tcBorders>
                  <w:vAlign w:val="center"/>
                </w:tcPr>
                <w:p w14:paraId="7115FD0C">
                  <w:pPr>
                    <w:widowControl/>
                    <w:spacing w:line="240" w:lineRule="auto"/>
                    <w:ind w:firstLine="0" w:firstLineChars="0"/>
                    <w:jc w:val="center"/>
                    <w:textAlignment w:val="center"/>
                    <w:rPr>
                      <w:sz w:val="21"/>
                      <w:szCs w:val="21"/>
                    </w:rPr>
                  </w:pPr>
                  <w:r>
                    <w:rPr>
                      <w:color w:val="000000"/>
                      <w:kern w:val="0"/>
                      <w:sz w:val="21"/>
                      <w:szCs w:val="21"/>
                      <w:lang w:bidi="ar"/>
                    </w:rPr>
                    <w:t xml:space="preserve">0.009 </w:t>
                  </w:r>
                </w:p>
              </w:tc>
            </w:tr>
            <w:tr w14:paraId="5460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2F070E7D">
                  <w:pPr>
                    <w:snapToGrid w:val="0"/>
                    <w:spacing w:line="240" w:lineRule="auto"/>
                    <w:ind w:firstLine="0" w:firstLineChars="0"/>
                    <w:jc w:val="center"/>
                    <w:rPr>
                      <w:sz w:val="21"/>
                      <w:szCs w:val="21"/>
                      <w:lang w:val="pt-BR"/>
                    </w:rPr>
                  </w:pPr>
                  <w:r>
                    <w:rPr>
                      <w:sz w:val="21"/>
                      <w:szCs w:val="21"/>
                      <w:lang w:val="pt-BR"/>
                    </w:rPr>
                    <w:t>4</w:t>
                  </w:r>
                </w:p>
              </w:tc>
              <w:tc>
                <w:tcPr>
                  <w:tcW w:w="1205" w:type="pct"/>
                  <w:vMerge w:val="continue"/>
                  <w:tcBorders>
                    <w:tl2br w:val="nil"/>
                    <w:tr2bl w:val="nil"/>
                  </w:tcBorders>
                  <w:vAlign w:val="center"/>
                </w:tcPr>
                <w:p w14:paraId="553C3A43">
                  <w:pPr>
                    <w:snapToGrid w:val="0"/>
                    <w:spacing w:line="240" w:lineRule="auto"/>
                    <w:ind w:firstLine="0" w:firstLineChars="0"/>
                    <w:jc w:val="center"/>
                    <w:rPr>
                      <w:sz w:val="21"/>
                      <w:szCs w:val="21"/>
                      <w:lang w:val="pt-BR"/>
                    </w:rPr>
                  </w:pPr>
                </w:p>
              </w:tc>
              <w:tc>
                <w:tcPr>
                  <w:tcW w:w="822" w:type="pct"/>
                  <w:tcBorders>
                    <w:tl2br w:val="nil"/>
                    <w:tr2bl w:val="nil"/>
                  </w:tcBorders>
                  <w:vAlign w:val="center"/>
                </w:tcPr>
                <w:p w14:paraId="79A0C81C">
                  <w:pPr>
                    <w:spacing w:line="240" w:lineRule="auto"/>
                    <w:ind w:firstLine="0" w:firstLineChars="0"/>
                    <w:jc w:val="center"/>
                    <w:rPr>
                      <w:sz w:val="21"/>
                      <w:szCs w:val="21"/>
                      <w:lang w:val="pt-BR"/>
                    </w:rPr>
                  </w:pPr>
                  <w:r>
                    <w:rPr>
                      <w:bCs/>
                      <w:spacing w:val="-4"/>
                      <w:sz w:val="21"/>
                      <w:szCs w:val="21"/>
                      <w:lang w:val="pt-BR"/>
                    </w:rPr>
                    <w:t>TP</w:t>
                  </w:r>
                </w:p>
              </w:tc>
              <w:tc>
                <w:tcPr>
                  <w:tcW w:w="1087" w:type="pct"/>
                  <w:tcBorders>
                    <w:tl2br w:val="nil"/>
                    <w:tr2bl w:val="nil"/>
                  </w:tcBorders>
                  <w:vAlign w:val="center"/>
                </w:tcPr>
                <w:p w14:paraId="75CB8CD5">
                  <w:pPr>
                    <w:snapToGrid w:val="0"/>
                    <w:spacing w:line="240" w:lineRule="auto"/>
                    <w:ind w:firstLine="0" w:firstLineChars="0"/>
                    <w:jc w:val="center"/>
                    <w:rPr>
                      <w:sz w:val="21"/>
                      <w:szCs w:val="21"/>
                    </w:rPr>
                  </w:pPr>
                  <w:r>
                    <w:rPr>
                      <w:sz w:val="21"/>
                      <w:szCs w:val="21"/>
                    </w:rPr>
                    <w:t>2</w:t>
                  </w:r>
                </w:p>
              </w:tc>
              <w:tc>
                <w:tcPr>
                  <w:tcW w:w="1412" w:type="pct"/>
                  <w:tcBorders>
                    <w:tl2br w:val="nil"/>
                    <w:tr2bl w:val="nil"/>
                  </w:tcBorders>
                  <w:vAlign w:val="center"/>
                </w:tcPr>
                <w:p w14:paraId="5E31C6DD">
                  <w:pPr>
                    <w:widowControl/>
                    <w:spacing w:line="240" w:lineRule="auto"/>
                    <w:ind w:firstLine="0" w:firstLineChars="0"/>
                    <w:jc w:val="center"/>
                    <w:textAlignment w:val="center"/>
                    <w:rPr>
                      <w:sz w:val="21"/>
                      <w:szCs w:val="21"/>
                    </w:rPr>
                  </w:pPr>
                  <w:r>
                    <w:rPr>
                      <w:color w:val="000000"/>
                      <w:kern w:val="0"/>
                      <w:sz w:val="21"/>
                      <w:szCs w:val="21"/>
                      <w:lang w:bidi="ar"/>
                    </w:rPr>
                    <w:t xml:space="preserve">0.0007 </w:t>
                  </w:r>
                </w:p>
              </w:tc>
            </w:tr>
            <w:tr w14:paraId="4096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1D61F452">
                  <w:pPr>
                    <w:snapToGrid w:val="0"/>
                    <w:spacing w:line="240" w:lineRule="auto"/>
                    <w:ind w:firstLine="0" w:firstLineChars="0"/>
                    <w:jc w:val="center"/>
                    <w:rPr>
                      <w:sz w:val="21"/>
                      <w:szCs w:val="21"/>
                      <w:lang w:val="pt-BR"/>
                    </w:rPr>
                  </w:pPr>
                  <w:r>
                    <w:rPr>
                      <w:sz w:val="21"/>
                      <w:szCs w:val="21"/>
                      <w:lang w:val="pt-BR"/>
                    </w:rPr>
                    <w:t>5</w:t>
                  </w:r>
                </w:p>
              </w:tc>
              <w:tc>
                <w:tcPr>
                  <w:tcW w:w="1205" w:type="pct"/>
                  <w:vMerge w:val="continue"/>
                  <w:tcBorders>
                    <w:tl2br w:val="nil"/>
                    <w:tr2bl w:val="nil"/>
                  </w:tcBorders>
                  <w:vAlign w:val="center"/>
                </w:tcPr>
                <w:p w14:paraId="1CFE9D8D">
                  <w:pPr>
                    <w:snapToGrid w:val="0"/>
                    <w:spacing w:line="240" w:lineRule="auto"/>
                    <w:ind w:firstLine="0" w:firstLineChars="0"/>
                    <w:jc w:val="center"/>
                    <w:rPr>
                      <w:sz w:val="21"/>
                      <w:szCs w:val="21"/>
                      <w:lang w:val="pt-BR"/>
                    </w:rPr>
                  </w:pPr>
                </w:p>
              </w:tc>
              <w:tc>
                <w:tcPr>
                  <w:tcW w:w="822" w:type="pct"/>
                  <w:tcBorders>
                    <w:tl2br w:val="nil"/>
                    <w:tr2bl w:val="nil"/>
                  </w:tcBorders>
                  <w:vAlign w:val="center"/>
                </w:tcPr>
                <w:p w14:paraId="11205531">
                  <w:pPr>
                    <w:spacing w:line="240" w:lineRule="auto"/>
                    <w:ind w:firstLine="0" w:firstLineChars="0"/>
                    <w:jc w:val="center"/>
                    <w:rPr>
                      <w:bCs/>
                      <w:spacing w:val="-4"/>
                      <w:sz w:val="21"/>
                      <w:szCs w:val="21"/>
                    </w:rPr>
                  </w:pPr>
                  <w:r>
                    <w:rPr>
                      <w:bCs/>
                      <w:spacing w:val="-4"/>
                      <w:sz w:val="21"/>
                      <w:szCs w:val="21"/>
                    </w:rPr>
                    <w:t>TN</w:t>
                  </w:r>
                </w:p>
              </w:tc>
              <w:tc>
                <w:tcPr>
                  <w:tcW w:w="1087" w:type="pct"/>
                  <w:tcBorders>
                    <w:tl2br w:val="nil"/>
                    <w:tr2bl w:val="nil"/>
                  </w:tcBorders>
                  <w:vAlign w:val="center"/>
                </w:tcPr>
                <w:p w14:paraId="0E1BF127">
                  <w:pPr>
                    <w:snapToGrid w:val="0"/>
                    <w:spacing w:line="240" w:lineRule="auto"/>
                    <w:ind w:firstLine="0" w:firstLineChars="0"/>
                    <w:jc w:val="center"/>
                    <w:rPr>
                      <w:sz w:val="21"/>
                      <w:szCs w:val="21"/>
                    </w:rPr>
                  </w:pPr>
                  <w:r>
                    <w:rPr>
                      <w:sz w:val="21"/>
                      <w:szCs w:val="21"/>
                    </w:rPr>
                    <w:t>30</w:t>
                  </w:r>
                </w:p>
              </w:tc>
              <w:tc>
                <w:tcPr>
                  <w:tcW w:w="1412" w:type="pct"/>
                  <w:tcBorders>
                    <w:tl2br w:val="nil"/>
                    <w:tr2bl w:val="nil"/>
                  </w:tcBorders>
                  <w:vAlign w:val="center"/>
                </w:tcPr>
                <w:p w14:paraId="6021D72F">
                  <w:pPr>
                    <w:widowControl/>
                    <w:spacing w:line="240" w:lineRule="auto"/>
                    <w:ind w:firstLine="0" w:firstLineChars="0"/>
                    <w:jc w:val="center"/>
                    <w:textAlignment w:val="center"/>
                    <w:rPr>
                      <w:sz w:val="21"/>
                      <w:szCs w:val="21"/>
                    </w:rPr>
                  </w:pPr>
                  <w:r>
                    <w:rPr>
                      <w:color w:val="000000"/>
                      <w:kern w:val="0"/>
                      <w:sz w:val="21"/>
                      <w:szCs w:val="21"/>
                      <w:lang w:bidi="ar"/>
                    </w:rPr>
                    <w:t xml:space="preserve">0.0108 </w:t>
                  </w:r>
                </w:p>
              </w:tc>
            </w:tr>
            <w:tr w14:paraId="3433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69E28496">
                  <w:pPr>
                    <w:snapToGrid w:val="0"/>
                    <w:spacing w:line="240" w:lineRule="auto"/>
                    <w:ind w:firstLine="0" w:firstLineChars="0"/>
                    <w:jc w:val="center"/>
                    <w:rPr>
                      <w:sz w:val="21"/>
                      <w:szCs w:val="21"/>
                      <w:lang w:val="pt-BR"/>
                    </w:rPr>
                  </w:pPr>
                  <w:r>
                    <w:rPr>
                      <w:sz w:val="21"/>
                      <w:szCs w:val="21"/>
                      <w:lang w:val="pt-BR"/>
                    </w:rPr>
                    <w:t>1</w:t>
                  </w:r>
                </w:p>
              </w:tc>
              <w:tc>
                <w:tcPr>
                  <w:tcW w:w="1205" w:type="pct"/>
                  <w:vMerge w:val="restart"/>
                  <w:tcBorders>
                    <w:tl2br w:val="nil"/>
                    <w:tr2bl w:val="nil"/>
                  </w:tcBorders>
                  <w:vAlign w:val="center"/>
                </w:tcPr>
                <w:p w14:paraId="37831463">
                  <w:pPr>
                    <w:snapToGrid w:val="0"/>
                    <w:spacing w:line="240" w:lineRule="auto"/>
                    <w:ind w:firstLine="0" w:firstLineChars="0"/>
                    <w:jc w:val="center"/>
                    <w:rPr>
                      <w:sz w:val="21"/>
                      <w:szCs w:val="21"/>
                    </w:rPr>
                  </w:pPr>
                  <w:r>
                    <w:rPr>
                      <w:rFonts w:hint="eastAsia"/>
                      <w:sz w:val="21"/>
                      <w:szCs w:val="21"/>
                    </w:rPr>
                    <w:t>河南新投水务有限公司（小尚庄污水处理厂）</w:t>
                  </w:r>
                  <w:r>
                    <w:rPr>
                      <w:sz w:val="21"/>
                      <w:szCs w:val="21"/>
                    </w:rPr>
                    <w:t>排放口</w:t>
                  </w:r>
                </w:p>
              </w:tc>
              <w:tc>
                <w:tcPr>
                  <w:tcW w:w="822" w:type="pct"/>
                  <w:tcBorders>
                    <w:tl2br w:val="nil"/>
                    <w:tr2bl w:val="nil"/>
                  </w:tcBorders>
                  <w:vAlign w:val="center"/>
                </w:tcPr>
                <w:p w14:paraId="2FA82295">
                  <w:pPr>
                    <w:spacing w:line="240" w:lineRule="auto"/>
                    <w:ind w:firstLine="0" w:firstLineChars="0"/>
                    <w:jc w:val="center"/>
                    <w:rPr>
                      <w:bCs/>
                      <w:spacing w:val="-4"/>
                      <w:sz w:val="21"/>
                      <w:szCs w:val="21"/>
                    </w:rPr>
                  </w:pPr>
                  <w:r>
                    <w:rPr>
                      <w:sz w:val="21"/>
                      <w:szCs w:val="21"/>
                    </w:rPr>
                    <w:t>COD</w:t>
                  </w:r>
                </w:p>
              </w:tc>
              <w:tc>
                <w:tcPr>
                  <w:tcW w:w="1087" w:type="pct"/>
                  <w:tcBorders>
                    <w:tl2br w:val="nil"/>
                    <w:tr2bl w:val="nil"/>
                  </w:tcBorders>
                  <w:vAlign w:val="center"/>
                </w:tcPr>
                <w:p w14:paraId="45253F22">
                  <w:pPr>
                    <w:adjustRightInd w:val="0"/>
                    <w:snapToGrid w:val="0"/>
                    <w:spacing w:line="240" w:lineRule="auto"/>
                    <w:ind w:firstLine="0" w:firstLineChars="0"/>
                    <w:jc w:val="center"/>
                    <w:rPr>
                      <w:sz w:val="21"/>
                      <w:szCs w:val="21"/>
                    </w:rPr>
                  </w:pPr>
                  <w:r>
                    <w:rPr>
                      <w:rFonts w:hint="eastAsia"/>
                      <w:sz w:val="21"/>
                      <w:szCs w:val="21"/>
                    </w:rPr>
                    <w:t>5</w:t>
                  </w:r>
                  <w:r>
                    <w:rPr>
                      <w:sz w:val="21"/>
                      <w:szCs w:val="21"/>
                    </w:rPr>
                    <w:t>0</w:t>
                  </w:r>
                </w:p>
              </w:tc>
              <w:tc>
                <w:tcPr>
                  <w:tcW w:w="1412" w:type="pct"/>
                  <w:tcBorders>
                    <w:tl2br w:val="nil"/>
                    <w:tr2bl w:val="nil"/>
                  </w:tcBorders>
                  <w:vAlign w:val="center"/>
                </w:tcPr>
                <w:p w14:paraId="573F28ED">
                  <w:pPr>
                    <w:widowControl/>
                    <w:spacing w:line="240" w:lineRule="auto"/>
                    <w:ind w:firstLine="0" w:firstLineChars="0"/>
                    <w:jc w:val="center"/>
                    <w:textAlignment w:val="center"/>
                    <w:rPr>
                      <w:sz w:val="21"/>
                      <w:szCs w:val="21"/>
                    </w:rPr>
                  </w:pPr>
                  <w:r>
                    <w:rPr>
                      <w:color w:val="000000"/>
                      <w:kern w:val="0"/>
                      <w:sz w:val="21"/>
                      <w:szCs w:val="21"/>
                      <w:lang w:bidi="ar"/>
                    </w:rPr>
                    <w:t xml:space="preserve">0.018 </w:t>
                  </w:r>
                </w:p>
              </w:tc>
            </w:tr>
            <w:tr w14:paraId="7663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01D5A4A9">
                  <w:pPr>
                    <w:snapToGrid w:val="0"/>
                    <w:spacing w:line="240" w:lineRule="auto"/>
                    <w:ind w:firstLine="0" w:firstLineChars="0"/>
                    <w:jc w:val="center"/>
                    <w:rPr>
                      <w:sz w:val="21"/>
                      <w:szCs w:val="21"/>
                    </w:rPr>
                  </w:pPr>
                  <w:r>
                    <w:rPr>
                      <w:sz w:val="21"/>
                      <w:szCs w:val="21"/>
                    </w:rPr>
                    <w:t>2</w:t>
                  </w:r>
                </w:p>
              </w:tc>
              <w:tc>
                <w:tcPr>
                  <w:tcW w:w="1205" w:type="pct"/>
                  <w:vMerge w:val="continue"/>
                  <w:tcBorders>
                    <w:tl2br w:val="nil"/>
                    <w:tr2bl w:val="nil"/>
                  </w:tcBorders>
                  <w:vAlign w:val="center"/>
                </w:tcPr>
                <w:p w14:paraId="2056192D">
                  <w:pPr>
                    <w:snapToGrid w:val="0"/>
                    <w:spacing w:line="240" w:lineRule="auto"/>
                    <w:ind w:firstLine="0" w:firstLineChars="0"/>
                    <w:jc w:val="center"/>
                    <w:rPr>
                      <w:sz w:val="21"/>
                      <w:szCs w:val="21"/>
                    </w:rPr>
                  </w:pPr>
                </w:p>
              </w:tc>
              <w:tc>
                <w:tcPr>
                  <w:tcW w:w="822" w:type="pct"/>
                  <w:tcBorders>
                    <w:tl2br w:val="nil"/>
                    <w:tr2bl w:val="nil"/>
                  </w:tcBorders>
                  <w:shd w:val="clear" w:color="auto" w:fill="auto"/>
                  <w:vAlign w:val="center"/>
                </w:tcPr>
                <w:p w14:paraId="76BCFDD7">
                  <w:pPr>
                    <w:spacing w:line="240" w:lineRule="auto"/>
                    <w:ind w:firstLine="0" w:firstLineChars="0"/>
                    <w:jc w:val="center"/>
                    <w:rPr>
                      <w:sz w:val="21"/>
                      <w:szCs w:val="21"/>
                    </w:rPr>
                  </w:pPr>
                  <w:r>
                    <w:rPr>
                      <w:sz w:val="21"/>
                      <w:szCs w:val="21"/>
                    </w:rPr>
                    <w:t>SS</w:t>
                  </w:r>
                </w:p>
              </w:tc>
              <w:tc>
                <w:tcPr>
                  <w:tcW w:w="1087" w:type="pct"/>
                  <w:tcBorders>
                    <w:tl2br w:val="nil"/>
                    <w:tr2bl w:val="nil"/>
                  </w:tcBorders>
                  <w:shd w:val="clear" w:color="auto" w:fill="auto"/>
                  <w:vAlign w:val="center"/>
                </w:tcPr>
                <w:p w14:paraId="1A0626CA">
                  <w:pPr>
                    <w:adjustRightInd w:val="0"/>
                    <w:snapToGrid w:val="0"/>
                    <w:spacing w:line="240" w:lineRule="auto"/>
                    <w:ind w:firstLine="0" w:firstLineChars="0"/>
                    <w:jc w:val="center"/>
                    <w:rPr>
                      <w:sz w:val="21"/>
                      <w:szCs w:val="21"/>
                    </w:rPr>
                  </w:pPr>
                  <w:r>
                    <w:rPr>
                      <w:sz w:val="21"/>
                      <w:szCs w:val="21"/>
                    </w:rPr>
                    <w:t>10</w:t>
                  </w:r>
                </w:p>
              </w:tc>
              <w:tc>
                <w:tcPr>
                  <w:tcW w:w="1412" w:type="pct"/>
                  <w:tcBorders>
                    <w:tl2br w:val="nil"/>
                    <w:tr2bl w:val="nil"/>
                  </w:tcBorders>
                  <w:vAlign w:val="center"/>
                </w:tcPr>
                <w:p w14:paraId="0BBAE74A">
                  <w:pPr>
                    <w:widowControl/>
                    <w:spacing w:line="240" w:lineRule="auto"/>
                    <w:ind w:firstLine="0" w:firstLineChars="0"/>
                    <w:jc w:val="center"/>
                    <w:textAlignment w:val="center"/>
                    <w:rPr>
                      <w:sz w:val="21"/>
                      <w:szCs w:val="21"/>
                    </w:rPr>
                  </w:pPr>
                  <w:r>
                    <w:rPr>
                      <w:color w:val="000000"/>
                      <w:kern w:val="0"/>
                      <w:sz w:val="21"/>
                      <w:szCs w:val="21"/>
                      <w:lang w:bidi="ar"/>
                    </w:rPr>
                    <w:t xml:space="preserve">0.0036 </w:t>
                  </w:r>
                </w:p>
              </w:tc>
            </w:tr>
            <w:tr w14:paraId="2766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7E08C35F">
                  <w:pPr>
                    <w:snapToGrid w:val="0"/>
                    <w:spacing w:line="240" w:lineRule="auto"/>
                    <w:ind w:firstLine="0" w:firstLineChars="0"/>
                    <w:jc w:val="center"/>
                    <w:rPr>
                      <w:sz w:val="21"/>
                      <w:szCs w:val="21"/>
                    </w:rPr>
                  </w:pPr>
                  <w:r>
                    <w:rPr>
                      <w:sz w:val="21"/>
                      <w:szCs w:val="21"/>
                      <w:lang w:val="pt-BR"/>
                    </w:rPr>
                    <w:t>3</w:t>
                  </w:r>
                </w:p>
              </w:tc>
              <w:tc>
                <w:tcPr>
                  <w:tcW w:w="1205" w:type="pct"/>
                  <w:vMerge w:val="continue"/>
                  <w:tcBorders>
                    <w:tl2br w:val="nil"/>
                    <w:tr2bl w:val="nil"/>
                  </w:tcBorders>
                  <w:vAlign w:val="center"/>
                </w:tcPr>
                <w:p w14:paraId="799AC016">
                  <w:pPr>
                    <w:snapToGrid w:val="0"/>
                    <w:spacing w:line="240" w:lineRule="auto"/>
                    <w:ind w:firstLine="0" w:firstLineChars="0"/>
                    <w:jc w:val="center"/>
                    <w:rPr>
                      <w:sz w:val="21"/>
                      <w:szCs w:val="21"/>
                    </w:rPr>
                  </w:pPr>
                </w:p>
              </w:tc>
              <w:tc>
                <w:tcPr>
                  <w:tcW w:w="822" w:type="pct"/>
                  <w:tcBorders>
                    <w:tl2br w:val="nil"/>
                    <w:tr2bl w:val="nil"/>
                  </w:tcBorders>
                  <w:shd w:val="clear" w:color="auto" w:fill="auto"/>
                  <w:vAlign w:val="center"/>
                </w:tcPr>
                <w:p w14:paraId="5F92CBDE">
                  <w:pPr>
                    <w:spacing w:line="240" w:lineRule="auto"/>
                    <w:ind w:firstLine="0" w:firstLineChars="0"/>
                    <w:jc w:val="center"/>
                    <w:rPr>
                      <w:sz w:val="21"/>
                      <w:szCs w:val="21"/>
                    </w:rPr>
                  </w:pPr>
                  <w:r>
                    <w:rPr>
                      <w:sz w:val="21"/>
                      <w:szCs w:val="21"/>
                    </w:rPr>
                    <w:t>NH</w:t>
                  </w:r>
                  <w:r>
                    <w:rPr>
                      <w:sz w:val="21"/>
                      <w:szCs w:val="21"/>
                      <w:vertAlign w:val="subscript"/>
                    </w:rPr>
                    <w:t>3</w:t>
                  </w:r>
                  <w:r>
                    <w:rPr>
                      <w:sz w:val="21"/>
                      <w:szCs w:val="21"/>
                    </w:rPr>
                    <w:t>-N</w:t>
                  </w:r>
                </w:p>
              </w:tc>
              <w:tc>
                <w:tcPr>
                  <w:tcW w:w="1087" w:type="pct"/>
                  <w:tcBorders>
                    <w:tl2br w:val="nil"/>
                    <w:tr2bl w:val="nil"/>
                  </w:tcBorders>
                  <w:shd w:val="clear" w:color="auto" w:fill="auto"/>
                  <w:vAlign w:val="center"/>
                </w:tcPr>
                <w:p w14:paraId="670CB7E6">
                  <w:pPr>
                    <w:adjustRightInd w:val="0"/>
                    <w:snapToGrid w:val="0"/>
                    <w:spacing w:line="240" w:lineRule="auto"/>
                    <w:ind w:firstLine="0" w:firstLineChars="0"/>
                    <w:jc w:val="center"/>
                    <w:rPr>
                      <w:sz w:val="21"/>
                      <w:szCs w:val="21"/>
                    </w:rPr>
                  </w:pPr>
                  <w:r>
                    <w:rPr>
                      <w:rFonts w:hint="eastAsia"/>
                      <w:sz w:val="21"/>
                      <w:szCs w:val="21"/>
                    </w:rPr>
                    <w:t>5</w:t>
                  </w:r>
                </w:p>
              </w:tc>
              <w:tc>
                <w:tcPr>
                  <w:tcW w:w="1412" w:type="pct"/>
                  <w:tcBorders>
                    <w:tl2br w:val="nil"/>
                    <w:tr2bl w:val="nil"/>
                  </w:tcBorders>
                  <w:vAlign w:val="center"/>
                </w:tcPr>
                <w:p w14:paraId="70D66FA3">
                  <w:pPr>
                    <w:widowControl/>
                    <w:spacing w:line="240" w:lineRule="auto"/>
                    <w:ind w:firstLine="0" w:firstLineChars="0"/>
                    <w:jc w:val="center"/>
                    <w:textAlignment w:val="center"/>
                    <w:rPr>
                      <w:kern w:val="0"/>
                      <w:sz w:val="21"/>
                      <w:szCs w:val="21"/>
                      <w:lang w:bidi="ar"/>
                    </w:rPr>
                  </w:pPr>
                  <w:r>
                    <w:rPr>
                      <w:color w:val="000000"/>
                      <w:kern w:val="0"/>
                      <w:sz w:val="21"/>
                      <w:szCs w:val="21"/>
                      <w:lang w:bidi="ar"/>
                    </w:rPr>
                    <w:t xml:space="preserve">0.0018 </w:t>
                  </w:r>
                </w:p>
              </w:tc>
            </w:tr>
            <w:tr w14:paraId="083C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0214CE4B">
                  <w:pPr>
                    <w:snapToGrid w:val="0"/>
                    <w:spacing w:line="240" w:lineRule="auto"/>
                    <w:ind w:firstLine="0" w:firstLineChars="0"/>
                    <w:jc w:val="center"/>
                    <w:rPr>
                      <w:sz w:val="21"/>
                      <w:szCs w:val="21"/>
                    </w:rPr>
                  </w:pPr>
                  <w:r>
                    <w:rPr>
                      <w:sz w:val="21"/>
                      <w:szCs w:val="21"/>
                      <w:lang w:val="pt-BR"/>
                    </w:rPr>
                    <w:t>4</w:t>
                  </w:r>
                </w:p>
              </w:tc>
              <w:tc>
                <w:tcPr>
                  <w:tcW w:w="1205" w:type="pct"/>
                  <w:vMerge w:val="continue"/>
                  <w:tcBorders>
                    <w:tl2br w:val="nil"/>
                    <w:tr2bl w:val="nil"/>
                  </w:tcBorders>
                  <w:vAlign w:val="center"/>
                </w:tcPr>
                <w:p w14:paraId="161117BD">
                  <w:pPr>
                    <w:snapToGrid w:val="0"/>
                    <w:spacing w:line="240" w:lineRule="auto"/>
                    <w:ind w:firstLine="0" w:firstLineChars="0"/>
                    <w:jc w:val="center"/>
                    <w:rPr>
                      <w:sz w:val="21"/>
                      <w:szCs w:val="21"/>
                    </w:rPr>
                  </w:pPr>
                </w:p>
              </w:tc>
              <w:tc>
                <w:tcPr>
                  <w:tcW w:w="822" w:type="pct"/>
                  <w:tcBorders>
                    <w:tl2br w:val="nil"/>
                    <w:tr2bl w:val="nil"/>
                  </w:tcBorders>
                  <w:shd w:val="clear" w:color="auto" w:fill="auto"/>
                  <w:vAlign w:val="center"/>
                </w:tcPr>
                <w:p w14:paraId="13E38B61">
                  <w:pPr>
                    <w:spacing w:line="240" w:lineRule="auto"/>
                    <w:ind w:firstLine="0" w:firstLineChars="0"/>
                    <w:jc w:val="center"/>
                    <w:rPr>
                      <w:sz w:val="21"/>
                      <w:szCs w:val="21"/>
                    </w:rPr>
                  </w:pPr>
                  <w:r>
                    <w:rPr>
                      <w:sz w:val="21"/>
                      <w:szCs w:val="21"/>
                    </w:rPr>
                    <w:t>TP</w:t>
                  </w:r>
                </w:p>
              </w:tc>
              <w:tc>
                <w:tcPr>
                  <w:tcW w:w="1087" w:type="pct"/>
                  <w:tcBorders>
                    <w:tl2br w:val="nil"/>
                    <w:tr2bl w:val="nil"/>
                  </w:tcBorders>
                  <w:shd w:val="clear" w:color="auto" w:fill="auto"/>
                  <w:vAlign w:val="center"/>
                </w:tcPr>
                <w:p w14:paraId="47DCFF9F">
                  <w:pPr>
                    <w:adjustRightInd w:val="0"/>
                    <w:snapToGrid w:val="0"/>
                    <w:spacing w:line="240" w:lineRule="auto"/>
                    <w:ind w:firstLine="0" w:firstLineChars="0"/>
                    <w:jc w:val="center"/>
                    <w:rPr>
                      <w:sz w:val="21"/>
                      <w:szCs w:val="21"/>
                    </w:rPr>
                  </w:pPr>
                  <w:r>
                    <w:rPr>
                      <w:sz w:val="21"/>
                      <w:szCs w:val="21"/>
                    </w:rPr>
                    <w:t>0.</w:t>
                  </w:r>
                  <w:r>
                    <w:rPr>
                      <w:rFonts w:hint="eastAsia"/>
                      <w:sz w:val="21"/>
                      <w:szCs w:val="21"/>
                    </w:rPr>
                    <w:t>5</w:t>
                  </w:r>
                </w:p>
              </w:tc>
              <w:tc>
                <w:tcPr>
                  <w:tcW w:w="1412" w:type="pct"/>
                  <w:tcBorders>
                    <w:tl2br w:val="nil"/>
                    <w:tr2bl w:val="nil"/>
                  </w:tcBorders>
                  <w:vAlign w:val="center"/>
                </w:tcPr>
                <w:p w14:paraId="59090C93">
                  <w:pPr>
                    <w:widowControl/>
                    <w:spacing w:line="240" w:lineRule="auto"/>
                    <w:ind w:firstLine="0" w:firstLineChars="0"/>
                    <w:jc w:val="center"/>
                    <w:textAlignment w:val="center"/>
                    <w:rPr>
                      <w:kern w:val="0"/>
                      <w:sz w:val="21"/>
                      <w:szCs w:val="21"/>
                      <w:lang w:bidi="ar"/>
                    </w:rPr>
                  </w:pPr>
                  <w:r>
                    <w:rPr>
                      <w:color w:val="000000"/>
                      <w:kern w:val="0"/>
                      <w:sz w:val="21"/>
                      <w:szCs w:val="21"/>
                      <w:lang w:bidi="ar"/>
                    </w:rPr>
                    <w:t xml:space="preserve">0.0002 </w:t>
                  </w:r>
                </w:p>
              </w:tc>
            </w:tr>
            <w:tr w14:paraId="6777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pct"/>
                  <w:tcBorders>
                    <w:tl2br w:val="nil"/>
                    <w:tr2bl w:val="nil"/>
                  </w:tcBorders>
                  <w:vAlign w:val="center"/>
                </w:tcPr>
                <w:p w14:paraId="1DDCE0FD">
                  <w:pPr>
                    <w:snapToGrid w:val="0"/>
                    <w:spacing w:line="240" w:lineRule="auto"/>
                    <w:ind w:firstLine="0" w:firstLineChars="0"/>
                    <w:jc w:val="center"/>
                    <w:rPr>
                      <w:sz w:val="21"/>
                      <w:szCs w:val="21"/>
                    </w:rPr>
                  </w:pPr>
                  <w:r>
                    <w:rPr>
                      <w:sz w:val="21"/>
                      <w:szCs w:val="21"/>
                      <w:lang w:val="pt-BR"/>
                    </w:rPr>
                    <w:t>5</w:t>
                  </w:r>
                </w:p>
              </w:tc>
              <w:tc>
                <w:tcPr>
                  <w:tcW w:w="1205" w:type="pct"/>
                  <w:vMerge w:val="continue"/>
                  <w:tcBorders>
                    <w:tl2br w:val="nil"/>
                    <w:tr2bl w:val="nil"/>
                  </w:tcBorders>
                  <w:vAlign w:val="center"/>
                </w:tcPr>
                <w:p w14:paraId="496F6F8B">
                  <w:pPr>
                    <w:snapToGrid w:val="0"/>
                    <w:spacing w:line="240" w:lineRule="auto"/>
                    <w:ind w:firstLine="0" w:firstLineChars="0"/>
                    <w:jc w:val="center"/>
                    <w:rPr>
                      <w:sz w:val="21"/>
                      <w:szCs w:val="21"/>
                    </w:rPr>
                  </w:pPr>
                </w:p>
              </w:tc>
              <w:tc>
                <w:tcPr>
                  <w:tcW w:w="822" w:type="pct"/>
                  <w:tcBorders>
                    <w:tl2br w:val="nil"/>
                    <w:tr2bl w:val="nil"/>
                  </w:tcBorders>
                  <w:shd w:val="clear" w:color="auto" w:fill="auto"/>
                  <w:vAlign w:val="center"/>
                </w:tcPr>
                <w:p w14:paraId="78372D14">
                  <w:pPr>
                    <w:spacing w:line="240" w:lineRule="auto"/>
                    <w:ind w:firstLine="0" w:firstLineChars="0"/>
                    <w:jc w:val="center"/>
                    <w:rPr>
                      <w:bCs/>
                      <w:spacing w:val="-4"/>
                      <w:sz w:val="21"/>
                      <w:szCs w:val="21"/>
                    </w:rPr>
                  </w:pPr>
                  <w:r>
                    <w:rPr>
                      <w:rFonts w:hint="eastAsia"/>
                      <w:sz w:val="21"/>
                      <w:szCs w:val="21"/>
                    </w:rPr>
                    <w:t>TN</w:t>
                  </w:r>
                </w:p>
              </w:tc>
              <w:tc>
                <w:tcPr>
                  <w:tcW w:w="1087" w:type="pct"/>
                  <w:tcBorders>
                    <w:tl2br w:val="nil"/>
                    <w:tr2bl w:val="nil"/>
                  </w:tcBorders>
                  <w:shd w:val="clear" w:color="auto" w:fill="auto"/>
                  <w:vAlign w:val="center"/>
                </w:tcPr>
                <w:p w14:paraId="1B75587B">
                  <w:pPr>
                    <w:adjustRightInd w:val="0"/>
                    <w:snapToGrid w:val="0"/>
                    <w:spacing w:line="240" w:lineRule="auto"/>
                    <w:ind w:firstLine="0" w:firstLineChars="0"/>
                    <w:jc w:val="center"/>
                    <w:rPr>
                      <w:sz w:val="21"/>
                      <w:szCs w:val="21"/>
                    </w:rPr>
                  </w:pPr>
                  <w:r>
                    <w:rPr>
                      <w:sz w:val="21"/>
                      <w:szCs w:val="21"/>
                    </w:rPr>
                    <w:t>15</w:t>
                  </w:r>
                </w:p>
              </w:tc>
              <w:tc>
                <w:tcPr>
                  <w:tcW w:w="1412" w:type="pct"/>
                  <w:tcBorders>
                    <w:tl2br w:val="nil"/>
                    <w:tr2bl w:val="nil"/>
                  </w:tcBorders>
                  <w:vAlign w:val="center"/>
                </w:tcPr>
                <w:p w14:paraId="45063F31">
                  <w:pPr>
                    <w:widowControl/>
                    <w:spacing w:line="240" w:lineRule="auto"/>
                    <w:ind w:firstLine="0" w:firstLineChars="0"/>
                    <w:jc w:val="center"/>
                    <w:textAlignment w:val="center"/>
                    <w:rPr>
                      <w:kern w:val="0"/>
                      <w:sz w:val="21"/>
                      <w:szCs w:val="21"/>
                      <w:lang w:bidi="ar"/>
                    </w:rPr>
                  </w:pPr>
                  <w:r>
                    <w:rPr>
                      <w:color w:val="000000"/>
                      <w:kern w:val="0"/>
                      <w:sz w:val="21"/>
                      <w:szCs w:val="21"/>
                      <w:lang w:bidi="ar"/>
                    </w:rPr>
                    <w:t xml:space="preserve">0.0054 </w:t>
                  </w:r>
                </w:p>
              </w:tc>
            </w:tr>
          </w:tbl>
          <w:p w14:paraId="14CF2DDB">
            <w:pPr>
              <w:autoSpaceDE w:val="0"/>
              <w:autoSpaceDN w:val="0"/>
              <w:adjustRightInd w:val="0"/>
              <w:snapToGrid w:val="0"/>
              <w:spacing w:line="520" w:lineRule="exact"/>
              <w:ind w:firstLine="480"/>
            </w:pPr>
            <w:r>
              <w:t>由上表可知，本项目废水污染物</w:t>
            </w:r>
            <w:r>
              <w:rPr>
                <w:rFonts w:hint="eastAsia"/>
              </w:rPr>
              <w:t>经河南新投水务有限公司（小尚庄污水处理厂）</w:t>
            </w:r>
            <w:r>
              <w:t>处理后</w:t>
            </w:r>
            <w:r>
              <w:rPr>
                <w:rFonts w:hint="eastAsia"/>
              </w:rPr>
              <w:t>排入外环境的</w:t>
            </w:r>
            <w:r>
              <w:t>排放总量：COD</w:t>
            </w:r>
            <w:r>
              <w:rPr>
                <w:rFonts w:hint="eastAsia"/>
              </w:rPr>
              <w:t>0.018</w:t>
            </w:r>
            <w:r>
              <w:t>t/a，SS</w:t>
            </w:r>
            <w:r>
              <w:rPr>
                <w:rFonts w:hint="eastAsia"/>
              </w:rPr>
              <w:t>0.0036</w:t>
            </w:r>
            <w:r>
              <w:t>t/a，NH</w:t>
            </w:r>
            <w:r>
              <w:rPr>
                <w:vertAlign w:val="subscript"/>
              </w:rPr>
              <w:t>3</w:t>
            </w:r>
            <w:r>
              <w:t>-N</w:t>
            </w:r>
            <w:r>
              <w:rPr>
                <w:rFonts w:hint="eastAsia"/>
              </w:rPr>
              <w:t>0.0018t/a，TP0.0002t/a，TN0.0054</w:t>
            </w:r>
            <w:r>
              <w:t>t/a</w:t>
            </w:r>
            <w:r>
              <w:rPr>
                <w:rFonts w:hint="eastAsia"/>
              </w:rPr>
              <w:t>。</w:t>
            </w:r>
          </w:p>
          <w:p w14:paraId="57D8F22A">
            <w:pPr>
              <w:autoSpaceDE w:val="0"/>
              <w:autoSpaceDN w:val="0"/>
              <w:adjustRightInd w:val="0"/>
              <w:snapToGrid w:val="0"/>
              <w:spacing w:line="520" w:lineRule="exact"/>
              <w:ind w:firstLine="482"/>
              <w:rPr>
                <w:b/>
                <w:bCs/>
              </w:rPr>
            </w:pPr>
            <w:r>
              <w:rPr>
                <w:b/>
                <w:bCs/>
              </w:rPr>
              <w:t>2.</w:t>
            </w:r>
            <w:r>
              <w:rPr>
                <w:rFonts w:hint="eastAsia"/>
                <w:b/>
                <w:bCs/>
              </w:rPr>
              <w:t>4</w:t>
            </w:r>
            <w:r>
              <w:rPr>
                <w:b/>
                <w:bCs/>
              </w:rPr>
              <w:t>废水监测要求</w:t>
            </w:r>
          </w:p>
          <w:p w14:paraId="3C430994">
            <w:pPr>
              <w:adjustRightInd w:val="0"/>
              <w:snapToGrid w:val="0"/>
              <w:spacing w:line="520" w:lineRule="exact"/>
              <w:ind w:firstLine="480"/>
              <w:textAlignment w:val="baseline"/>
            </w:pPr>
            <w:r>
              <w:rPr>
                <w:rFonts w:hint="eastAsia"/>
              </w:rPr>
              <w:t>根据《排污许可证申请与核发技术规范 纺织印染工业》（HJ861-2017）、《排污单位自行监测技术指南 纺织印染工业》（HJ 879-2017），单独排入城镇集中污水处理设施的生活污水无监测要求。本项目生活污水经化粪池处理后排入</w:t>
            </w:r>
            <w:r>
              <w:rPr>
                <w:rFonts w:hint="eastAsia"/>
                <w:lang w:val="zh-CN"/>
              </w:rPr>
              <w:t>河南新投水务有限公司（小尚庄污水处理厂）</w:t>
            </w:r>
            <w:r>
              <w:rPr>
                <w:rFonts w:hint="eastAsia"/>
              </w:rPr>
              <w:t>进一步处理，因此本项目外排生活污水无需进行监测。</w:t>
            </w:r>
          </w:p>
          <w:p w14:paraId="418E48BA">
            <w:pPr>
              <w:spacing w:line="520" w:lineRule="exact"/>
              <w:ind w:firstLine="482"/>
              <w:rPr>
                <w:b/>
                <w:bCs/>
              </w:rPr>
            </w:pPr>
            <w:r>
              <w:rPr>
                <w:b/>
                <w:bCs/>
              </w:rPr>
              <w:t>3、</w:t>
            </w:r>
            <w:r>
              <w:rPr>
                <w:b/>
              </w:rPr>
              <w:t>噪声</w:t>
            </w:r>
          </w:p>
          <w:p w14:paraId="3B4A2C92">
            <w:pPr>
              <w:adjustRightInd w:val="0"/>
              <w:snapToGrid w:val="0"/>
              <w:spacing w:line="520" w:lineRule="exact"/>
              <w:ind w:firstLine="480"/>
              <w:jc w:val="left"/>
              <w:textAlignment w:val="baseline"/>
            </w:pPr>
            <w:r>
              <w:rPr>
                <w:rFonts w:hint="eastAsia"/>
              </w:rPr>
              <w:t>本项目高设备噪声为镭射机、绣花机、喷墨印刷机、环保设施配套风机等。</w:t>
            </w:r>
            <w:r>
              <w:t>经类比《环境噪声与振动控制工程技术导则》（HJ2034-2013）附录A常见噪声源及其声功率级，本项目主要生产设备声功率级在</w:t>
            </w:r>
            <w:r>
              <w:rPr>
                <w:rFonts w:hint="eastAsia"/>
              </w:rPr>
              <w:t>70</w:t>
            </w:r>
            <w:r>
              <w:t>～</w:t>
            </w:r>
            <w:r>
              <w:rPr>
                <w:rFonts w:hint="eastAsia"/>
              </w:rPr>
              <w:t>90</w:t>
            </w:r>
            <w:r>
              <w:t>dB（A）之间，其噪声源强拟采取</w:t>
            </w:r>
            <w:r>
              <w:rPr>
                <w:rFonts w:hint="eastAsia"/>
              </w:rPr>
              <w:t>设备减振、</w:t>
            </w:r>
            <w:r>
              <w:t>隔声、</w:t>
            </w:r>
            <w:r>
              <w:rPr>
                <w:rFonts w:hint="eastAsia"/>
              </w:rPr>
              <w:t>距离衰减</w:t>
            </w:r>
            <w:r>
              <w:t>等降噪措施。根据《环境影响评价技术导则声环境》（HJ2.4-2021），工业声源应按照室内声源计算。</w:t>
            </w:r>
          </w:p>
          <w:p w14:paraId="06338DCA">
            <w:pPr>
              <w:adjustRightInd w:val="0"/>
              <w:snapToGrid w:val="0"/>
              <w:spacing w:line="520" w:lineRule="exact"/>
              <w:ind w:firstLine="480"/>
              <w:jc w:val="left"/>
            </w:pPr>
            <w:r>
              <w:t>声源位于室内，室内声源可采用等效室外声源声功率级法进行计算。设靠近开口处（或窗户）室内、室外某倍频带的声压级或A声级分别为L</w:t>
            </w:r>
            <w:r>
              <w:rPr>
                <w:vertAlign w:val="subscript"/>
              </w:rPr>
              <w:t>p1</w:t>
            </w:r>
            <w:r>
              <w:t>和L</w:t>
            </w:r>
            <w:r>
              <w:rPr>
                <w:vertAlign w:val="subscript"/>
              </w:rPr>
              <w:t>p2</w:t>
            </w:r>
            <w:r>
              <w:t>。</w:t>
            </w:r>
          </w:p>
          <w:p w14:paraId="75B0E0C3">
            <w:pPr>
              <w:adjustRightInd w:val="0"/>
              <w:snapToGrid w:val="0"/>
              <w:spacing w:line="520" w:lineRule="exact"/>
              <w:ind w:firstLine="480"/>
              <w:jc w:val="left"/>
            </w:pPr>
            <w:r>
              <w:t>计算某一室内声源靠近围护结构处产生的倍频带声压级或A声级公式如下：</w:t>
            </w:r>
          </w:p>
          <w:p w14:paraId="60FB8982">
            <w:pPr>
              <w:adjustRightInd w:val="0"/>
              <w:snapToGrid w:val="0"/>
              <w:spacing w:line="500" w:lineRule="exact"/>
              <w:ind w:firstLine="480"/>
              <w:jc w:val="left"/>
            </w:pPr>
            <m:oMathPara>
              <m:oMath>
                <m:sSub>
                  <m:sSubPr>
                    <m:ctrlPr>
                      <w:rPr>
                        <w:rFonts w:ascii="Cambria Math" w:hAnsi="Cambria Math"/>
                        <w:iCs/>
                      </w:rPr>
                    </m:ctrlPr>
                  </m:sSubPr>
                  <m:e>
                    <m:r>
                      <m:rPr>
                        <m:nor/>
                        <m:sty m:val="p"/>
                      </m:rPr>
                      <w:rPr>
                        <w:b w:val="0"/>
                        <w:i w:val="0"/>
                      </w:rPr>
                      <m:t>L</m:t>
                    </m:r>
                    <m:ctrlPr>
                      <w:rPr>
                        <w:rFonts w:ascii="Cambria Math" w:hAnsi="Cambria Math"/>
                        <w:iCs/>
                      </w:rPr>
                    </m:ctrlPr>
                  </m:e>
                  <m:sub>
                    <m:r>
                      <m:rPr>
                        <m:nor/>
                        <m:sty m:val="p"/>
                      </m:rPr>
                      <w:rPr>
                        <w:b w:val="0"/>
                        <w:i w:val="0"/>
                      </w:rPr>
                      <m:t>p1</m:t>
                    </m:r>
                    <m:ctrlPr>
                      <w:rPr>
                        <w:rFonts w:ascii="Cambria Math" w:hAnsi="Cambria Math"/>
                        <w:iCs/>
                      </w:rPr>
                    </m:ctrlPr>
                  </m:sub>
                </m:sSub>
                <m:r>
                  <m:rPr>
                    <m:nor/>
                    <m:sty m:val="p"/>
                  </m:rPr>
                  <w:rPr>
                    <w:b w:val="0"/>
                    <w:i w:val="0"/>
                  </w:rPr>
                  <m:t>=</m:t>
                </m:r>
                <m:sSub>
                  <m:sSubPr>
                    <m:ctrlPr>
                      <w:rPr>
                        <w:rFonts w:ascii="Cambria Math" w:hAnsi="Cambria Math"/>
                        <w:iCs/>
                      </w:rPr>
                    </m:ctrlPr>
                  </m:sSubPr>
                  <m:e>
                    <m:r>
                      <m:rPr>
                        <m:nor/>
                        <m:sty m:val="p"/>
                      </m:rPr>
                      <w:rPr>
                        <w:b w:val="0"/>
                        <w:i w:val="0"/>
                      </w:rPr>
                      <m:t>L</m:t>
                    </m:r>
                    <m:ctrlPr>
                      <w:rPr>
                        <w:rFonts w:ascii="Cambria Math" w:hAnsi="Cambria Math"/>
                        <w:iCs/>
                      </w:rPr>
                    </m:ctrlPr>
                  </m:e>
                  <m:sub>
                    <m:r>
                      <m:rPr>
                        <m:nor/>
                        <m:sty m:val="p"/>
                      </m:rPr>
                      <w:rPr>
                        <w:b w:val="0"/>
                        <w:i w:val="0"/>
                      </w:rPr>
                      <m:t>W</m:t>
                    </m:r>
                    <m:ctrlPr>
                      <w:rPr>
                        <w:rFonts w:ascii="Cambria Math" w:hAnsi="Cambria Math"/>
                        <w:iCs/>
                      </w:rPr>
                    </m:ctrlPr>
                  </m:sub>
                </m:sSub>
                <m:r>
                  <m:rPr>
                    <m:nor/>
                    <m:sty m:val="p"/>
                  </m:rPr>
                  <w:rPr>
                    <w:b w:val="0"/>
                    <w:i w:val="0"/>
                  </w:rPr>
                  <m:t>+10lg（</m:t>
                </m:r>
                <m:f>
                  <m:fPr>
                    <m:ctrlPr>
                      <w:rPr>
                        <w:rFonts w:ascii="Cambria Math" w:hAnsi="Cambria Math"/>
                        <w:iCs/>
                      </w:rPr>
                    </m:ctrlPr>
                  </m:fPr>
                  <m:num>
                    <m:r>
                      <m:rPr>
                        <m:nor/>
                        <m:sty m:val="p"/>
                      </m:rPr>
                      <w:rPr>
                        <w:b w:val="0"/>
                        <w:i w:val="0"/>
                      </w:rPr>
                      <m:t>Q</m:t>
                    </m:r>
                    <m:ctrlPr>
                      <w:rPr>
                        <w:rFonts w:ascii="Cambria Math" w:hAnsi="Cambria Math"/>
                        <w:iCs/>
                      </w:rPr>
                    </m:ctrlPr>
                  </m:num>
                  <m:den>
                    <m:r>
                      <m:rPr>
                        <m:nor/>
                        <m:sty m:val="p"/>
                      </m:rPr>
                      <w:rPr>
                        <w:b w:val="0"/>
                        <w:i w:val="0"/>
                      </w:rPr>
                      <m:t>4π</m:t>
                    </m:r>
                    <m:sSup>
                      <m:sSupPr>
                        <m:ctrlPr>
                          <w:rPr>
                            <w:rFonts w:ascii="Cambria Math" w:hAnsi="Cambria Math"/>
                            <w:iCs/>
                          </w:rPr>
                        </m:ctrlPr>
                      </m:sSupPr>
                      <m:e>
                        <m:r>
                          <m:rPr>
                            <m:nor/>
                            <m:sty m:val="p"/>
                          </m:rPr>
                          <w:rPr>
                            <w:b w:val="0"/>
                            <w:i w:val="0"/>
                          </w:rPr>
                          <m:t>r</m:t>
                        </m:r>
                        <m:ctrlPr>
                          <w:rPr>
                            <w:rFonts w:ascii="Cambria Math" w:hAnsi="Cambria Math"/>
                            <w:iCs/>
                          </w:rPr>
                        </m:ctrlPr>
                      </m:e>
                      <m:sup>
                        <m:r>
                          <m:rPr>
                            <m:nor/>
                            <m:sty m:val="p"/>
                          </m:rPr>
                          <w:rPr>
                            <w:b w:val="0"/>
                            <w:i w:val="0"/>
                          </w:rPr>
                          <m:t>2</m:t>
                        </m:r>
                        <m:ctrlPr>
                          <w:rPr>
                            <w:rFonts w:ascii="Cambria Math" w:hAnsi="Cambria Math"/>
                            <w:iCs/>
                          </w:rPr>
                        </m:ctrlPr>
                      </m:sup>
                    </m:sSup>
                    <m:ctrlPr>
                      <w:rPr>
                        <w:rFonts w:ascii="Cambria Math" w:hAnsi="Cambria Math"/>
                        <w:iCs/>
                      </w:rPr>
                    </m:ctrlPr>
                  </m:den>
                </m:f>
                <m:r>
                  <m:rPr>
                    <m:nor/>
                    <m:sty m:val="p"/>
                  </m:rPr>
                  <w:rPr>
                    <w:b w:val="0"/>
                    <w:i w:val="0"/>
                  </w:rPr>
                  <m:t>+</m:t>
                </m:r>
                <m:f>
                  <m:fPr>
                    <m:ctrlPr>
                      <w:rPr>
                        <w:rFonts w:ascii="Cambria Math" w:hAnsi="Cambria Math"/>
                        <w:iCs/>
                      </w:rPr>
                    </m:ctrlPr>
                  </m:fPr>
                  <m:num>
                    <m:r>
                      <m:rPr>
                        <m:nor/>
                        <m:sty m:val="p"/>
                      </m:rPr>
                      <w:rPr>
                        <w:b w:val="0"/>
                        <w:i w:val="0"/>
                      </w:rPr>
                      <m:t>4</m:t>
                    </m:r>
                    <m:ctrlPr>
                      <w:rPr>
                        <w:rFonts w:ascii="Cambria Math" w:hAnsi="Cambria Math"/>
                        <w:iCs/>
                      </w:rPr>
                    </m:ctrlPr>
                  </m:num>
                  <m:den>
                    <m:r>
                      <m:rPr>
                        <m:nor/>
                        <m:sty m:val="p"/>
                      </m:rPr>
                      <w:rPr>
                        <w:b w:val="0"/>
                        <w:i w:val="0"/>
                      </w:rPr>
                      <m:t>R</m:t>
                    </m:r>
                    <m:ctrlPr>
                      <w:rPr>
                        <w:rFonts w:ascii="Cambria Math" w:hAnsi="Cambria Math"/>
                        <w:iCs/>
                      </w:rPr>
                    </m:ctrlPr>
                  </m:den>
                </m:f>
                <m:r>
                  <m:rPr>
                    <m:nor/>
                    <m:sty m:val="p"/>
                  </m:rPr>
                  <w:rPr>
                    <w:b w:val="0"/>
                    <w:i w:val="0"/>
                  </w:rPr>
                  <m:t>）</m:t>
                </m:r>
              </m:oMath>
            </m:oMathPara>
          </w:p>
          <w:p w14:paraId="3364737F">
            <w:pPr>
              <w:adjustRightInd w:val="0"/>
              <w:snapToGrid w:val="0"/>
              <w:spacing w:line="520" w:lineRule="exact"/>
              <w:ind w:firstLine="480"/>
              <w:jc w:val="left"/>
            </w:pPr>
            <w:r>
              <w:t>式中：</w:t>
            </w:r>
            <w:r>
              <w:rPr>
                <w:rFonts w:hint="eastAsia"/>
              </w:rPr>
              <w:t xml:space="preserve"> </w:t>
            </w:r>
            <w:r>
              <w:t>L</w:t>
            </w:r>
            <w:r>
              <w:rPr>
                <w:vertAlign w:val="subscript"/>
              </w:rPr>
              <w:t>p1</w:t>
            </w:r>
            <w:r>
              <w:rPr>
                <w:rFonts w:hint="eastAsia"/>
              </w:rPr>
              <w:t>----</w:t>
            </w:r>
            <w:r>
              <w:t>靠近开口处（或窗户）室内某倍频带的声压级或A声级，dB；</w:t>
            </w:r>
          </w:p>
          <w:p w14:paraId="237F6D26">
            <w:pPr>
              <w:adjustRightInd w:val="0"/>
              <w:snapToGrid w:val="0"/>
              <w:spacing w:line="520" w:lineRule="exact"/>
              <w:ind w:firstLine="480"/>
              <w:jc w:val="left"/>
              <w:textAlignment w:val="baseline"/>
            </w:pPr>
            <w:r>
              <w:t>L</w:t>
            </w:r>
            <w:r>
              <w:rPr>
                <w:vertAlign w:val="subscript"/>
              </w:rPr>
              <w:t>w1</w:t>
            </w:r>
            <w:r>
              <w:rPr>
                <w:rFonts w:hint="eastAsia"/>
              </w:rPr>
              <w:t>-----</w:t>
            </w:r>
            <w:r>
              <w:t>点声源声功率级（A计权或倍频带），dB；</w:t>
            </w:r>
          </w:p>
          <w:p w14:paraId="0A0414B4">
            <w:pPr>
              <w:adjustRightInd w:val="0"/>
              <w:snapToGrid w:val="0"/>
              <w:spacing w:line="520" w:lineRule="exact"/>
              <w:ind w:firstLine="480"/>
              <w:jc w:val="left"/>
              <w:textAlignment w:val="baseline"/>
            </w:pPr>
            <w:r>
              <w:t>Q</w:t>
            </w:r>
            <w:r>
              <w:rPr>
                <w:rFonts w:hint="eastAsia"/>
              </w:rPr>
              <w:t>-----</w:t>
            </w:r>
            <w:r>
              <w:t>指向性因数；通常对无指向性声源，当声源放在房间中心时，Q=1；当放在一面墙的中心时，Q=2；当放在两面墙夹角处时，Q=4；当放在三面墙夹角处时，Q=8；本项目</w:t>
            </w:r>
            <w:r>
              <w:rPr>
                <w:rFonts w:hint="eastAsia"/>
              </w:rPr>
              <w:t>Q值取2。</w:t>
            </w:r>
          </w:p>
          <w:p w14:paraId="5F20B68B">
            <w:pPr>
              <w:adjustRightInd w:val="0"/>
              <w:snapToGrid w:val="0"/>
              <w:spacing w:line="520" w:lineRule="exact"/>
              <w:ind w:firstLine="480"/>
              <w:jc w:val="left"/>
              <w:textAlignment w:val="baseline"/>
            </w:pPr>
            <w:r>
              <w:t>R</w:t>
            </w:r>
            <w:r>
              <w:rPr>
                <w:rFonts w:hint="eastAsia"/>
              </w:rPr>
              <w:t>-----</w:t>
            </w:r>
            <w:r>
              <w:t>房间常数；R=Sα/（1-α），S为房间内表面面积，m</w:t>
            </w:r>
            <w:r>
              <w:rPr>
                <w:vertAlign w:val="superscript"/>
              </w:rPr>
              <w:t>2</w:t>
            </w:r>
            <w:r>
              <w:t>；α为平均吸声系数，取平均吸声系数0.</w:t>
            </w:r>
            <w:r>
              <w:rPr>
                <w:rFonts w:hint="eastAsia"/>
              </w:rPr>
              <w:t>4</w:t>
            </w:r>
            <w:r>
              <w:t>；</w:t>
            </w:r>
            <w:r>
              <w:rPr>
                <w:rFonts w:hint="eastAsia"/>
              </w:rPr>
              <w:t>项目车间</w:t>
            </w:r>
            <w:r>
              <w:t>表面面积</w:t>
            </w:r>
            <w:r>
              <w:rPr>
                <w:rFonts w:hint="eastAsia"/>
              </w:rPr>
              <w:t>6100</w:t>
            </w:r>
            <w:r>
              <w:t>m</w:t>
            </w:r>
            <w:r>
              <w:rPr>
                <w:vertAlign w:val="superscript"/>
              </w:rPr>
              <w:t>2</w:t>
            </w:r>
            <w:r>
              <w:rPr>
                <w:rFonts w:hint="eastAsia"/>
              </w:rPr>
              <w:t>，R=4067。</w:t>
            </w:r>
          </w:p>
          <w:p w14:paraId="48C063AD">
            <w:pPr>
              <w:adjustRightInd w:val="0"/>
              <w:snapToGrid w:val="0"/>
              <w:spacing w:line="520" w:lineRule="exact"/>
              <w:ind w:firstLine="480"/>
              <w:jc w:val="left"/>
            </w:pPr>
            <w:r>
              <w:t>r</w:t>
            </w:r>
            <w:r>
              <w:rPr>
                <w:rFonts w:hint="eastAsia"/>
              </w:rPr>
              <w:t>------</w:t>
            </w:r>
            <w:r>
              <w:t>声源到靠近围护结构某点处的距离，m</w:t>
            </w:r>
          </w:p>
          <w:p w14:paraId="43CF4721">
            <w:pPr>
              <w:adjustRightInd w:val="0"/>
              <w:snapToGrid w:val="0"/>
              <w:spacing w:line="520" w:lineRule="exact"/>
              <w:ind w:firstLine="480"/>
              <w:jc w:val="left"/>
            </w:pPr>
            <w:r>
              <w:t>然后按下式计算出所有室内声源在围护结构处产生的i倍频带叠加声压级：</w:t>
            </w:r>
          </w:p>
          <w:p w14:paraId="06D2AEDF">
            <w:pPr>
              <w:adjustRightInd w:val="0"/>
              <w:snapToGrid w:val="0"/>
              <w:spacing w:line="520" w:lineRule="exact"/>
              <w:ind w:firstLine="480"/>
              <w:jc w:val="center"/>
              <w:rPr>
                <w:iCs/>
              </w:rPr>
            </w:pPr>
            <m:oMathPara>
              <m:oMath>
                <m:sSub>
                  <m:sSubPr>
                    <m:ctrlPr>
                      <w:rPr>
                        <w:rFonts w:ascii="Cambria Math" w:hAnsi="Cambria Math"/>
                        <w:iCs/>
                      </w:rPr>
                    </m:ctrlPr>
                  </m:sSubPr>
                  <m:e>
                    <m:r>
                      <m:rPr>
                        <m:sty m:val="p"/>
                      </m:rPr>
                      <w:rPr>
                        <w:rFonts w:ascii="Cambria Math" w:hAnsi="Cambria Math"/>
                      </w:rPr>
                      <m:t>L</m:t>
                    </m:r>
                    <m:ctrlPr>
                      <w:rPr>
                        <w:rFonts w:ascii="Cambria Math" w:hAnsi="Cambria Math"/>
                        <w:iCs/>
                      </w:rPr>
                    </m:ctrlPr>
                  </m:e>
                  <m:sub>
                    <m:r>
                      <m:rPr>
                        <m:sty m:val="p"/>
                      </m:rPr>
                      <w:rPr>
                        <w:rFonts w:ascii="Cambria Math" w:hAnsi="Cambria Math"/>
                      </w:rPr>
                      <m:t>p1i</m:t>
                    </m:r>
                    <m:ctrlPr>
                      <w:rPr>
                        <w:rFonts w:ascii="Cambria Math" w:hAnsi="Cambria Math"/>
                        <w:iCs/>
                      </w:rPr>
                    </m:ctrlPr>
                  </m:sub>
                </m:sSub>
                <m:r>
                  <m:rPr>
                    <m:sty m:val="p"/>
                  </m:rPr>
                  <w:rPr>
                    <w:rFonts w:ascii="Cambria Math" w:hAnsi="Cambria Math"/>
                  </w:rPr>
                  <m:t>(T)=10lg</m:t>
                </m:r>
                <m:nary>
                  <m:naryPr>
                    <m:chr m:val="∑"/>
                    <m:limLoc m:val="undOvr"/>
                    <m:ctrlPr>
                      <w:rPr>
                        <w:rFonts w:ascii="Cambria Math" w:hAnsi="Cambria Math"/>
                        <w:iCs/>
                      </w:rPr>
                    </m:ctrlPr>
                  </m:naryPr>
                  <m:sub>
                    <m:r>
                      <m:rPr>
                        <m:sty m:val="p"/>
                      </m:rPr>
                      <w:rPr>
                        <w:rFonts w:ascii="Cambria Math" w:hAnsi="Cambria Math"/>
                      </w:rPr>
                      <m:t>j=1</m:t>
                    </m:r>
                    <m:ctrlPr>
                      <w:rPr>
                        <w:rFonts w:ascii="Cambria Math" w:hAnsi="Cambria Math"/>
                        <w:iCs/>
                      </w:rPr>
                    </m:ctrlPr>
                  </m:sub>
                  <m:sup>
                    <m:r>
                      <m:rPr>
                        <m:sty m:val="p"/>
                      </m:rPr>
                      <w:rPr>
                        <w:rFonts w:ascii="Cambria Math" w:hAnsi="Cambria Math"/>
                      </w:rPr>
                      <m:t>N</m:t>
                    </m:r>
                    <m:ctrlPr>
                      <w:rPr>
                        <w:rFonts w:ascii="Cambria Math" w:hAnsi="Cambria Math"/>
                        <w:iCs/>
                      </w:rPr>
                    </m:ctrlPr>
                  </m:sup>
                  <m:e>
                    <m:sSup>
                      <m:sSupPr>
                        <m:ctrlPr>
                          <w:rPr>
                            <w:rFonts w:ascii="Cambria Math" w:hAnsi="Cambria Math"/>
                            <w:iCs/>
                          </w:rPr>
                        </m:ctrlPr>
                      </m:sSupPr>
                      <m:e>
                        <m:r>
                          <m:rPr>
                            <m:sty m:val="p"/>
                          </m:rPr>
                          <w:rPr>
                            <w:rFonts w:ascii="Cambria Math" w:hAnsi="Cambria Math"/>
                          </w:rPr>
                          <m:t>10</m:t>
                        </m:r>
                        <m:ctrlPr>
                          <w:rPr>
                            <w:rFonts w:ascii="Cambria Math" w:hAnsi="Cambria Math"/>
                            <w:iCs/>
                          </w:rPr>
                        </m:ctrlPr>
                      </m:e>
                      <m:sup>
                        <m:r>
                          <m:rPr>
                            <m:sty m:val="p"/>
                          </m:rPr>
                          <w:rPr>
                            <w:rFonts w:ascii="Cambria Math" w:hAnsi="Cambria Math"/>
                          </w:rPr>
                          <m:t>0.1</m:t>
                        </m:r>
                        <m:sSub>
                          <m:sSubPr>
                            <m:ctrlPr>
                              <w:rPr>
                                <w:rFonts w:ascii="Cambria Math" w:hAnsi="Cambria Math"/>
                                <w:iCs/>
                              </w:rPr>
                            </m:ctrlPr>
                          </m:sSubPr>
                          <m:e>
                            <m:r>
                              <m:rPr>
                                <m:sty m:val="p"/>
                              </m:rPr>
                              <w:rPr>
                                <w:rFonts w:ascii="Cambria Math" w:hAnsi="Cambria Math"/>
                              </w:rPr>
                              <m:t>L</m:t>
                            </m:r>
                            <m:ctrlPr>
                              <w:rPr>
                                <w:rFonts w:ascii="Cambria Math" w:hAnsi="Cambria Math"/>
                                <w:iCs/>
                              </w:rPr>
                            </m:ctrlPr>
                          </m:e>
                          <m:sub>
                            <m:r>
                              <m:rPr>
                                <m:sty m:val="p"/>
                              </m:rPr>
                              <w:rPr>
                                <w:rFonts w:ascii="Cambria Math" w:hAnsi="Cambria Math"/>
                              </w:rPr>
                              <m:t>p1ij</m:t>
                            </m:r>
                            <m:ctrlPr>
                              <w:rPr>
                                <w:rFonts w:ascii="Cambria Math" w:hAnsi="Cambria Math"/>
                                <w:iCs/>
                              </w:rPr>
                            </m:ctrlPr>
                          </m:sub>
                        </m:sSub>
                        <m:ctrlPr>
                          <w:rPr>
                            <w:rFonts w:ascii="Cambria Math" w:hAnsi="Cambria Math"/>
                            <w:iCs/>
                          </w:rPr>
                        </m:ctrlPr>
                      </m:sup>
                    </m:sSup>
                    <m:ctrlPr>
                      <w:rPr>
                        <w:rFonts w:ascii="Cambria Math" w:hAnsi="Cambria Math"/>
                        <w:iCs/>
                      </w:rPr>
                    </m:ctrlPr>
                  </m:e>
                </m:nary>
              </m:oMath>
            </m:oMathPara>
          </w:p>
          <w:p w14:paraId="22EE653A">
            <w:pPr>
              <w:adjustRightInd w:val="0"/>
              <w:snapToGrid w:val="0"/>
              <w:spacing w:line="520" w:lineRule="exact"/>
              <w:ind w:firstLine="480"/>
            </w:pPr>
            <w:r>
              <w:t>式中：L</w:t>
            </w:r>
            <w:r>
              <w:rPr>
                <w:vertAlign w:val="subscript"/>
              </w:rPr>
              <w:t>p1i</w:t>
            </w:r>
            <w:r>
              <w:rPr>
                <w:rFonts w:hint="eastAsia"/>
              </w:rPr>
              <w:t>(</w:t>
            </w:r>
            <w:r>
              <w:t>T</w:t>
            </w:r>
            <w:r>
              <w:rPr>
                <w:rFonts w:hint="eastAsia"/>
              </w:rPr>
              <w:t>)-----</w:t>
            </w:r>
            <w:r>
              <w:t>靠近围护结构处室内N个声源i倍频带的叠加声压级，dB；</w:t>
            </w:r>
          </w:p>
          <w:p w14:paraId="2C77C534">
            <w:pPr>
              <w:adjustRightInd w:val="0"/>
              <w:snapToGrid w:val="0"/>
              <w:spacing w:line="520" w:lineRule="exact"/>
              <w:ind w:firstLine="480"/>
              <w:jc w:val="left"/>
            </w:pPr>
            <w:r>
              <w:t>L</w:t>
            </w:r>
            <w:r>
              <w:rPr>
                <w:vertAlign w:val="subscript"/>
              </w:rPr>
              <w:t>p1ij</w:t>
            </w:r>
            <w:r>
              <w:rPr>
                <w:rFonts w:hint="eastAsia"/>
              </w:rPr>
              <w:t>-----</w:t>
            </w:r>
            <w:r>
              <w:t>室内j声源i倍频带的声压级，dB；</w:t>
            </w:r>
          </w:p>
          <w:p w14:paraId="239B8B48">
            <w:pPr>
              <w:adjustRightInd w:val="0"/>
              <w:snapToGrid w:val="0"/>
              <w:spacing w:line="520" w:lineRule="exact"/>
              <w:ind w:firstLine="480"/>
              <w:jc w:val="left"/>
            </w:pPr>
            <w:r>
              <w:t>N</w:t>
            </w:r>
            <w:r>
              <w:rPr>
                <w:rFonts w:hint="eastAsia"/>
              </w:rPr>
              <w:t>-------</w:t>
            </w:r>
            <w:r>
              <w:t>室内声源总数。</w:t>
            </w:r>
          </w:p>
          <w:p w14:paraId="4A555736">
            <w:pPr>
              <w:adjustRightInd w:val="0"/>
              <w:snapToGrid w:val="0"/>
              <w:spacing w:line="520" w:lineRule="exact"/>
              <w:ind w:firstLine="480"/>
              <w:jc w:val="left"/>
              <w:textAlignment w:val="baseline"/>
            </w:pPr>
            <w:r>
              <w:t>在室内近似为扩散声场时，按下式计算出靠近室外围护结构处的声压级：</w:t>
            </w:r>
          </w:p>
          <w:p w14:paraId="506EDF93">
            <w:pPr>
              <w:adjustRightInd w:val="0"/>
              <w:snapToGrid w:val="0"/>
              <w:spacing w:line="520" w:lineRule="exact"/>
              <w:ind w:firstLine="480"/>
              <w:jc w:val="center"/>
              <w:textAlignment w:val="baseline"/>
            </w:pPr>
            <w:r>
              <w:t>L</w:t>
            </w:r>
            <w:r>
              <w:rPr>
                <w:vertAlign w:val="subscript"/>
              </w:rPr>
              <w:t>p2i</w:t>
            </w:r>
            <w:r>
              <w:rPr>
                <w:rFonts w:hint="eastAsia"/>
              </w:rPr>
              <w:t>(</w:t>
            </w:r>
            <w:r>
              <w:t>T</w:t>
            </w:r>
            <w:r>
              <w:rPr>
                <w:rFonts w:hint="eastAsia"/>
              </w:rPr>
              <w:t>)</w:t>
            </w:r>
            <w:r>
              <w:t>=L</w:t>
            </w:r>
            <w:r>
              <w:rPr>
                <w:vertAlign w:val="subscript"/>
              </w:rPr>
              <w:t>p1i</w:t>
            </w:r>
            <w:r>
              <w:rPr>
                <w:rFonts w:hint="eastAsia"/>
              </w:rPr>
              <w:t>(</w:t>
            </w:r>
            <w:r>
              <w:t>T</w:t>
            </w:r>
            <w:r>
              <w:rPr>
                <w:rFonts w:hint="eastAsia"/>
              </w:rPr>
              <w:t xml:space="preserve">) </w:t>
            </w:r>
            <w:r>
              <w:rPr>
                <w:rFonts w:hint="eastAsia" w:ascii="微软雅黑" w:hAnsi="微软雅黑" w:eastAsia="微软雅黑" w:cs="微软雅黑"/>
              </w:rPr>
              <w:t xml:space="preserve">- </w:t>
            </w:r>
            <w:r>
              <w:rPr>
                <w:rFonts w:hint="eastAsia"/>
              </w:rPr>
              <w:t>(</w:t>
            </w:r>
            <w:r>
              <w:t>TL</w:t>
            </w:r>
            <w:r>
              <w:rPr>
                <w:vertAlign w:val="subscript"/>
              </w:rPr>
              <w:t>i</w:t>
            </w:r>
            <w:r>
              <w:t>+6</w:t>
            </w:r>
            <w:r>
              <w:rPr>
                <w:rFonts w:hint="eastAsia"/>
              </w:rPr>
              <w:t>)</w:t>
            </w:r>
          </w:p>
          <w:p w14:paraId="505DF28D">
            <w:pPr>
              <w:adjustRightInd w:val="0"/>
              <w:snapToGrid w:val="0"/>
              <w:spacing w:line="520" w:lineRule="exact"/>
              <w:ind w:firstLine="480"/>
              <w:jc w:val="left"/>
              <w:textAlignment w:val="baseline"/>
            </w:pPr>
            <w:r>
              <w:t>式中：L</w:t>
            </w:r>
            <w:r>
              <w:rPr>
                <w:vertAlign w:val="subscript"/>
              </w:rPr>
              <w:t>p2i</w:t>
            </w:r>
            <w:r>
              <w:rPr>
                <w:rFonts w:hint="eastAsia"/>
              </w:rPr>
              <w:t>(</w:t>
            </w:r>
            <w:r>
              <w:t>T</w:t>
            </w:r>
            <w:r>
              <w:rPr>
                <w:rFonts w:hint="eastAsia"/>
              </w:rPr>
              <w:t>)-----</w:t>
            </w:r>
            <w:r>
              <w:t>靠近围护结构处室外N个声源i倍频带的叠加声压级，dB；</w:t>
            </w:r>
          </w:p>
          <w:p w14:paraId="0E1DEFD1">
            <w:pPr>
              <w:adjustRightInd w:val="0"/>
              <w:snapToGrid w:val="0"/>
              <w:spacing w:line="520" w:lineRule="exact"/>
              <w:ind w:firstLine="480"/>
              <w:jc w:val="left"/>
              <w:textAlignment w:val="baseline"/>
            </w:pPr>
            <w:r>
              <w:t>L</w:t>
            </w:r>
            <w:r>
              <w:rPr>
                <w:vertAlign w:val="subscript"/>
              </w:rPr>
              <w:t>p1i</w:t>
            </w:r>
            <w:r>
              <w:rPr>
                <w:rFonts w:hint="eastAsia"/>
              </w:rPr>
              <w:t>(</w:t>
            </w:r>
            <w:r>
              <w:t>T</w:t>
            </w:r>
            <w:r>
              <w:rPr>
                <w:rFonts w:hint="eastAsia"/>
              </w:rPr>
              <w:t>)-----</w:t>
            </w:r>
            <w:r>
              <w:t>靠近围护结构处室内N个声源i倍频带的叠加声压级，dB；</w:t>
            </w:r>
          </w:p>
          <w:p w14:paraId="549BB037">
            <w:pPr>
              <w:adjustRightInd w:val="0"/>
              <w:snapToGrid w:val="0"/>
              <w:spacing w:line="520" w:lineRule="exact"/>
              <w:ind w:firstLine="480"/>
              <w:jc w:val="left"/>
              <w:textAlignment w:val="baseline"/>
            </w:pPr>
            <w:r>
              <w:t>TL</w:t>
            </w:r>
            <w:r>
              <w:rPr>
                <w:vertAlign w:val="subscript"/>
              </w:rPr>
              <w:t>i</w:t>
            </w:r>
            <w:r>
              <w:rPr>
                <w:rFonts w:hint="eastAsia"/>
              </w:rPr>
              <w:t>---------</w:t>
            </w:r>
            <w:r>
              <w:t>围护结构i倍频带的隔声量，dB；</w:t>
            </w:r>
          </w:p>
          <w:p w14:paraId="7205C278">
            <w:pPr>
              <w:adjustRightInd w:val="0"/>
              <w:snapToGrid w:val="0"/>
              <w:spacing w:line="520" w:lineRule="exact"/>
              <w:ind w:firstLine="480"/>
              <w:jc w:val="left"/>
              <w:textAlignment w:val="baseline"/>
            </w:pPr>
            <w:r>
              <w:t>然后按下式将室外声源的声压级和透过面积换算成等效的室外声源，计算出中心位置位于透声面积（S）处的等效声源的倍频带声功率级：</w:t>
            </w:r>
          </w:p>
          <w:p w14:paraId="4ABA676C">
            <w:pPr>
              <w:adjustRightInd w:val="0"/>
              <w:snapToGrid w:val="0"/>
              <w:spacing w:line="520" w:lineRule="exact"/>
              <w:ind w:firstLine="480"/>
              <w:jc w:val="center"/>
              <w:textAlignment w:val="baseline"/>
            </w:pPr>
            <w:r>
              <w:rPr>
                <w:rFonts w:hint="eastAsia"/>
              </w:rPr>
              <w:t>L</w:t>
            </w:r>
            <w:r>
              <w:rPr>
                <w:rFonts w:hint="eastAsia"/>
                <w:vertAlign w:val="subscript"/>
              </w:rPr>
              <w:t>w2</w:t>
            </w:r>
            <w:r>
              <w:t>=L</w:t>
            </w:r>
            <w:r>
              <w:rPr>
                <w:vertAlign w:val="subscript"/>
              </w:rPr>
              <w:t>p2</w:t>
            </w:r>
            <w:r>
              <w:rPr>
                <w:rFonts w:hint="eastAsia"/>
              </w:rPr>
              <w:t>(</w:t>
            </w:r>
            <w:r>
              <w:t>T</w:t>
            </w:r>
            <w:r>
              <w:rPr>
                <w:rFonts w:hint="eastAsia"/>
              </w:rPr>
              <w:t>)</w:t>
            </w:r>
            <w:r>
              <w:t>+10lgS</w:t>
            </w:r>
          </w:p>
          <w:p w14:paraId="5D3E9862">
            <w:pPr>
              <w:adjustRightInd w:val="0"/>
              <w:snapToGrid w:val="0"/>
              <w:spacing w:line="520" w:lineRule="exact"/>
              <w:ind w:firstLine="480"/>
              <w:jc w:val="left"/>
              <w:textAlignment w:val="baseline"/>
            </w:pPr>
            <w:r>
              <w:t>式中：L</w:t>
            </w:r>
            <w:r>
              <w:rPr>
                <w:vertAlign w:val="subscript"/>
              </w:rPr>
              <w:t>w2</w:t>
            </w:r>
            <w:r>
              <w:rPr>
                <w:rFonts w:hint="eastAsia"/>
              </w:rPr>
              <w:t>-----</w:t>
            </w:r>
            <w:r>
              <w:t>中心位置位于透声面积（S）处的等效声源的倍频带声功率级，dB；</w:t>
            </w:r>
          </w:p>
          <w:p w14:paraId="56FAAABA">
            <w:pPr>
              <w:adjustRightInd w:val="0"/>
              <w:snapToGrid w:val="0"/>
              <w:spacing w:line="520" w:lineRule="exact"/>
              <w:ind w:firstLine="480"/>
              <w:jc w:val="left"/>
              <w:textAlignment w:val="baseline"/>
            </w:pPr>
            <w:r>
              <w:t>L</w:t>
            </w:r>
            <w:r>
              <w:rPr>
                <w:vertAlign w:val="subscript"/>
              </w:rPr>
              <w:t>p2</w:t>
            </w:r>
            <w:r>
              <w:rPr>
                <w:rFonts w:hint="eastAsia"/>
              </w:rPr>
              <w:t>(</w:t>
            </w:r>
            <w:r>
              <w:t>T</w:t>
            </w:r>
            <w:r>
              <w:rPr>
                <w:rFonts w:hint="eastAsia"/>
              </w:rPr>
              <w:t>)-----</w:t>
            </w:r>
            <w:r>
              <w:t>靠近围护结构处室外声源的声压级，dB；</w:t>
            </w:r>
          </w:p>
          <w:p w14:paraId="163421D0">
            <w:pPr>
              <w:adjustRightInd w:val="0"/>
              <w:snapToGrid w:val="0"/>
              <w:spacing w:line="520" w:lineRule="exact"/>
              <w:ind w:firstLine="480"/>
              <w:jc w:val="left"/>
              <w:textAlignment w:val="baseline"/>
              <w:rPr>
                <w:rFonts w:eastAsia="黑体"/>
                <w:bCs/>
              </w:rPr>
            </w:pPr>
            <w:r>
              <w:t>S</w:t>
            </w:r>
            <w:r>
              <w:rPr>
                <w:rFonts w:hint="eastAsia"/>
              </w:rPr>
              <w:t>-----------</w:t>
            </w:r>
            <w:r>
              <w:t>透声面积，m</w:t>
            </w:r>
            <w:r>
              <w:rPr>
                <w:vertAlign w:val="superscript"/>
              </w:rPr>
              <w:t>2</w:t>
            </w:r>
            <w:r>
              <w:t>。</w:t>
            </w:r>
            <w:r>
              <w:rPr>
                <w:rFonts w:hint="eastAsia"/>
              </w:rPr>
              <w:t>（</w:t>
            </w:r>
            <w:r>
              <w:t>车间</w:t>
            </w:r>
            <w:r>
              <w:rPr>
                <w:rFonts w:hint="eastAsia"/>
              </w:rPr>
              <w:t>S=48）</w:t>
            </w:r>
          </w:p>
          <w:p w14:paraId="3B84A832">
            <w:pPr>
              <w:spacing w:line="520" w:lineRule="exact"/>
              <w:ind w:firstLine="960" w:firstLineChars="400"/>
              <w:rPr>
                <w:rFonts w:eastAsia="黑体"/>
                <w:bCs/>
              </w:rPr>
            </w:pPr>
            <w:r>
              <w:rPr>
                <w:rFonts w:eastAsia="黑体"/>
                <w:bCs/>
              </w:rPr>
              <w:t>表4-</w:t>
            </w:r>
            <w:r>
              <w:rPr>
                <w:rFonts w:hint="eastAsia" w:eastAsia="黑体"/>
                <w:bCs/>
              </w:rPr>
              <w:t>12</w:t>
            </w:r>
            <w:r>
              <w:rPr>
                <w:rFonts w:eastAsia="黑体"/>
                <w:bCs/>
              </w:rPr>
              <w:t xml:space="preserve">   </w:t>
            </w:r>
            <w:r>
              <w:rPr>
                <w:rFonts w:hint="eastAsia" w:eastAsia="黑体"/>
                <w:bCs/>
              </w:rPr>
              <w:t xml:space="preserve">   工业企业噪声源强调查清单（室内声源）</w:t>
            </w:r>
          </w:p>
          <w:tbl>
            <w:tblPr>
              <w:tblStyle w:val="26"/>
              <w:tblW w:w="8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36"/>
              <w:gridCol w:w="349"/>
              <w:gridCol w:w="720"/>
              <w:gridCol w:w="614"/>
              <w:gridCol w:w="511"/>
              <w:gridCol w:w="524"/>
              <w:gridCol w:w="427"/>
              <w:gridCol w:w="406"/>
              <w:gridCol w:w="365"/>
              <w:gridCol w:w="443"/>
              <w:gridCol w:w="527"/>
              <w:gridCol w:w="524"/>
              <w:gridCol w:w="480"/>
              <w:gridCol w:w="426"/>
              <w:gridCol w:w="454"/>
              <w:gridCol w:w="396"/>
              <w:gridCol w:w="371"/>
              <w:gridCol w:w="360"/>
            </w:tblGrid>
            <w:tr w14:paraId="79BF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vMerge w:val="restart"/>
                  <w:noWrap/>
                  <w:vAlign w:val="center"/>
                </w:tcPr>
                <w:p w14:paraId="3F292FC8">
                  <w:pPr>
                    <w:adjustRightInd w:val="0"/>
                    <w:snapToGrid w:val="0"/>
                    <w:spacing w:line="240" w:lineRule="auto"/>
                    <w:ind w:firstLine="0" w:firstLineChars="0"/>
                    <w:jc w:val="center"/>
                    <w:rPr>
                      <w:b/>
                      <w:bCs/>
                      <w:sz w:val="21"/>
                      <w:szCs w:val="21"/>
                      <w:lang w:val="pt-BR"/>
                    </w:rPr>
                  </w:pPr>
                  <w:r>
                    <w:rPr>
                      <w:b/>
                      <w:bCs/>
                      <w:sz w:val="21"/>
                      <w:szCs w:val="21"/>
                      <w:lang w:val="pt-BR"/>
                    </w:rPr>
                    <w:t>序号</w:t>
                  </w:r>
                </w:p>
              </w:tc>
              <w:tc>
                <w:tcPr>
                  <w:tcW w:w="349" w:type="dxa"/>
                  <w:vMerge w:val="restart"/>
                  <w:noWrap/>
                  <w:vAlign w:val="center"/>
                </w:tcPr>
                <w:p w14:paraId="36889558">
                  <w:pPr>
                    <w:adjustRightInd w:val="0"/>
                    <w:snapToGrid w:val="0"/>
                    <w:spacing w:line="240" w:lineRule="auto"/>
                    <w:ind w:firstLine="0" w:firstLineChars="0"/>
                    <w:jc w:val="center"/>
                    <w:rPr>
                      <w:b/>
                      <w:bCs/>
                      <w:sz w:val="21"/>
                      <w:szCs w:val="21"/>
                      <w:lang w:val="pt-BR"/>
                    </w:rPr>
                  </w:pPr>
                  <w:r>
                    <w:rPr>
                      <w:b/>
                      <w:bCs/>
                      <w:sz w:val="21"/>
                      <w:szCs w:val="21"/>
                      <w:lang w:val="pt-BR"/>
                    </w:rPr>
                    <w:t>建筑物名称</w:t>
                  </w:r>
                </w:p>
              </w:tc>
              <w:tc>
                <w:tcPr>
                  <w:tcW w:w="720" w:type="dxa"/>
                  <w:vMerge w:val="restart"/>
                  <w:noWrap/>
                  <w:vAlign w:val="center"/>
                </w:tcPr>
                <w:p w14:paraId="3253D36F">
                  <w:pPr>
                    <w:adjustRightInd w:val="0"/>
                    <w:snapToGrid w:val="0"/>
                    <w:spacing w:line="240" w:lineRule="auto"/>
                    <w:ind w:firstLine="0" w:firstLineChars="0"/>
                    <w:jc w:val="center"/>
                    <w:rPr>
                      <w:b/>
                      <w:bCs/>
                      <w:sz w:val="21"/>
                      <w:szCs w:val="21"/>
                      <w:lang w:val="pt-BR"/>
                    </w:rPr>
                  </w:pPr>
                  <w:r>
                    <w:rPr>
                      <w:b/>
                      <w:bCs/>
                      <w:sz w:val="21"/>
                      <w:szCs w:val="21"/>
                      <w:lang w:val="pt-BR"/>
                    </w:rPr>
                    <w:t>声源名称</w:t>
                  </w:r>
                </w:p>
              </w:tc>
              <w:tc>
                <w:tcPr>
                  <w:tcW w:w="614" w:type="dxa"/>
                  <w:vMerge w:val="restart"/>
                  <w:noWrap/>
                  <w:vAlign w:val="center"/>
                </w:tcPr>
                <w:p w14:paraId="3DBF8C85">
                  <w:pPr>
                    <w:adjustRightInd w:val="0"/>
                    <w:snapToGrid w:val="0"/>
                    <w:spacing w:line="240" w:lineRule="auto"/>
                    <w:ind w:firstLine="0" w:firstLineChars="0"/>
                    <w:jc w:val="center"/>
                    <w:rPr>
                      <w:b/>
                      <w:bCs/>
                      <w:sz w:val="21"/>
                      <w:szCs w:val="21"/>
                      <w:lang w:val="pt-BR"/>
                    </w:rPr>
                  </w:pPr>
                  <w:r>
                    <w:rPr>
                      <w:b/>
                      <w:bCs/>
                      <w:sz w:val="21"/>
                      <w:szCs w:val="21"/>
                      <w:lang w:val="pt-BR"/>
                    </w:rPr>
                    <w:t>（声</w:t>
                  </w:r>
                  <w:r>
                    <w:rPr>
                      <w:rFonts w:hint="eastAsia"/>
                      <w:b/>
                      <w:bCs/>
                      <w:sz w:val="21"/>
                      <w:szCs w:val="21"/>
                      <w:lang w:val="pt-BR"/>
                    </w:rPr>
                    <w:t>功率</w:t>
                  </w:r>
                  <w:r>
                    <w:rPr>
                      <w:b/>
                      <w:bCs/>
                      <w:sz w:val="21"/>
                      <w:szCs w:val="21"/>
                      <w:lang w:val="pt-BR"/>
                    </w:rPr>
                    <w:t>级/距声源距离）/[dB(A)/m]</w:t>
                  </w:r>
                </w:p>
              </w:tc>
              <w:tc>
                <w:tcPr>
                  <w:tcW w:w="511" w:type="dxa"/>
                  <w:vMerge w:val="restart"/>
                  <w:noWrap/>
                  <w:vAlign w:val="center"/>
                </w:tcPr>
                <w:p w14:paraId="1575E400">
                  <w:pPr>
                    <w:adjustRightInd w:val="0"/>
                    <w:snapToGrid w:val="0"/>
                    <w:spacing w:line="240" w:lineRule="auto"/>
                    <w:ind w:firstLine="0" w:firstLineChars="0"/>
                    <w:jc w:val="center"/>
                    <w:rPr>
                      <w:b/>
                      <w:bCs/>
                      <w:sz w:val="21"/>
                      <w:szCs w:val="21"/>
                      <w:lang w:val="pt-BR"/>
                    </w:rPr>
                  </w:pPr>
                  <w:r>
                    <w:rPr>
                      <w:b/>
                      <w:bCs/>
                      <w:sz w:val="21"/>
                      <w:szCs w:val="21"/>
                      <w:lang w:val="pt-BR"/>
                    </w:rPr>
                    <w:t>设备数量（台）</w:t>
                  </w:r>
                </w:p>
              </w:tc>
              <w:tc>
                <w:tcPr>
                  <w:tcW w:w="524" w:type="dxa"/>
                  <w:vMerge w:val="restart"/>
                  <w:noWrap/>
                  <w:vAlign w:val="center"/>
                </w:tcPr>
                <w:p w14:paraId="5475B923">
                  <w:pPr>
                    <w:adjustRightInd w:val="0"/>
                    <w:snapToGrid w:val="0"/>
                    <w:spacing w:line="240" w:lineRule="auto"/>
                    <w:ind w:firstLine="0" w:firstLineChars="0"/>
                    <w:jc w:val="center"/>
                    <w:rPr>
                      <w:b/>
                      <w:bCs/>
                      <w:sz w:val="21"/>
                      <w:szCs w:val="21"/>
                      <w:lang w:val="pt-BR"/>
                    </w:rPr>
                  </w:pPr>
                  <w:r>
                    <w:rPr>
                      <w:b/>
                      <w:bCs/>
                      <w:sz w:val="21"/>
                      <w:szCs w:val="21"/>
                      <w:lang w:val="pt-BR"/>
                    </w:rPr>
                    <w:t>设备叠加声功率级/dB（A）</w:t>
                  </w:r>
                </w:p>
              </w:tc>
              <w:tc>
                <w:tcPr>
                  <w:tcW w:w="427" w:type="dxa"/>
                  <w:vMerge w:val="restart"/>
                  <w:noWrap/>
                  <w:vAlign w:val="center"/>
                </w:tcPr>
                <w:p w14:paraId="78DFDC82">
                  <w:pPr>
                    <w:adjustRightInd w:val="0"/>
                    <w:snapToGrid w:val="0"/>
                    <w:spacing w:line="240" w:lineRule="auto"/>
                    <w:ind w:firstLine="0" w:firstLineChars="0"/>
                    <w:jc w:val="center"/>
                    <w:rPr>
                      <w:b/>
                      <w:bCs/>
                      <w:sz w:val="21"/>
                      <w:szCs w:val="21"/>
                      <w:lang w:val="pt-BR"/>
                    </w:rPr>
                  </w:pPr>
                  <w:r>
                    <w:rPr>
                      <w:b/>
                      <w:bCs/>
                      <w:sz w:val="21"/>
                      <w:szCs w:val="21"/>
                      <w:lang w:val="pt-BR"/>
                    </w:rPr>
                    <w:t>声源控制措施</w:t>
                  </w:r>
                </w:p>
              </w:tc>
              <w:tc>
                <w:tcPr>
                  <w:tcW w:w="1214" w:type="dxa"/>
                  <w:gridSpan w:val="3"/>
                  <w:noWrap/>
                  <w:vAlign w:val="center"/>
                </w:tcPr>
                <w:p w14:paraId="113E78D4">
                  <w:pPr>
                    <w:adjustRightInd w:val="0"/>
                    <w:snapToGrid w:val="0"/>
                    <w:spacing w:line="240" w:lineRule="auto"/>
                    <w:ind w:firstLine="0" w:firstLineChars="0"/>
                    <w:jc w:val="center"/>
                    <w:rPr>
                      <w:b/>
                      <w:bCs/>
                      <w:sz w:val="21"/>
                      <w:szCs w:val="21"/>
                      <w:lang w:val="pt-BR"/>
                    </w:rPr>
                  </w:pPr>
                  <w:r>
                    <w:rPr>
                      <w:b/>
                      <w:bCs/>
                      <w:sz w:val="21"/>
                      <w:szCs w:val="21"/>
                      <w:lang w:val="pt-BR"/>
                    </w:rPr>
                    <w:t>空间相对位置/m</w:t>
                  </w:r>
                </w:p>
              </w:tc>
              <w:tc>
                <w:tcPr>
                  <w:tcW w:w="527" w:type="dxa"/>
                  <w:vMerge w:val="restart"/>
                  <w:noWrap/>
                  <w:vAlign w:val="center"/>
                </w:tcPr>
                <w:p w14:paraId="07A07188">
                  <w:pPr>
                    <w:adjustRightInd w:val="0"/>
                    <w:snapToGrid w:val="0"/>
                    <w:spacing w:line="240" w:lineRule="auto"/>
                    <w:ind w:firstLine="0" w:firstLineChars="0"/>
                    <w:jc w:val="center"/>
                    <w:rPr>
                      <w:b/>
                      <w:bCs/>
                      <w:sz w:val="21"/>
                      <w:szCs w:val="21"/>
                      <w:lang w:val="pt-BR"/>
                    </w:rPr>
                  </w:pPr>
                  <w:r>
                    <w:rPr>
                      <w:b/>
                      <w:bCs/>
                      <w:sz w:val="21"/>
                      <w:szCs w:val="21"/>
                      <w:lang w:val="pt-BR"/>
                    </w:rPr>
                    <w:t>距室内边界距离/m</w:t>
                  </w:r>
                </w:p>
              </w:tc>
              <w:tc>
                <w:tcPr>
                  <w:tcW w:w="524" w:type="dxa"/>
                  <w:vMerge w:val="restart"/>
                  <w:noWrap/>
                  <w:vAlign w:val="center"/>
                </w:tcPr>
                <w:p w14:paraId="2669A840">
                  <w:pPr>
                    <w:adjustRightInd w:val="0"/>
                    <w:snapToGrid w:val="0"/>
                    <w:spacing w:line="240" w:lineRule="auto"/>
                    <w:ind w:firstLine="0" w:firstLineChars="0"/>
                    <w:jc w:val="center"/>
                    <w:rPr>
                      <w:b/>
                      <w:bCs/>
                      <w:sz w:val="21"/>
                      <w:szCs w:val="21"/>
                      <w:lang w:val="pt-BR"/>
                    </w:rPr>
                  </w:pPr>
                  <w:r>
                    <w:rPr>
                      <w:b/>
                      <w:bCs/>
                      <w:sz w:val="21"/>
                      <w:szCs w:val="21"/>
                      <w:lang w:val="pt-BR"/>
                    </w:rPr>
                    <w:t>室内边界声级/dB（A）</w:t>
                  </w:r>
                </w:p>
              </w:tc>
              <w:tc>
                <w:tcPr>
                  <w:tcW w:w="480" w:type="dxa"/>
                  <w:vMerge w:val="restart"/>
                  <w:noWrap/>
                  <w:vAlign w:val="center"/>
                </w:tcPr>
                <w:p w14:paraId="690F6EAF">
                  <w:pPr>
                    <w:adjustRightInd w:val="0"/>
                    <w:snapToGrid w:val="0"/>
                    <w:spacing w:line="240" w:lineRule="auto"/>
                    <w:ind w:firstLine="0" w:firstLineChars="0"/>
                    <w:jc w:val="center"/>
                    <w:rPr>
                      <w:b/>
                      <w:bCs/>
                      <w:sz w:val="21"/>
                      <w:szCs w:val="21"/>
                      <w:lang w:val="pt-BR"/>
                    </w:rPr>
                  </w:pPr>
                  <w:r>
                    <w:rPr>
                      <w:b/>
                      <w:bCs/>
                      <w:sz w:val="21"/>
                      <w:szCs w:val="21"/>
                      <w:lang w:val="pt-BR"/>
                    </w:rPr>
                    <w:t>室内边界叠加声级/dB（A）</w:t>
                  </w:r>
                </w:p>
              </w:tc>
              <w:tc>
                <w:tcPr>
                  <w:tcW w:w="426" w:type="dxa"/>
                  <w:vMerge w:val="restart"/>
                  <w:noWrap/>
                  <w:vAlign w:val="center"/>
                </w:tcPr>
                <w:p w14:paraId="4C893318">
                  <w:pPr>
                    <w:adjustRightInd w:val="0"/>
                    <w:snapToGrid w:val="0"/>
                    <w:spacing w:line="240" w:lineRule="auto"/>
                    <w:ind w:firstLine="0" w:firstLineChars="0"/>
                    <w:jc w:val="center"/>
                    <w:rPr>
                      <w:b/>
                      <w:bCs/>
                      <w:sz w:val="21"/>
                      <w:szCs w:val="21"/>
                      <w:lang w:val="pt-BR"/>
                    </w:rPr>
                  </w:pPr>
                  <w:r>
                    <w:rPr>
                      <w:b/>
                      <w:bCs/>
                      <w:sz w:val="21"/>
                      <w:szCs w:val="21"/>
                      <w:lang w:val="pt-BR"/>
                    </w:rPr>
                    <w:t>运行时段</w:t>
                  </w:r>
                </w:p>
              </w:tc>
              <w:tc>
                <w:tcPr>
                  <w:tcW w:w="454" w:type="dxa"/>
                  <w:vMerge w:val="restart"/>
                  <w:noWrap/>
                  <w:vAlign w:val="center"/>
                </w:tcPr>
                <w:p w14:paraId="035CBD97">
                  <w:pPr>
                    <w:adjustRightInd w:val="0"/>
                    <w:snapToGrid w:val="0"/>
                    <w:spacing w:line="240" w:lineRule="auto"/>
                    <w:ind w:firstLine="0" w:firstLineChars="0"/>
                    <w:jc w:val="center"/>
                    <w:rPr>
                      <w:b/>
                      <w:bCs/>
                      <w:sz w:val="21"/>
                      <w:szCs w:val="21"/>
                      <w:lang w:val="pt-BR"/>
                    </w:rPr>
                  </w:pPr>
                  <w:r>
                    <w:rPr>
                      <w:b/>
                      <w:bCs/>
                      <w:sz w:val="21"/>
                      <w:szCs w:val="21"/>
                      <w:lang w:val="pt-BR"/>
                    </w:rPr>
                    <w:t>建筑物插入损失/dB（A）</w:t>
                  </w:r>
                </w:p>
              </w:tc>
              <w:tc>
                <w:tcPr>
                  <w:tcW w:w="396" w:type="dxa"/>
                  <w:vMerge w:val="restart"/>
                  <w:noWrap/>
                  <w:vAlign w:val="center"/>
                </w:tcPr>
                <w:p w14:paraId="05D94792">
                  <w:pPr>
                    <w:adjustRightInd w:val="0"/>
                    <w:snapToGrid w:val="0"/>
                    <w:spacing w:line="240" w:lineRule="auto"/>
                    <w:ind w:firstLine="0" w:firstLineChars="0"/>
                    <w:jc w:val="center"/>
                    <w:rPr>
                      <w:b/>
                      <w:bCs/>
                      <w:sz w:val="21"/>
                      <w:szCs w:val="21"/>
                    </w:rPr>
                  </w:pPr>
                  <w:r>
                    <w:rPr>
                      <w:b/>
                      <w:bCs/>
                      <w:sz w:val="21"/>
                      <w:szCs w:val="21"/>
                      <w:lang w:val="pt-BR"/>
                    </w:rPr>
                    <w:t>透声面积</w:t>
                  </w:r>
                  <w:r>
                    <w:rPr>
                      <w:b/>
                      <w:bCs/>
                      <w:sz w:val="21"/>
                      <w:szCs w:val="21"/>
                    </w:rPr>
                    <w:t>/m</w:t>
                  </w:r>
                  <w:r>
                    <w:rPr>
                      <w:b/>
                      <w:bCs/>
                      <w:sz w:val="21"/>
                      <w:szCs w:val="21"/>
                      <w:vertAlign w:val="superscript"/>
                    </w:rPr>
                    <w:t>2</w:t>
                  </w:r>
                </w:p>
              </w:tc>
              <w:tc>
                <w:tcPr>
                  <w:tcW w:w="731" w:type="dxa"/>
                  <w:gridSpan w:val="2"/>
                  <w:noWrap/>
                  <w:vAlign w:val="center"/>
                </w:tcPr>
                <w:p w14:paraId="7836C944">
                  <w:pPr>
                    <w:adjustRightInd w:val="0"/>
                    <w:snapToGrid w:val="0"/>
                    <w:spacing w:line="240" w:lineRule="auto"/>
                    <w:ind w:firstLine="0" w:firstLineChars="0"/>
                    <w:jc w:val="center"/>
                    <w:rPr>
                      <w:b/>
                      <w:bCs/>
                      <w:sz w:val="21"/>
                      <w:szCs w:val="21"/>
                      <w:lang w:val="pt-BR"/>
                    </w:rPr>
                  </w:pPr>
                  <w:r>
                    <w:rPr>
                      <w:b/>
                      <w:bCs/>
                      <w:sz w:val="21"/>
                      <w:szCs w:val="21"/>
                      <w:lang w:val="pt-BR"/>
                    </w:rPr>
                    <w:t>建筑物外噪声</w:t>
                  </w:r>
                </w:p>
              </w:tc>
            </w:tr>
            <w:tr w14:paraId="4C42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vMerge w:val="continue"/>
                  <w:noWrap/>
                  <w:vAlign w:val="center"/>
                </w:tcPr>
                <w:p w14:paraId="0A867DF5">
                  <w:pPr>
                    <w:adjustRightInd w:val="0"/>
                    <w:snapToGrid w:val="0"/>
                    <w:spacing w:line="240" w:lineRule="auto"/>
                    <w:ind w:firstLine="0" w:firstLineChars="0"/>
                    <w:jc w:val="center"/>
                    <w:rPr>
                      <w:b/>
                      <w:bCs/>
                      <w:sz w:val="21"/>
                      <w:szCs w:val="21"/>
                      <w:lang w:val="pt-BR"/>
                    </w:rPr>
                  </w:pPr>
                </w:p>
              </w:tc>
              <w:tc>
                <w:tcPr>
                  <w:tcW w:w="349" w:type="dxa"/>
                  <w:vMerge w:val="continue"/>
                  <w:noWrap/>
                  <w:vAlign w:val="center"/>
                </w:tcPr>
                <w:p w14:paraId="7E4B0B99">
                  <w:pPr>
                    <w:adjustRightInd w:val="0"/>
                    <w:snapToGrid w:val="0"/>
                    <w:spacing w:line="240" w:lineRule="auto"/>
                    <w:ind w:firstLine="0" w:firstLineChars="0"/>
                    <w:jc w:val="center"/>
                    <w:rPr>
                      <w:b/>
                      <w:bCs/>
                      <w:sz w:val="21"/>
                      <w:szCs w:val="21"/>
                      <w:lang w:val="pt-BR"/>
                    </w:rPr>
                  </w:pPr>
                </w:p>
              </w:tc>
              <w:tc>
                <w:tcPr>
                  <w:tcW w:w="720" w:type="dxa"/>
                  <w:vMerge w:val="continue"/>
                  <w:noWrap/>
                  <w:vAlign w:val="center"/>
                </w:tcPr>
                <w:p w14:paraId="1AF92B94">
                  <w:pPr>
                    <w:adjustRightInd w:val="0"/>
                    <w:snapToGrid w:val="0"/>
                    <w:spacing w:line="240" w:lineRule="auto"/>
                    <w:ind w:firstLine="0" w:firstLineChars="0"/>
                    <w:jc w:val="center"/>
                    <w:rPr>
                      <w:b/>
                      <w:bCs/>
                      <w:sz w:val="21"/>
                      <w:szCs w:val="21"/>
                      <w:lang w:val="pt-BR"/>
                    </w:rPr>
                  </w:pPr>
                </w:p>
              </w:tc>
              <w:tc>
                <w:tcPr>
                  <w:tcW w:w="614" w:type="dxa"/>
                  <w:vMerge w:val="continue"/>
                  <w:noWrap/>
                  <w:vAlign w:val="center"/>
                </w:tcPr>
                <w:p w14:paraId="02E0840E">
                  <w:pPr>
                    <w:adjustRightInd w:val="0"/>
                    <w:snapToGrid w:val="0"/>
                    <w:spacing w:line="240" w:lineRule="auto"/>
                    <w:ind w:firstLine="0" w:firstLineChars="0"/>
                    <w:jc w:val="center"/>
                    <w:rPr>
                      <w:b/>
                      <w:bCs/>
                      <w:sz w:val="21"/>
                      <w:szCs w:val="21"/>
                      <w:lang w:val="pt-BR"/>
                    </w:rPr>
                  </w:pPr>
                </w:p>
              </w:tc>
              <w:tc>
                <w:tcPr>
                  <w:tcW w:w="511" w:type="dxa"/>
                  <w:vMerge w:val="continue"/>
                  <w:noWrap/>
                  <w:vAlign w:val="center"/>
                </w:tcPr>
                <w:p w14:paraId="4B5883CD">
                  <w:pPr>
                    <w:adjustRightInd w:val="0"/>
                    <w:snapToGrid w:val="0"/>
                    <w:spacing w:line="240" w:lineRule="auto"/>
                    <w:ind w:firstLine="0" w:firstLineChars="0"/>
                    <w:jc w:val="center"/>
                    <w:rPr>
                      <w:b/>
                      <w:bCs/>
                      <w:sz w:val="21"/>
                      <w:szCs w:val="21"/>
                      <w:lang w:val="pt-BR"/>
                    </w:rPr>
                  </w:pPr>
                </w:p>
              </w:tc>
              <w:tc>
                <w:tcPr>
                  <w:tcW w:w="524" w:type="dxa"/>
                  <w:vMerge w:val="continue"/>
                  <w:noWrap/>
                  <w:vAlign w:val="center"/>
                </w:tcPr>
                <w:p w14:paraId="7D40C5CA">
                  <w:pPr>
                    <w:adjustRightInd w:val="0"/>
                    <w:snapToGrid w:val="0"/>
                    <w:spacing w:line="240" w:lineRule="auto"/>
                    <w:ind w:firstLine="0" w:firstLineChars="0"/>
                    <w:jc w:val="center"/>
                    <w:rPr>
                      <w:b/>
                      <w:bCs/>
                      <w:sz w:val="21"/>
                      <w:szCs w:val="21"/>
                      <w:lang w:val="pt-BR"/>
                    </w:rPr>
                  </w:pPr>
                </w:p>
              </w:tc>
              <w:tc>
                <w:tcPr>
                  <w:tcW w:w="427" w:type="dxa"/>
                  <w:vMerge w:val="continue"/>
                  <w:noWrap/>
                  <w:vAlign w:val="center"/>
                </w:tcPr>
                <w:p w14:paraId="0B9CD00E">
                  <w:pPr>
                    <w:adjustRightInd w:val="0"/>
                    <w:snapToGrid w:val="0"/>
                    <w:spacing w:line="240" w:lineRule="auto"/>
                    <w:ind w:firstLine="0" w:firstLineChars="0"/>
                    <w:jc w:val="center"/>
                    <w:rPr>
                      <w:b/>
                      <w:bCs/>
                      <w:sz w:val="21"/>
                      <w:szCs w:val="21"/>
                      <w:lang w:val="pt-BR"/>
                    </w:rPr>
                  </w:pPr>
                </w:p>
              </w:tc>
              <w:tc>
                <w:tcPr>
                  <w:tcW w:w="406" w:type="dxa"/>
                  <w:noWrap/>
                  <w:vAlign w:val="center"/>
                </w:tcPr>
                <w:p w14:paraId="39F0FA3E">
                  <w:pPr>
                    <w:adjustRightInd w:val="0"/>
                    <w:snapToGrid w:val="0"/>
                    <w:spacing w:line="240" w:lineRule="auto"/>
                    <w:ind w:firstLine="0" w:firstLineChars="0"/>
                    <w:jc w:val="center"/>
                    <w:rPr>
                      <w:b/>
                      <w:bCs/>
                      <w:sz w:val="21"/>
                      <w:szCs w:val="21"/>
                      <w:lang w:val="pt-BR"/>
                    </w:rPr>
                  </w:pPr>
                  <w:r>
                    <w:rPr>
                      <w:b/>
                      <w:bCs/>
                      <w:sz w:val="21"/>
                      <w:szCs w:val="21"/>
                      <w:lang w:val="pt-BR"/>
                    </w:rPr>
                    <w:t>X</w:t>
                  </w:r>
                </w:p>
              </w:tc>
              <w:tc>
                <w:tcPr>
                  <w:tcW w:w="365" w:type="dxa"/>
                  <w:noWrap/>
                  <w:vAlign w:val="center"/>
                </w:tcPr>
                <w:p w14:paraId="751F92DD">
                  <w:pPr>
                    <w:adjustRightInd w:val="0"/>
                    <w:snapToGrid w:val="0"/>
                    <w:spacing w:line="240" w:lineRule="auto"/>
                    <w:ind w:firstLine="0" w:firstLineChars="0"/>
                    <w:jc w:val="center"/>
                    <w:rPr>
                      <w:b/>
                      <w:bCs/>
                      <w:sz w:val="21"/>
                      <w:szCs w:val="21"/>
                      <w:lang w:val="pt-BR"/>
                    </w:rPr>
                  </w:pPr>
                  <w:r>
                    <w:rPr>
                      <w:b/>
                      <w:bCs/>
                      <w:sz w:val="21"/>
                      <w:szCs w:val="21"/>
                      <w:lang w:val="pt-BR"/>
                    </w:rPr>
                    <w:t>Y</w:t>
                  </w:r>
                </w:p>
              </w:tc>
              <w:tc>
                <w:tcPr>
                  <w:tcW w:w="443" w:type="dxa"/>
                  <w:noWrap/>
                  <w:vAlign w:val="center"/>
                </w:tcPr>
                <w:p w14:paraId="1AB91B28">
                  <w:pPr>
                    <w:adjustRightInd w:val="0"/>
                    <w:snapToGrid w:val="0"/>
                    <w:spacing w:line="240" w:lineRule="auto"/>
                    <w:ind w:firstLine="0" w:firstLineChars="0"/>
                    <w:jc w:val="center"/>
                    <w:rPr>
                      <w:b/>
                      <w:bCs/>
                      <w:sz w:val="21"/>
                      <w:szCs w:val="21"/>
                      <w:lang w:val="pt-BR"/>
                    </w:rPr>
                  </w:pPr>
                  <w:r>
                    <w:rPr>
                      <w:b/>
                      <w:bCs/>
                      <w:sz w:val="21"/>
                      <w:szCs w:val="21"/>
                      <w:lang w:val="pt-BR"/>
                    </w:rPr>
                    <w:t>Z</w:t>
                  </w:r>
                </w:p>
              </w:tc>
              <w:tc>
                <w:tcPr>
                  <w:tcW w:w="527" w:type="dxa"/>
                  <w:vMerge w:val="continue"/>
                  <w:noWrap/>
                  <w:vAlign w:val="center"/>
                </w:tcPr>
                <w:p w14:paraId="4C28D1DE">
                  <w:pPr>
                    <w:adjustRightInd w:val="0"/>
                    <w:snapToGrid w:val="0"/>
                    <w:spacing w:line="240" w:lineRule="auto"/>
                    <w:ind w:firstLine="0" w:firstLineChars="0"/>
                    <w:jc w:val="center"/>
                    <w:rPr>
                      <w:b/>
                      <w:bCs/>
                      <w:sz w:val="21"/>
                      <w:szCs w:val="21"/>
                      <w:lang w:val="pt-BR"/>
                    </w:rPr>
                  </w:pPr>
                </w:p>
              </w:tc>
              <w:tc>
                <w:tcPr>
                  <w:tcW w:w="524" w:type="dxa"/>
                  <w:vMerge w:val="continue"/>
                  <w:noWrap/>
                  <w:vAlign w:val="center"/>
                </w:tcPr>
                <w:p w14:paraId="7ED41380">
                  <w:pPr>
                    <w:adjustRightInd w:val="0"/>
                    <w:snapToGrid w:val="0"/>
                    <w:spacing w:line="240" w:lineRule="auto"/>
                    <w:ind w:firstLine="0" w:firstLineChars="0"/>
                    <w:jc w:val="center"/>
                    <w:rPr>
                      <w:b/>
                      <w:bCs/>
                      <w:sz w:val="21"/>
                      <w:szCs w:val="21"/>
                      <w:lang w:val="pt-BR"/>
                    </w:rPr>
                  </w:pPr>
                </w:p>
              </w:tc>
              <w:tc>
                <w:tcPr>
                  <w:tcW w:w="480" w:type="dxa"/>
                  <w:vMerge w:val="continue"/>
                  <w:noWrap/>
                  <w:vAlign w:val="center"/>
                </w:tcPr>
                <w:p w14:paraId="21148C0D">
                  <w:pPr>
                    <w:adjustRightInd w:val="0"/>
                    <w:snapToGrid w:val="0"/>
                    <w:spacing w:line="240" w:lineRule="auto"/>
                    <w:ind w:firstLine="0" w:firstLineChars="0"/>
                    <w:jc w:val="center"/>
                    <w:rPr>
                      <w:b/>
                      <w:bCs/>
                      <w:sz w:val="21"/>
                      <w:szCs w:val="21"/>
                      <w:lang w:val="pt-BR"/>
                    </w:rPr>
                  </w:pPr>
                </w:p>
              </w:tc>
              <w:tc>
                <w:tcPr>
                  <w:tcW w:w="426" w:type="dxa"/>
                  <w:vMerge w:val="continue"/>
                  <w:noWrap/>
                  <w:vAlign w:val="center"/>
                </w:tcPr>
                <w:p w14:paraId="32AA9DEB">
                  <w:pPr>
                    <w:adjustRightInd w:val="0"/>
                    <w:snapToGrid w:val="0"/>
                    <w:spacing w:line="240" w:lineRule="auto"/>
                    <w:ind w:firstLine="0" w:firstLineChars="0"/>
                    <w:jc w:val="center"/>
                    <w:rPr>
                      <w:b/>
                      <w:bCs/>
                      <w:sz w:val="21"/>
                      <w:szCs w:val="21"/>
                      <w:lang w:val="pt-BR"/>
                    </w:rPr>
                  </w:pPr>
                </w:p>
              </w:tc>
              <w:tc>
                <w:tcPr>
                  <w:tcW w:w="454" w:type="dxa"/>
                  <w:vMerge w:val="continue"/>
                  <w:noWrap/>
                  <w:vAlign w:val="center"/>
                </w:tcPr>
                <w:p w14:paraId="5B387662">
                  <w:pPr>
                    <w:adjustRightInd w:val="0"/>
                    <w:snapToGrid w:val="0"/>
                    <w:spacing w:line="240" w:lineRule="auto"/>
                    <w:ind w:firstLine="0" w:firstLineChars="0"/>
                    <w:jc w:val="center"/>
                    <w:rPr>
                      <w:b/>
                      <w:bCs/>
                      <w:sz w:val="21"/>
                      <w:szCs w:val="21"/>
                      <w:lang w:val="pt-BR"/>
                    </w:rPr>
                  </w:pPr>
                </w:p>
              </w:tc>
              <w:tc>
                <w:tcPr>
                  <w:tcW w:w="396" w:type="dxa"/>
                  <w:vMerge w:val="continue"/>
                  <w:noWrap/>
                  <w:vAlign w:val="center"/>
                </w:tcPr>
                <w:p w14:paraId="308BF8BC">
                  <w:pPr>
                    <w:adjustRightInd w:val="0"/>
                    <w:snapToGrid w:val="0"/>
                    <w:spacing w:line="240" w:lineRule="auto"/>
                    <w:ind w:firstLine="0" w:firstLineChars="0"/>
                    <w:jc w:val="center"/>
                    <w:rPr>
                      <w:b/>
                      <w:bCs/>
                      <w:sz w:val="21"/>
                      <w:szCs w:val="21"/>
                      <w:lang w:val="pt-BR"/>
                    </w:rPr>
                  </w:pPr>
                </w:p>
              </w:tc>
              <w:tc>
                <w:tcPr>
                  <w:tcW w:w="371" w:type="dxa"/>
                  <w:noWrap/>
                  <w:vAlign w:val="center"/>
                </w:tcPr>
                <w:p w14:paraId="54757AC2">
                  <w:pPr>
                    <w:adjustRightInd w:val="0"/>
                    <w:snapToGrid w:val="0"/>
                    <w:spacing w:line="240" w:lineRule="auto"/>
                    <w:ind w:firstLine="0" w:firstLineChars="0"/>
                    <w:jc w:val="center"/>
                    <w:rPr>
                      <w:b/>
                      <w:bCs/>
                      <w:sz w:val="21"/>
                      <w:szCs w:val="21"/>
                      <w:lang w:val="pt-BR"/>
                    </w:rPr>
                  </w:pPr>
                  <w:r>
                    <w:rPr>
                      <w:b/>
                      <w:bCs/>
                      <w:sz w:val="21"/>
                      <w:szCs w:val="21"/>
                      <w:lang w:val="pt-BR"/>
                    </w:rPr>
                    <w:t>声功率级/dB</w:t>
                  </w:r>
                </w:p>
              </w:tc>
              <w:tc>
                <w:tcPr>
                  <w:tcW w:w="360" w:type="dxa"/>
                  <w:noWrap/>
                  <w:vAlign w:val="center"/>
                </w:tcPr>
                <w:p w14:paraId="6EF62D9E">
                  <w:pPr>
                    <w:adjustRightInd w:val="0"/>
                    <w:snapToGrid w:val="0"/>
                    <w:spacing w:line="240" w:lineRule="auto"/>
                    <w:ind w:firstLine="0" w:firstLineChars="0"/>
                    <w:jc w:val="center"/>
                    <w:rPr>
                      <w:b/>
                      <w:bCs/>
                      <w:sz w:val="21"/>
                      <w:szCs w:val="21"/>
                      <w:lang w:val="pt-BR"/>
                    </w:rPr>
                  </w:pPr>
                  <w:r>
                    <w:rPr>
                      <w:b/>
                      <w:bCs/>
                      <w:sz w:val="21"/>
                      <w:szCs w:val="21"/>
                      <w:lang w:val="pt-BR"/>
                    </w:rPr>
                    <w:t>建筑物外距离/m</w:t>
                  </w:r>
                </w:p>
              </w:tc>
            </w:tr>
            <w:tr w14:paraId="6F09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2978B104">
                  <w:pPr>
                    <w:adjustRightInd w:val="0"/>
                    <w:snapToGrid w:val="0"/>
                    <w:spacing w:line="240" w:lineRule="auto"/>
                    <w:ind w:firstLine="0" w:firstLineChars="0"/>
                    <w:jc w:val="center"/>
                    <w:rPr>
                      <w:sz w:val="21"/>
                      <w:szCs w:val="21"/>
                      <w:lang w:val="pt-BR"/>
                    </w:rPr>
                  </w:pPr>
                  <w:r>
                    <w:rPr>
                      <w:sz w:val="21"/>
                      <w:szCs w:val="21"/>
                    </w:rPr>
                    <w:t>1</w:t>
                  </w:r>
                </w:p>
              </w:tc>
              <w:tc>
                <w:tcPr>
                  <w:tcW w:w="349" w:type="dxa"/>
                  <w:vMerge w:val="restart"/>
                  <w:noWrap/>
                  <w:vAlign w:val="center"/>
                </w:tcPr>
                <w:p w14:paraId="10A6571F">
                  <w:pPr>
                    <w:adjustRightInd w:val="0"/>
                    <w:snapToGrid w:val="0"/>
                    <w:spacing w:line="240" w:lineRule="auto"/>
                    <w:ind w:firstLine="0" w:firstLineChars="0"/>
                    <w:jc w:val="center"/>
                    <w:rPr>
                      <w:sz w:val="21"/>
                      <w:szCs w:val="21"/>
                    </w:rPr>
                  </w:pPr>
                  <w:r>
                    <w:rPr>
                      <w:sz w:val="21"/>
                      <w:szCs w:val="21"/>
                    </w:rPr>
                    <w:t>生产车间</w:t>
                  </w:r>
                </w:p>
              </w:tc>
              <w:tc>
                <w:tcPr>
                  <w:tcW w:w="720" w:type="dxa"/>
                  <w:noWrap/>
                  <w:vAlign w:val="center"/>
                </w:tcPr>
                <w:p w14:paraId="69D71761">
                  <w:pPr>
                    <w:spacing w:line="240" w:lineRule="auto"/>
                    <w:ind w:firstLine="0" w:firstLineChars="0"/>
                    <w:jc w:val="center"/>
                    <w:rPr>
                      <w:sz w:val="21"/>
                      <w:szCs w:val="21"/>
                    </w:rPr>
                  </w:pPr>
                  <w:r>
                    <w:rPr>
                      <w:rFonts w:hint="eastAsia"/>
                      <w:sz w:val="21"/>
                      <w:szCs w:val="21"/>
                    </w:rPr>
                    <w:t>镭</w:t>
                  </w:r>
                  <w:r>
                    <w:rPr>
                      <w:sz w:val="21"/>
                      <w:szCs w:val="21"/>
                    </w:rPr>
                    <w:t>射机</w:t>
                  </w:r>
                </w:p>
              </w:tc>
              <w:tc>
                <w:tcPr>
                  <w:tcW w:w="614" w:type="dxa"/>
                  <w:noWrap/>
                  <w:vAlign w:val="center"/>
                </w:tcPr>
                <w:p w14:paraId="619A330D">
                  <w:pPr>
                    <w:adjustRightInd w:val="0"/>
                    <w:snapToGrid w:val="0"/>
                    <w:spacing w:line="240" w:lineRule="auto"/>
                    <w:ind w:firstLine="0" w:firstLineChars="0"/>
                    <w:jc w:val="center"/>
                    <w:rPr>
                      <w:sz w:val="21"/>
                      <w:szCs w:val="21"/>
                    </w:rPr>
                  </w:pPr>
                  <w:r>
                    <w:rPr>
                      <w:rFonts w:hint="eastAsia"/>
                      <w:sz w:val="21"/>
                      <w:szCs w:val="21"/>
                    </w:rPr>
                    <w:t>75/1</w:t>
                  </w:r>
                </w:p>
              </w:tc>
              <w:tc>
                <w:tcPr>
                  <w:tcW w:w="511" w:type="dxa"/>
                  <w:noWrap/>
                  <w:vAlign w:val="center"/>
                </w:tcPr>
                <w:p w14:paraId="3F8C8795">
                  <w:pPr>
                    <w:spacing w:line="240" w:lineRule="auto"/>
                    <w:ind w:firstLine="0" w:firstLineChars="0"/>
                    <w:jc w:val="center"/>
                    <w:rPr>
                      <w:sz w:val="21"/>
                      <w:szCs w:val="21"/>
                    </w:rPr>
                  </w:pPr>
                  <w:r>
                    <w:rPr>
                      <w:rFonts w:hint="eastAsia"/>
                      <w:sz w:val="21"/>
                      <w:szCs w:val="21"/>
                    </w:rPr>
                    <w:t>12</w:t>
                  </w:r>
                </w:p>
              </w:tc>
              <w:tc>
                <w:tcPr>
                  <w:tcW w:w="524" w:type="dxa"/>
                  <w:noWrap/>
                  <w:vAlign w:val="center"/>
                </w:tcPr>
                <w:p w14:paraId="13703291">
                  <w:pPr>
                    <w:adjustRightInd w:val="0"/>
                    <w:snapToGrid w:val="0"/>
                    <w:spacing w:line="240" w:lineRule="auto"/>
                    <w:ind w:firstLine="0" w:firstLineChars="0"/>
                    <w:jc w:val="center"/>
                    <w:rPr>
                      <w:sz w:val="21"/>
                      <w:szCs w:val="21"/>
                    </w:rPr>
                  </w:pPr>
                  <w:r>
                    <w:rPr>
                      <w:rFonts w:hint="eastAsia"/>
                      <w:sz w:val="21"/>
                      <w:szCs w:val="21"/>
                    </w:rPr>
                    <w:t>85.8</w:t>
                  </w:r>
                </w:p>
              </w:tc>
              <w:tc>
                <w:tcPr>
                  <w:tcW w:w="427" w:type="dxa"/>
                  <w:vMerge w:val="restart"/>
                  <w:noWrap/>
                  <w:vAlign w:val="center"/>
                </w:tcPr>
                <w:p w14:paraId="42719116">
                  <w:pPr>
                    <w:adjustRightInd w:val="0"/>
                    <w:snapToGrid w:val="0"/>
                    <w:spacing w:line="240" w:lineRule="auto"/>
                    <w:ind w:firstLine="0" w:firstLineChars="0"/>
                    <w:jc w:val="center"/>
                    <w:rPr>
                      <w:sz w:val="21"/>
                      <w:szCs w:val="21"/>
                      <w:lang w:val="pt-BR"/>
                    </w:rPr>
                  </w:pPr>
                  <w:r>
                    <w:rPr>
                      <w:sz w:val="21"/>
                      <w:szCs w:val="21"/>
                      <w:lang w:val="pt-BR"/>
                    </w:rPr>
                    <w:t>设备减振、厂房隔声、距离衰减</w:t>
                  </w:r>
                </w:p>
              </w:tc>
              <w:tc>
                <w:tcPr>
                  <w:tcW w:w="406" w:type="dxa"/>
                  <w:noWrap/>
                  <w:vAlign w:val="center"/>
                </w:tcPr>
                <w:p w14:paraId="6E826B10">
                  <w:pPr>
                    <w:adjustRightInd w:val="0"/>
                    <w:snapToGrid w:val="0"/>
                    <w:spacing w:line="240" w:lineRule="auto"/>
                    <w:ind w:firstLine="0" w:firstLineChars="0"/>
                    <w:jc w:val="center"/>
                    <w:rPr>
                      <w:sz w:val="21"/>
                      <w:szCs w:val="21"/>
                    </w:rPr>
                  </w:pPr>
                  <w:r>
                    <w:rPr>
                      <w:rFonts w:hint="eastAsia"/>
                      <w:sz w:val="21"/>
                      <w:szCs w:val="21"/>
                    </w:rPr>
                    <w:t>20</w:t>
                  </w:r>
                </w:p>
              </w:tc>
              <w:tc>
                <w:tcPr>
                  <w:tcW w:w="365" w:type="dxa"/>
                  <w:noWrap/>
                  <w:vAlign w:val="center"/>
                </w:tcPr>
                <w:p w14:paraId="395722EC">
                  <w:pPr>
                    <w:adjustRightInd w:val="0"/>
                    <w:snapToGrid w:val="0"/>
                    <w:spacing w:line="240" w:lineRule="auto"/>
                    <w:ind w:firstLine="0" w:firstLineChars="0"/>
                    <w:jc w:val="center"/>
                    <w:rPr>
                      <w:sz w:val="21"/>
                      <w:szCs w:val="21"/>
                    </w:rPr>
                  </w:pPr>
                  <w:r>
                    <w:rPr>
                      <w:rFonts w:hint="eastAsia"/>
                      <w:sz w:val="21"/>
                      <w:szCs w:val="21"/>
                    </w:rPr>
                    <w:t>20</w:t>
                  </w:r>
                </w:p>
              </w:tc>
              <w:tc>
                <w:tcPr>
                  <w:tcW w:w="443" w:type="dxa"/>
                  <w:noWrap/>
                  <w:vAlign w:val="center"/>
                </w:tcPr>
                <w:p w14:paraId="2379CD48">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36C2FA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21 </w:t>
                  </w:r>
                </w:p>
              </w:tc>
              <w:tc>
                <w:tcPr>
                  <w:tcW w:w="524" w:type="dxa"/>
                  <w:noWrap/>
                  <w:vAlign w:val="center"/>
                </w:tcPr>
                <w:p w14:paraId="5650FF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51.4 </w:t>
                  </w:r>
                </w:p>
              </w:tc>
              <w:tc>
                <w:tcPr>
                  <w:tcW w:w="480" w:type="dxa"/>
                  <w:vMerge w:val="restart"/>
                  <w:noWrap/>
                  <w:vAlign w:val="center"/>
                </w:tcPr>
                <w:p w14:paraId="645AC7ED">
                  <w:pPr>
                    <w:adjustRightInd w:val="0"/>
                    <w:snapToGrid w:val="0"/>
                    <w:spacing w:line="240" w:lineRule="auto"/>
                    <w:ind w:firstLine="0" w:firstLineChars="0"/>
                    <w:jc w:val="center"/>
                    <w:rPr>
                      <w:sz w:val="21"/>
                      <w:szCs w:val="21"/>
                    </w:rPr>
                  </w:pPr>
                  <w:r>
                    <w:rPr>
                      <w:rFonts w:hint="eastAsia"/>
                      <w:sz w:val="21"/>
                      <w:szCs w:val="21"/>
                    </w:rPr>
                    <w:t>59.9</w:t>
                  </w:r>
                </w:p>
              </w:tc>
              <w:tc>
                <w:tcPr>
                  <w:tcW w:w="426" w:type="dxa"/>
                  <w:vMerge w:val="restart"/>
                  <w:noWrap/>
                  <w:vAlign w:val="center"/>
                </w:tcPr>
                <w:p w14:paraId="086F6267">
                  <w:pPr>
                    <w:adjustRightInd w:val="0"/>
                    <w:snapToGrid w:val="0"/>
                    <w:spacing w:line="240" w:lineRule="auto"/>
                    <w:ind w:firstLine="0" w:firstLineChars="0"/>
                    <w:jc w:val="center"/>
                    <w:rPr>
                      <w:sz w:val="21"/>
                      <w:szCs w:val="21"/>
                    </w:rPr>
                  </w:pPr>
                  <w:r>
                    <w:rPr>
                      <w:rFonts w:hint="eastAsia"/>
                      <w:sz w:val="21"/>
                      <w:szCs w:val="21"/>
                    </w:rPr>
                    <w:t>8:00-24:00</w:t>
                  </w:r>
                </w:p>
              </w:tc>
              <w:tc>
                <w:tcPr>
                  <w:tcW w:w="454" w:type="dxa"/>
                  <w:vMerge w:val="restart"/>
                  <w:noWrap/>
                  <w:vAlign w:val="center"/>
                </w:tcPr>
                <w:p w14:paraId="4EEAF827">
                  <w:pPr>
                    <w:adjustRightInd w:val="0"/>
                    <w:snapToGrid w:val="0"/>
                    <w:spacing w:line="240" w:lineRule="auto"/>
                    <w:ind w:firstLine="0" w:firstLineChars="0"/>
                    <w:jc w:val="center"/>
                    <w:rPr>
                      <w:sz w:val="21"/>
                      <w:szCs w:val="21"/>
                    </w:rPr>
                  </w:pPr>
                  <w:r>
                    <w:rPr>
                      <w:rFonts w:hint="eastAsia"/>
                      <w:sz w:val="21"/>
                      <w:szCs w:val="21"/>
                    </w:rPr>
                    <w:t>20</w:t>
                  </w:r>
                </w:p>
              </w:tc>
              <w:tc>
                <w:tcPr>
                  <w:tcW w:w="396" w:type="dxa"/>
                  <w:vMerge w:val="restart"/>
                  <w:noWrap/>
                  <w:vAlign w:val="center"/>
                </w:tcPr>
                <w:p w14:paraId="1492FE91">
                  <w:pPr>
                    <w:adjustRightInd w:val="0"/>
                    <w:snapToGrid w:val="0"/>
                    <w:spacing w:line="240" w:lineRule="auto"/>
                    <w:ind w:firstLine="0" w:firstLineChars="0"/>
                    <w:jc w:val="center"/>
                    <w:rPr>
                      <w:sz w:val="21"/>
                      <w:szCs w:val="21"/>
                    </w:rPr>
                  </w:pPr>
                  <w:r>
                    <w:rPr>
                      <w:rFonts w:hint="eastAsia"/>
                      <w:sz w:val="21"/>
                      <w:szCs w:val="21"/>
                    </w:rPr>
                    <w:t>48</w:t>
                  </w:r>
                </w:p>
              </w:tc>
              <w:tc>
                <w:tcPr>
                  <w:tcW w:w="371" w:type="dxa"/>
                  <w:vMerge w:val="restart"/>
                  <w:noWrap/>
                  <w:vAlign w:val="center"/>
                </w:tcPr>
                <w:p w14:paraId="3B9D5620">
                  <w:pPr>
                    <w:adjustRightInd w:val="0"/>
                    <w:snapToGrid w:val="0"/>
                    <w:spacing w:line="240" w:lineRule="auto"/>
                    <w:ind w:firstLine="0" w:firstLineChars="0"/>
                    <w:jc w:val="center"/>
                    <w:rPr>
                      <w:sz w:val="21"/>
                      <w:szCs w:val="21"/>
                    </w:rPr>
                  </w:pPr>
                  <w:r>
                    <w:rPr>
                      <w:rFonts w:hint="eastAsia"/>
                      <w:sz w:val="21"/>
                      <w:szCs w:val="21"/>
                    </w:rPr>
                    <w:t>50.7</w:t>
                  </w:r>
                </w:p>
              </w:tc>
              <w:tc>
                <w:tcPr>
                  <w:tcW w:w="360" w:type="dxa"/>
                  <w:vMerge w:val="restart"/>
                  <w:noWrap/>
                  <w:vAlign w:val="center"/>
                </w:tcPr>
                <w:p w14:paraId="460AB79D">
                  <w:pPr>
                    <w:adjustRightInd w:val="0"/>
                    <w:snapToGrid w:val="0"/>
                    <w:spacing w:line="240" w:lineRule="auto"/>
                    <w:ind w:firstLine="0" w:firstLineChars="0"/>
                    <w:jc w:val="center"/>
                    <w:rPr>
                      <w:sz w:val="21"/>
                      <w:szCs w:val="21"/>
                    </w:rPr>
                  </w:pPr>
                  <w:r>
                    <w:rPr>
                      <w:rFonts w:hint="eastAsia"/>
                      <w:sz w:val="21"/>
                      <w:szCs w:val="21"/>
                    </w:rPr>
                    <w:t>1</w:t>
                  </w:r>
                </w:p>
              </w:tc>
            </w:tr>
            <w:tr w14:paraId="6606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4749679A">
                  <w:pPr>
                    <w:adjustRightInd w:val="0"/>
                    <w:snapToGrid w:val="0"/>
                    <w:spacing w:line="240" w:lineRule="auto"/>
                    <w:ind w:firstLine="0" w:firstLineChars="0"/>
                    <w:jc w:val="center"/>
                    <w:rPr>
                      <w:sz w:val="21"/>
                      <w:szCs w:val="21"/>
                    </w:rPr>
                  </w:pPr>
                  <w:r>
                    <w:rPr>
                      <w:sz w:val="21"/>
                      <w:szCs w:val="21"/>
                    </w:rPr>
                    <w:t>2</w:t>
                  </w:r>
                </w:p>
              </w:tc>
              <w:tc>
                <w:tcPr>
                  <w:tcW w:w="349" w:type="dxa"/>
                  <w:vMerge w:val="continue"/>
                  <w:noWrap/>
                  <w:vAlign w:val="center"/>
                </w:tcPr>
                <w:p w14:paraId="54991D03">
                  <w:pPr>
                    <w:adjustRightInd w:val="0"/>
                    <w:snapToGrid w:val="0"/>
                    <w:spacing w:line="240" w:lineRule="auto"/>
                    <w:ind w:firstLine="0" w:firstLineChars="0"/>
                    <w:jc w:val="center"/>
                    <w:rPr>
                      <w:sz w:val="21"/>
                      <w:szCs w:val="21"/>
                    </w:rPr>
                  </w:pPr>
                </w:p>
              </w:tc>
              <w:tc>
                <w:tcPr>
                  <w:tcW w:w="720" w:type="dxa"/>
                  <w:noWrap/>
                  <w:vAlign w:val="center"/>
                </w:tcPr>
                <w:p w14:paraId="55DFE294">
                  <w:pPr>
                    <w:adjustRightInd w:val="0"/>
                    <w:spacing w:line="240" w:lineRule="auto"/>
                    <w:ind w:firstLine="0" w:firstLineChars="0"/>
                    <w:jc w:val="center"/>
                    <w:rPr>
                      <w:sz w:val="21"/>
                      <w:szCs w:val="21"/>
                    </w:rPr>
                  </w:pPr>
                  <w:r>
                    <w:rPr>
                      <w:rFonts w:hint="eastAsia"/>
                      <w:sz w:val="21"/>
                      <w:szCs w:val="21"/>
                    </w:rPr>
                    <w:t>喷墨印刷机</w:t>
                  </w:r>
                </w:p>
              </w:tc>
              <w:tc>
                <w:tcPr>
                  <w:tcW w:w="614" w:type="dxa"/>
                  <w:noWrap/>
                  <w:vAlign w:val="center"/>
                </w:tcPr>
                <w:p w14:paraId="4F174CB4">
                  <w:pPr>
                    <w:adjustRightInd w:val="0"/>
                    <w:snapToGrid w:val="0"/>
                    <w:spacing w:line="240" w:lineRule="auto"/>
                    <w:ind w:firstLine="0" w:firstLineChars="0"/>
                    <w:jc w:val="center"/>
                    <w:rPr>
                      <w:sz w:val="21"/>
                      <w:szCs w:val="21"/>
                    </w:rPr>
                  </w:pPr>
                  <w:r>
                    <w:rPr>
                      <w:rFonts w:hint="eastAsia"/>
                      <w:sz w:val="21"/>
                      <w:szCs w:val="21"/>
                    </w:rPr>
                    <w:t>70/1</w:t>
                  </w:r>
                </w:p>
              </w:tc>
              <w:tc>
                <w:tcPr>
                  <w:tcW w:w="511" w:type="dxa"/>
                  <w:noWrap/>
                  <w:vAlign w:val="center"/>
                </w:tcPr>
                <w:p w14:paraId="3184438C">
                  <w:pPr>
                    <w:spacing w:line="240" w:lineRule="auto"/>
                    <w:ind w:firstLine="0" w:firstLineChars="0"/>
                    <w:jc w:val="center"/>
                    <w:rPr>
                      <w:sz w:val="21"/>
                      <w:szCs w:val="21"/>
                    </w:rPr>
                  </w:pPr>
                  <w:r>
                    <w:rPr>
                      <w:rFonts w:hint="eastAsia"/>
                      <w:sz w:val="21"/>
                      <w:szCs w:val="21"/>
                    </w:rPr>
                    <w:t>1</w:t>
                  </w:r>
                </w:p>
              </w:tc>
              <w:tc>
                <w:tcPr>
                  <w:tcW w:w="524" w:type="dxa"/>
                  <w:noWrap/>
                  <w:vAlign w:val="center"/>
                </w:tcPr>
                <w:p w14:paraId="785D79B8">
                  <w:pPr>
                    <w:adjustRightInd w:val="0"/>
                    <w:snapToGrid w:val="0"/>
                    <w:spacing w:line="240" w:lineRule="auto"/>
                    <w:ind w:firstLine="0" w:firstLineChars="0"/>
                    <w:jc w:val="center"/>
                    <w:rPr>
                      <w:sz w:val="21"/>
                      <w:szCs w:val="21"/>
                    </w:rPr>
                  </w:pPr>
                  <w:r>
                    <w:rPr>
                      <w:rFonts w:hint="eastAsia"/>
                      <w:sz w:val="21"/>
                      <w:szCs w:val="21"/>
                    </w:rPr>
                    <w:t>70</w:t>
                  </w:r>
                </w:p>
              </w:tc>
              <w:tc>
                <w:tcPr>
                  <w:tcW w:w="427" w:type="dxa"/>
                  <w:vMerge w:val="continue"/>
                  <w:noWrap/>
                  <w:vAlign w:val="center"/>
                </w:tcPr>
                <w:p w14:paraId="0048D104">
                  <w:pPr>
                    <w:adjustRightInd w:val="0"/>
                    <w:snapToGrid w:val="0"/>
                    <w:spacing w:line="240" w:lineRule="auto"/>
                    <w:ind w:firstLine="0" w:firstLineChars="0"/>
                    <w:jc w:val="center"/>
                    <w:rPr>
                      <w:sz w:val="21"/>
                      <w:szCs w:val="21"/>
                      <w:lang w:val="pt-BR"/>
                    </w:rPr>
                  </w:pPr>
                </w:p>
              </w:tc>
              <w:tc>
                <w:tcPr>
                  <w:tcW w:w="406" w:type="dxa"/>
                  <w:noWrap/>
                  <w:vAlign w:val="center"/>
                </w:tcPr>
                <w:p w14:paraId="6450EE01">
                  <w:pPr>
                    <w:adjustRightInd w:val="0"/>
                    <w:snapToGrid w:val="0"/>
                    <w:spacing w:line="240" w:lineRule="auto"/>
                    <w:ind w:firstLine="0" w:firstLineChars="0"/>
                    <w:jc w:val="center"/>
                    <w:rPr>
                      <w:sz w:val="21"/>
                      <w:szCs w:val="21"/>
                    </w:rPr>
                  </w:pPr>
                  <w:r>
                    <w:rPr>
                      <w:rFonts w:hint="eastAsia"/>
                      <w:sz w:val="21"/>
                      <w:szCs w:val="21"/>
                    </w:rPr>
                    <w:t>40</w:t>
                  </w:r>
                </w:p>
              </w:tc>
              <w:tc>
                <w:tcPr>
                  <w:tcW w:w="365" w:type="dxa"/>
                  <w:noWrap/>
                  <w:vAlign w:val="center"/>
                </w:tcPr>
                <w:p w14:paraId="5FE7121F">
                  <w:pPr>
                    <w:adjustRightInd w:val="0"/>
                    <w:snapToGrid w:val="0"/>
                    <w:spacing w:line="240" w:lineRule="auto"/>
                    <w:ind w:firstLine="0" w:firstLineChars="0"/>
                    <w:jc w:val="center"/>
                    <w:rPr>
                      <w:sz w:val="21"/>
                      <w:szCs w:val="21"/>
                    </w:rPr>
                  </w:pPr>
                  <w:r>
                    <w:rPr>
                      <w:rFonts w:hint="eastAsia"/>
                      <w:sz w:val="21"/>
                      <w:szCs w:val="21"/>
                    </w:rPr>
                    <w:t>15</w:t>
                  </w:r>
                </w:p>
              </w:tc>
              <w:tc>
                <w:tcPr>
                  <w:tcW w:w="443" w:type="dxa"/>
                  <w:noWrap/>
                  <w:vAlign w:val="center"/>
                </w:tcPr>
                <w:p w14:paraId="05E70EF3">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582924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11 </w:t>
                  </w:r>
                </w:p>
              </w:tc>
              <w:tc>
                <w:tcPr>
                  <w:tcW w:w="524" w:type="dxa"/>
                  <w:noWrap/>
                  <w:vAlign w:val="center"/>
                </w:tcPr>
                <w:p w14:paraId="47C188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41.2 </w:t>
                  </w:r>
                </w:p>
              </w:tc>
              <w:tc>
                <w:tcPr>
                  <w:tcW w:w="480" w:type="dxa"/>
                  <w:vMerge w:val="continue"/>
                  <w:noWrap/>
                  <w:vAlign w:val="center"/>
                </w:tcPr>
                <w:p w14:paraId="312C2681">
                  <w:pPr>
                    <w:adjustRightInd w:val="0"/>
                    <w:snapToGrid w:val="0"/>
                    <w:spacing w:line="240" w:lineRule="auto"/>
                    <w:ind w:firstLine="0" w:firstLineChars="0"/>
                    <w:jc w:val="center"/>
                    <w:rPr>
                      <w:sz w:val="21"/>
                      <w:szCs w:val="21"/>
                    </w:rPr>
                  </w:pPr>
                </w:p>
              </w:tc>
              <w:tc>
                <w:tcPr>
                  <w:tcW w:w="426" w:type="dxa"/>
                  <w:vMerge w:val="continue"/>
                  <w:noWrap/>
                  <w:vAlign w:val="center"/>
                </w:tcPr>
                <w:p w14:paraId="2F5EE969">
                  <w:pPr>
                    <w:adjustRightInd w:val="0"/>
                    <w:snapToGrid w:val="0"/>
                    <w:spacing w:line="240" w:lineRule="auto"/>
                    <w:ind w:firstLine="0" w:firstLineChars="0"/>
                    <w:jc w:val="center"/>
                    <w:rPr>
                      <w:sz w:val="21"/>
                      <w:szCs w:val="21"/>
                    </w:rPr>
                  </w:pPr>
                </w:p>
              </w:tc>
              <w:tc>
                <w:tcPr>
                  <w:tcW w:w="454" w:type="dxa"/>
                  <w:vMerge w:val="continue"/>
                  <w:noWrap/>
                  <w:vAlign w:val="center"/>
                </w:tcPr>
                <w:p w14:paraId="109341FC">
                  <w:pPr>
                    <w:adjustRightInd w:val="0"/>
                    <w:snapToGrid w:val="0"/>
                    <w:spacing w:line="240" w:lineRule="auto"/>
                    <w:ind w:firstLine="0" w:firstLineChars="0"/>
                    <w:jc w:val="center"/>
                    <w:rPr>
                      <w:sz w:val="21"/>
                      <w:szCs w:val="21"/>
                    </w:rPr>
                  </w:pPr>
                </w:p>
              </w:tc>
              <w:tc>
                <w:tcPr>
                  <w:tcW w:w="396" w:type="dxa"/>
                  <w:vMerge w:val="continue"/>
                  <w:noWrap/>
                  <w:vAlign w:val="center"/>
                </w:tcPr>
                <w:p w14:paraId="3C144E51">
                  <w:pPr>
                    <w:adjustRightInd w:val="0"/>
                    <w:snapToGrid w:val="0"/>
                    <w:spacing w:line="240" w:lineRule="auto"/>
                    <w:ind w:firstLine="0" w:firstLineChars="0"/>
                    <w:jc w:val="center"/>
                    <w:rPr>
                      <w:sz w:val="21"/>
                      <w:szCs w:val="21"/>
                    </w:rPr>
                  </w:pPr>
                </w:p>
              </w:tc>
              <w:tc>
                <w:tcPr>
                  <w:tcW w:w="371" w:type="dxa"/>
                  <w:vMerge w:val="continue"/>
                  <w:noWrap/>
                  <w:vAlign w:val="center"/>
                </w:tcPr>
                <w:p w14:paraId="59C6D71F">
                  <w:pPr>
                    <w:adjustRightInd w:val="0"/>
                    <w:snapToGrid w:val="0"/>
                    <w:spacing w:line="240" w:lineRule="auto"/>
                    <w:ind w:firstLine="0" w:firstLineChars="0"/>
                    <w:jc w:val="center"/>
                    <w:rPr>
                      <w:sz w:val="21"/>
                      <w:szCs w:val="21"/>
                    </w:rPr>
                  </w:pPr>
                </w:p>
              </w:tc>
              <w:tc>
                <w:tcPr>
                  <w:tcW w:w="360" w:type="dxa"/>
                  <w:vMerge w:val="continue"/>
                  <w:noWrap/>
                  <w:vAlign w:val="center"/>
                </w:tcPr>
                <w:p w14:paraId="509D6430">
                  <w:pPr>
                    <w:adjustRightInd w:val="0"/>
                    <w:snapToGrid w:val="0"/>
                    <w:spacing w:line="240" w:lineRule="auto"/>
                    <w:ind w:firstLine="0" w:firstLineChars="0"/>
                    <w:jc w:val="center"/>
                    <w:rPr>
                      <w:sz w:val="21"/>
                      <w:szCs w:val="21"/>
                    </w:rPr>
                  </w:pPr>
                </w:p>
              </w:tc>
            </w:tr>
            <w:tr w14:paraId="1D39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60930F62">
                  <w:pPr>
                    <w:adjustRightInd w:val="0"/>
                    <w:snapToGrid w:val="0"/>
                    <w:spacing w:line="240" w:lineRule="auto"/>
                    <w:ind w:firstLine="0" w:firstLineChars="0"/>
                    <w:jc w:val="center"/>
                    <w:rPr>
                      <w:sz w:val="21"/>
                      <w:szCs w:val="21"/>
                    </w:rPr>
                  </w:pPr>
                  <w:r>
                    <w:rPr>
                      <w:sz w:val="21"/>
                      <w:szCs w:val="21"/>
                    </w:rPr>
                    <w:t>3</w:t>
                  </w:r>
                </w:p>
              </w:tc>
              <w:tc>
                <w:tcPr>
                  <w:tcW w:w="349" w:type="dxa"/>
                  <w:vMerge w:val="continue"/>
                  <w:noWrap/>
                  <w:vAlign w:val="center"/>
                </w:tcPr>
                <w:p w14:paraId="2AD76690">
                  <w:pPr>
                    <w:adjustRightInd w:val="0"/>
                    <w:snapToGrid w:val="0"/>
                    <w:spacing w:line="240" w:lineRule="auto"/>
                    <w:ind w:firstLine="0" w:firstLineChars="0"/>
                    <w:jc w:val="center"/>
                    <w:rPr>
                      <w:sz w:val="21"/>
                      <w:szCs w:val="21"/>
                    </w:rPr>
                  </w:pPr>
                </w:p>
              </w:tc>
              <w:tc>
                <w:tcPr>
                  <w:tcW w:w="720" w:type="dxa"/>
                  <w:noWrap/>
                  <w:vAlign w:val="center"/>
                </w:tcPr>
                <w:p w14:paraId="586B02CF">
                  <w:pPr>
                    <w:adjustRightInd w:val="0"/>
                    <w:spacing w:line="240" w:lineRule="auto"/>
                    <w:ind w:firstLine="0" w:firstLineChars="0"/>
                    <w:jc w:val="center"/>
                    <w:rPr>
                      <w:sz w:val="21"/>
                      <w:szCs w:val="21"/>
                    </w:rPr>
                  </w:pPr>
                  <w:r>
                    <w:rPr>
                      <w:color w:val="000000"/>
                      <w:sz w:val="21"/>
                      <w:szCs w:val="21"/>
                    </w:rPr>
                    <w:t>绣花机</w:t>
                  </w:r>
                </w:p>
              </w:tc>
              <w:tc>
                <w:tcPr>
                  <w:tcW w:w="614" w:type="dxa"/>
                  <w:noWrap/>
                  <w:vAlign w:val="center"/>
                </w:tcPr>
                <w:p w14:paraId="5F8270E5">
                  <w:pPr>
                    <w:adjustRightInd w:val="0"/>
                    <w:snapToGrid w:val="0"/>
                    <w:spacing w:line="240" w:lineRule="auto"/>
                    <w:ind w:firstLine="0" w:firstLineChars="0"/>
                    <w:jc w:val="center"/>
                    <w:rPr>
                      <w:sz w:val="21"/>
                      <w:szCs w:val="21"/>
                    </w:rPr>
                  </w:pPr>
                  <w:r>
                    <w:rPr>
                      <w:rFonts w:hint="eastAsia"/>
                      <w:sz w:val="21"/>
                      <w:szCs w:val="21"/>
                    </w:rPr>
                    <w:t>70/1</w:t>
                  </w:r>
                </w:p>
              </w:tc>
              <w:tc>
                <w:tcPr>
                  <w:tcW w:w="511" w:type="dxa"/>
                  <w:noWrap/>
                  <w:vAlign w:val="center"/>
                </w:tcPr>
                <w:p w14:paraId="5372590C">
                  <w:pPr>
                    <w:spacing w:line="240" w:lineRule="auto"/>
                    <w:ind w:firstLine="0" w:firstLineChars="0"/>
                    <w:jc w:val="center"/>
                    <w:rPr>
                      <w:sz w:val="21"/>
                      <w:szCs w:val="21"/>
                    </w:rPr>
                  </w:pPr>
                  <w:r>
                    <w:rPr>
                      <w:rFonts w:hint="eastAsia"/>
                      <w:sz w:val="21"/>
                      <w:szCs w:val="21"/>
                    </w:rPr>
                    <w:t>4</w:t>
                  </w:r>
                </w:p>
              </w:tc>
              <w:tc>
                <w:tcPr>
                  <w:tcW w:w="524" w:type="dxa"/>
                  <w:noWrap/>
                  <w:vAlign w:val="center"/>
                </w:tcPr>
                <w:p w14:paraId="1B80CEF8">
                  <w:pPr>
                    <w:adjustRightInd w:val="0"/>
                    <w:snapToGrid w:val="0"/>
                    <w:spacing w:line="240" w:lineRule="auto"/>
                    <w:ind w:firstLine="0" w:firstLineChars="0"/>
                    <w:jc w:val="center"/>
                    <w:rPr>
                      <w:sz w:val="21"/>
                      <w:szCs w:val="21"/>
                    </w:rPr>
                  </w:pPr>
                  <w:r>
                    <w:rPr>
                      <w:rFonts w:hint="eastAsia"/>
                      <w:sz w:val="21"/>
                      <w:szCs w:val="21"/>
                    </w:rPr>
                    <w:t>76</w:t>
                  </w:r>
                </w:p>
              </w:tc>
              <w:tc>
                <w:tcPr>
                  <w:tcW w:w="427" w:type="dxa"/>
                  <w:vMerge w:val="continue"/>
                  <w:noWrap/>
                  <w:vAlign w:val="center"/>
                </w:tcPr>
                <w:p w14:paraId="4AA4D5A9">
                  <w:pPr>
                    <w:adjustRightInd w:val="0"/>
                    <w:snapToGrid w:val="0"/>
                    <w:spacing w:line="240" w:lineRule="auto"/>
                    <w:ind w:firstLine="0" w:firstLineChars="0"/>
                    <w:jc w:val="center"/>
                    <w:rPr>
                      <w:sz w:val="21"/>
                      <w:szCs w:val="21"/>
                      <w:lang w:val="pt-BR"/>
                    </w:rPr>
                  </w:pPr>
                </w:p>
              </w:tc>
              <w:tc>
                <w:tcPr>
                  <w:tcW w:w="406" w:type="dxa"/>
                  <w:noWrap/>
                  <w:vAlign w:val="center"/>
                </w:tcPr>
                <w:p w14:paraId="3D97B2AB">
                  <w:pPr>
                    <w:adjustRightInd w:val="0"/>
                    <w:snapToGrid w:val="0"/>
                    <w:spacing w:line="240" w:lineRule="auto"/>
                    <w:ind w:firstLine="0" w:firstLineChars="0"/>
                    <w:jc w:val="center"/>
                    <w:rPr>
                      <w:sz w:val="21"/>
                      <w:szCs w:val="21"/>
                    </w:rPr>
                  </w:pPr>
                  <w:r>
                    <w:rPr>
                      <w:rFonts w:hint="eastAsia"/>
                      <w:sz w:val="21"/>
                      <w:szCs w:val="21"/>
                    </w:rPr>
                    <w:t>35</w:t>
                  </w:r>
                </w:p>
              </w:tc>
              <w:tc>
                <w:tcPr>
                  <w:tcW w:w="365" w:type="dxa"/>
                  <w:noWrap/>
                  <w:vAlign w:val="center"/>
                </w:tcPr>
                <w:p w14:paraId="1508443D">
                  <w:pPr>
                    <w:adjustRightInd w:val="0"/>
                    <w:snapToGrid w:val="0"/>
                    <w:spacing w:line="240" w:lineRule="auto"/>
                    <w:ind w:firstLine="0" w:firstLineChars="0"/>
                    <w:jc w:val="center"/>
                    <w:rPr>
                      <w:sz w:val="21"/>
                      <w:szCs w:val="21"/>
                    </w:rPr>
                  </w:pPr>
                  <w:r>
                    <w:rPr>
                      <w:rFonts w:hint="eastAsia"/>
                      <w:sz w:val="21"/>
                      <w:szCs w:val="21"/>
                    </w:rPr>
                    <w:t>15</w:t>
                  </w:r>
                </w:p>
              </w:tc>
              <w:tc>
                <w:tcPr>
                  <w:tcW w:w="443" w:type="dxa"/>
                  <w:noWrap/>
                  <w:vAlign w:val="center"/>
                </w:tcPr>
                <w:p w14:paraId="10C8ADAE">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3C110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12 </w:t>
                  </w:r>
                </w:p>
              </w:tc>
              <w:tc>
                <w:tcPr>
                  <w:tcW w:w="524" w:type="dxa"/>
                  <w:noWrap/>
                  <w:vAlign w:val="center"/>
                </w:tcPr>
                <w:p w14:paraId="362CD7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46.4 </w:t>
                  </w:r>
                </w:p>
              </w:tc>
              <w:tc>
                <w:tcPr>
                  <w:tcW w:w="480" w:type="dxa"/>
                  <w:vMerge w:val="continue"/>
                  <w:noWrap/>
                  <w:vAlign w:val="center"/>
                </w:tcPr>
                <w:p w14:paraId="41413EEB">
                  <w:pPr>
                    <w:adjustRightInd w:val="0"/>
                    <w:snapToGrid w:val="0"/>
                    <w:spacing w:line="240" w:lineRule="auto"/>
                    <w:ind w:firstLine="0" w:firstLineChars="0"/>
                    <w:jc w:val="center"/>
                    <w:rPr>
                      <w:sz w:val="21"/>
                      <w:szCs w:val="21"/>
                    </w:rPr>
                  </w:pPr>
                </w:p>
              </w:tc>
              <w:tc>
                <w:tcPr>
                  <w:tcW w:w="426" w:type="dxa"/>
                  <w:vMerge w:val="continue"/>
                  <w:noWrap/>
                  <w:vAlign w:val="center"/>
                </w:tcPr>
                <w:p w14:paraId="39E45B18">
                  <w:pPr>
                    <w:adjustRightInd w:val="0"/>
                    <w:snapToGrid w:val="0"/>
                    <w:spacing w:line="240" w:lineRule="auto"/>
                    <w:ind w:firstLine="0" w:firstLineChars="0"/>
                    <w:jc w:val="center"/>
                    <w:rPr>
                      <w:sz w:val="21"/>
                      <w:szCs w:val="21"/>
                    </w:rPr>
                  </w:pPr>
                </w:p>
              </w:tc>
              <w:tc>
                <w:tcPr>
                  <w:tcW w:w="454" w:type="dxa"/>
                  <w:vMerge w:val="continue"/>
                  <w:noWrap/>
                  <w:vAlign w:val="center"/>
                </w:tcPr>
                <w:p w14:paraId="4941103E">
                  <w:pPr>
                    <w:adjustRightInd w:val="0"/>
                    <w:snapToGrid w:val="0"/>
                    <w:spacing w:line="240" w:lineRule="auto"/>
                    <w:ind w:firstLine="0" w:firstLineChars="0"/>
                    <w:jc w:val="center"/>
                    <w:rPr>
                      <w:sz w:val="21"/>
                      <w:szCs w:val="21"/>
                    </w:rPr>
                  </w:pPr>
                </w:p>
              </w:tc>
              <w:tc>
                <w:tcPr>
                  <w:tcW w:w="396" w:type="dxa"/>
                  <w:vMerge w:val="continue"/>
                  <w:noWrap/>
                  <w:vAlign w:val="center"/>
                </w:tcPr>
                <w:p w14:paraId="64175994">
                  <w:pPr>
                    <w:adjustRightInd w:val="0"/>
                    <w:snapToGrid w:val="0"/>
                    <w:spacing w:line="240" w:lineRule="auto"/>
                    <w:ind w:firstLine="0" w:firstLineChars="0"/>
                    <w:jc w:val="center"/>
                    <w:rPr>
                      <w:sz w:val="21"/>
                      <w:szCs w:val="21"/>
                    </w:rPr>
                  </w:pPr>
                </w:p>
              </w:tc>
              <w:tc>
                <w:tcPr>
                  <w:tcW w:w="371" w:type="dxa"/>
                  <w:vMerge w:val="continue"/>
                  <w:noWrap/>
                  <w:vAlign w:val="center"/>
                </w:tcPr>
                <w:p w14:paraId="286C3038">
                  <w:pPr>
                    <w:adjustRightInd w:val="0"/>
                    <w:snapToGrid w:val="0"/>
                    <w:spacing w:line="240" w:lineRule="auto"/>
                    <w:ind w:firstLine="0" w:firstLineChars="0"/>
                    <w:jc w:val="center"/>
                    <w:rPr>
                      <w:sz w:val="21"/>
                      <w:szCs w:val="21"/>
                    </w:rPr>
                  </w:pPr>
                </w:p>
              </w:tc>
              <w:tc>
                <w:tcPr>
                  <w:tcW w:w="360" w:type="dxa"/>
                  <w:vMerge w:val="continue"/>
                  <w:noWrap/>
                  <w:vAlign w:val="center"/>
                </w:tcPr>
                <w:p w14:paraId="4DC83B3A">
                  <w:pPr>
                    <w:adjustRightInd w:val="0"/>
                    <w:snapToGrid w:val="0"/>
                    <w:spacing w:line="240" w:lineRule="auto"/>
                    <w:ind w:firstLine="0" w:firstLineChars="0"/>
                    <w:jc w:val="center"/>
                    <w:rPr>
                      <w:sz w:val="21"/>
                      <w:szCs w:val="21"/>
                    </w:rPr>
                  </w:pPr>
                </w:p>
              </w:tc>
            </w:tr>
            <w:tr w14:paraId="1A49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0AD4E7B0">
                  <w:pPr>
                    <w:adjustRightInd w:val="0"/>
                    <w:snapToGrid w:val="0"/>
                    <w:spacing w:line="240" w:lineRule="auto"/>
                    <w:ind w:firstLine="0" w:firstLineChars="0"/>
                    <w:jc w:val="center"/>
                    <w:rPr>
                      <w:sz w:val="21"/>
                      <w:szCs w:val="21"/>
                    </w:rPr>
                  </w:pPr>
                  <w:r>
                    <w:rPr>
                      <w:sz w:val="21"/>
                      <w:szCs w:val="21"/>
                    </w:rPr>
                    <w:t>4</w:t>
                  </w:r>
                </w:p>
              </w:tc>
              <w:tc>
                <w:tcPr>
                  <w:tcW w:w="349" w:type="dxa"/>
                  <w:vMerge w:val="continue"/>
                  <w:noWrap/>
                  <w:vAlign w:val="center"/>
                </w:tcPr>
                <w:p w14:paraId="6B473F8A">
                  <w:pPr>
                    <w:adjustRightInd w:val="0"/>
                    <w:snapToGrid w:val="0"/>
                    <w:spacing w:line="240" w:lineRule="auto"/>
                    <w:ind w:firstLine="0" w:firstLineChars="0"/>
                    <w:jc w:val="center"/>
                    <w:rPr>
                      <w:sz w:val="21"/>
                      <w:szCs w:val="21"/>
                    </w:rPr>
                  </w:pPr>
                </w:p>
              </w:tc>
              <w:tc>
                <w:tcPr>
                  <w:tcW w:w="720" w:type="dxa"/>
                  <w:noWrap/>
                  <w:vAlign w:val="center"/>
                </w:tcPr>
                <w:p w14:paraId="6A22EA2D">
                  <w:pPr>
                    <w:adjustRightInd w:val="0"/>
                    <w:spacing w:line="240" w:lineRule="auto"/>
                    <w:ind w:firstLine="0" w:firstLineChars="0"/>
                    <w:jc w:val="center"/>
                    <w:rPr>
                      <w:sz w:val="21"/>
                      <w:szCs w:val="21"/>
                    </w:rPr>
                  </w:pPr>
                  <w:r>
                    <w:rPr>
                      <w:color w:val="000000"/>
                      <w:sz w:val="21"/>
                      <w:szCs w:val="21"/>
                    </w:rPr>
                    <w:t>高周波</w:t>
                  </w:r>
                  <w:r>
                    <w:rPr>
                      <w:rFonts w:hint="eastAsia"/>
                      <w:color w:val="000000"/>
                      <w:sz w:val="21"/>
                      <w:szCs w:val="21"/>
                    </w:rPr>
                    <w:t>熔接机</w:t>
                  </w:r>
                </w:p>
              </w:tc>
              <w:tc>
                <w:tcPr>
                  <w:tcW w:w="614" w:type="dxa"/>
                  <w:noWrap/>
                  <w:vAlign w:val="center"/>
                </w:tcPr>
                <w:p w14:paraId="3FC44DCF">
                  <w:pPr>
                    <w:adjustRightInd w:val="0"/>
                    <w:snapToGrid w:val="0"/>
                    <w:spacing w:line="240" w:lineRule="auto"/>
                    <w:ind w:firstLine="0" w:firstLineChars="0"/>
                    <w:jc w:val="center"/>
                    <w:rPr>
                      <w:sz w:val="21"/>
                      <w:szCs w:val="21"/>
                    </w:rPr>
                  </w:pPr>
                  <w:r>
                    <w:rPr>
                      <w:rFonts w:hint="eastAsia"/>
                      <w:sz w:val="21"/>
                      <w:szCs w:val="21"/>
                    </w:rPr>
                    <w:t>75/1</w:t>
                  </w:r>
                </w:p>
              </w:tc>
              <w:tc>
                <w:tcPr>
                  <w:tcW w:w="511" w:type="dxa"/>
                  <w:noWrap/>
                  <w:vAlign w:val="center"/>
                </w:tcPr>
                <w:p w14:paraId="0B61B684">
                  <w:pPr>
                    <w:spacing w:line="240" w:lineRule="auto"/>
                    <w:ind w:firstLine="0" w:firstLineChars="0"/>
                    <w:jc w:val="center"/>
                    <w:rPr>
                      <w:sz w:val="21"/>
                      <w:szCs w:val="21"/>
                    </w:rPr>
                  </w:pPr>
                  <w:r>
                    <w:rPr>
                      <w:rFonts w:hint="eastAsia"/>
                      <w:sz w:val="21"/>
                      <w:szCs w:val="21"/>
                    </w:rPr>
                    <w:t>15</w:t>
                  </w:r>
                </w:p>
              </w:tc>
              <w:tc>
                <w:tcPr>
                  <w:tcW w:w="524" w:type="dxa"/>
                  <w:noWrap/>
                  <w:vAlign w:val="center"/>
                </w:tcPr>
                <w:p w14:paraId="61726A82">
                  <w:pPr>
                    <w:adjustRightInd w:val="0"/>
                    <w:snapToGrid w:val="0"/>
                    <w:spacing w:line="240" w:lineRule="auto"/>
                    <w:ind w:firstLine="0" w:firstLineChars="0"/>
                    <w:jc w:val="center"/>
                    <w:rPr>
                      <w:sz w:val="21"/>
                      <w:szCs w:val="21"/>
                    </w:rPr>
                  </w:pPr>
                  <w:r>
                    <w:rPr>
                      <w:sz w:val="21"/>
                      <w:szCs w:val="21"/>
                    </w:rPr>
                    <w:t>8</w:t>
                  </w:r>
                  <w:r>
                    <w:rPr>
                      <w:rFonts w:hint="eastAsia"/>
                      <w:sz w:val="21"/>
                      <w:szCs w:val="21"/>
                    </w:rPr>
                    <w:t>3.8</w:t>
                  </w:r>
                </w:p>
              </w:tc>
              <w:tc>
                <w:tcPr>
                  <w:tcW w:w="427" w:type="dxa"/>
                  <w:vMerge w:val="continue"/>
                  <w:noWrap/>
                  <w:vAlign w:val="center"/>
                </w:tcPr>
                <w:p w14:paraId="5D30D39D">
                  <w:pPr>
                    <w:adjustRightInd w:val="0"/>
                    <w:snapToGrid w:val="0"/>
                    <w:spacing w:line="240" w:lineRule="auto"/>
                    <w:ind w:firstLine="0" w:firstLineChars="0"/>
                    <w:jc w:val="center"/>
                    <w:rPr>
                      <w:sz w:val="21"/>
                      <w:szCs w:val="21"/>
                      <w:lang w:val="pt-BR"/>
                    </w:rPr>
                  </w:pPr>
                </w:p>
              </w:tc>
              <w:tc>
                <w:tcPr>
                  <w:tcW w:w="406" w:type="dxa"/>
                  <w:noWrap/>
                  <w:vAlign w:val="center"/>
                </w:tcPr>
                <w:p w14:paraId="22C3B354">
                  <w:pPr>
                    <w:adjustRightInd w:val="0"/>
                    <w:snapToGrid w:val="0"/>
                    <w:spacing w:line="240" w:lineRule="auto"/>
                    <w:ind w:firstLine="0" w:firstLineChars="0"/>
                    <w:jc w:val="center"/>
                    <w:rPr>
                      <w:sz w:val="21"/>
                      <w:szCs w:val="21"/>
                    </w:rPr>
                  </w:pPr>
                  <w:r>
                    <w:rPr>
                      <w:rFonts w:hint="eastAsia"/>
                      <w:sz w:val="21"/>
                      <w:szCs w:val="21"/>
                    </w:rPr>
                    <w:t>65</w:t>
                  </w:r>
                </w:p>
              </w:tc>
              <w:tc>
                <w:tcPr>
                  <w:tcW w:w="365" w:type="dxa"/>
                  <w:noWrap/>
                  <w:vAlign w:val="center"/>
                </w:tcPr>
                <w:p w14:paraId="40E5E703">
                  <w:pPr>
                    <w:adjustRightInd w:val="0"/>
                    <w:snapToGrid w:val="0"/>
                    <w:spacing w:line="240" w:lineRule="auto"/>
                    <w:ind w:firstLine="0" w:firstLineChars="0"/>
                    <w:jc w:val="center"/>
                    <w:rPr>
                      <w:sz w:val="21"/>
                      <w:szCs w:val="21"/>
                    </w:rPr>
                  </w:pPr>
                  <w:r>
                    <w:rPr>
                      <w:rFonts w:hint="eastAsia"/>
                      <w:sz w:val="21"/>
                      <w:szCs w:val="21"/>
                    </w:rPr>
                    <w:t>20</w:t>
                  </w:r>
                </w:p>
              </w:tc>
              <w:tc>
                <w:tcPr>
                  <w:tcW w:w="443" w:type="dxa"/>
                  <w:noWrap/>
                  <w:vAlign w:val="center"/>
                </w:tcPr>
                <w:p w14:paraId="37A820A2">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0BCB90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26 </w:t>
                  </w:r>
                </w:p>
              </w:tc>
              <w:tc>
                <w:tcPr>
                  <w:tcW w:w="524" w:type="dxa"/>
                  <w:noWrap/>
                  <w:vAlign w:val="center"/>
                </w:tcPr>
                <w:p w14:paraId="5D5782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47.6 </w:t>
                  </w:r>
                </w:p>
              </w:tc>
              <w:tc>
                <w:tcPr>
                  <w:tcW w:w="480" w:type="dxa"/>
                  <w:vMerge w:val="continue"/>
                  <w:noWrap/>
                  <w:vAlign w:val="center"/>
                </w:tcPr>
                <w:p w14:paraId="7EAC24DD">
                  <w:pPr>
                    <w:adjustRightInd w:val="0"/>
                    <w:snapToGrid w:val="0"/>
                    <w:spacing w:line="240" w:lineRule="auto"/>
                    <w:ind w:firstLine="0" w:firstLineChars="0"/>
                    <w:jc w:val="center"/>
                    <w:rPr>
                      <w:sz w:val="21"/>
                      <w:szCs w:val="21"/>
                    </w:rPr>
                  </w:pPr>
                </w:p>
              </w:tc>
              <w:tc>
                <w:tcPr>
                  <w:tcW w:w="426" w:type="dxa"/>
                  <w:vMerge w:val="continue"/>
                  <w:noWrap/>
                  <w:vAlign w:val="center"/>
                </w:tcPr>
                <w:p w14:paraId="11A98E4C">
                  <w:pPr>
                    <w:adjustRightInd w:val="0"/>
                    <w:snapToGrid w:val="0"/>
                    <w:spacing w:line="240" w:lineRule="auto"/>
                    <w:ind w:firstLine="0" w:firstLineChars="0"/>
                    <w:jc w:val="center"/>
                    <w:rPr>
                      <w:sz w:val="21"/>
                      <w:szCs w:val="21"/>
                    </w:rPr>
                  </w:pPr>
                </w:p>
              </w:tc>
              <w:tc>
                <w:tcPr>
                  <w:tcW w:w="454" w:type="dxa"/>
                  <w:vMerge w:val="continue"/>
                  <w:noWrap/>
                  <w:vAlign w:val="center"/>
                </w:tcPr>
                <w:p w14:paraId="765D8C8D">
                  <w:pPr>
                    <w:adjustRightInd w:val="0"/>
                    <w:snapToGrid w:val="0"/>
                    <w:spacing w:line="240" w:lineRule="auto"/>
                    <w:ind w:firstLine="0" w:firstLineChars="0"/>
                    <w:jc w:val="center"/>
                    <w:rPr>
                      <w:sz w:val="21"/>
                      <w:szCs w:val="21"/>
                    </w:rPr>
                  </w:pPr>
                </w:p>
              </w:tc>
              <w:tc>
                <w:tcPr>
                  <w:tcW w:w="396" w:type="dxa"/>
                  <w:vMerge w:val="continue"/>
                  <w:noWrap/>
                  <w:vAlign w:val="center"/>
                </w:tcPr>
                <w:p w14:paraId="401481F5">
                  <w:pPr>
                    <w:adjustRightInd w:val="0"/>
                    <w:snapToGrid w:val="0"/>
                    <w:spacing w:line="240" w:lineRule="auto"/>
                    <w:ind w:firstLine="0" w:firstLineChars="0"/>
                    <w:jc w:val="center"/>
                    <w:rPr>
                      <w:sz w:val="21"/>
                      <w:szCs w:val="21"/>
                    </w:rPr>
                  </w:pPr>
                </w:p>
              </w:tc>
              <w:tc>
                <w:tcPr>
                  <w:tcW w:w="371" w:type="dxa"/>
                  <w:vMerge w:val="continue"/>
                  <w:noWrap/>
                  <w:vAlign w:val="center"/>
                </w:tcPr>
                <w:p w14:paraId="505DFE7B">
                  <w:pPr>
                    <w:adjustRightInd w:val="0"/>
                    <w:snapToGrid w:val="0"/>
                    <w:spacing w:line="240" w:lineRule="auto"/>
                    <w:ind w:firstLine="0" w:firstLineChars="0"/>
                    <w:jc w:val="center"/>
                    <w:rPr>
                      <w:sz w:val="21"/>
                      <w:szCs w:val="21"/>
                    </w:rPr>
                  </w:pPr>
                </w:p>
              </w:tc>
              <w:tc>
                <w:tcPr>
                  <w:tcW w:w="360" w:type="dxa"/>
                  <w:vMerge w:val="continue"/>
                  <w:noWrap/>
                  <w:vAlign w:val="center"/>
                </w:tcPr>
                <w:p w14:paraId="598DFE33">
                  <w:pPr>
                    <w:adjustRightInd w:val="0"/>
                    <w:snapToGrid w:val="0"/>
                    <w:spacing w:line="240" w:lineRule="auto"/>
                    <w:ind w:firstLine="0" w:firstLineChars="0"/>
                    <w:jc w:val="center"/>
                    <w:rPr>
                      <w:sz w:val="21"/>
                      <w:szCs w:val="21"/>
                    </w:rPr>
                  </w:pPr>
                </w:p>
              </w:tc>
            </w:tr>
            <w:tr w14:paraId="4C15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12AAEA1E">
                  <w:pPr>
                    <w:adjustRightInd w:val="0"/>
                    <w:snapToGrid w:val="0"/>
                    <w:spacing w:line="240" w:lineRule="auto"/>
                    <w:ind w:firstLine="0" w:firstLineChars="0"/>
                    <w:jc w:val="center"/>
                    <w:rPr>
                      <w:sz w:val="21"/>
                      <w:szCs w:val="21"/>
                    </w:rPr>
                  </w:pPr>
                  <w:r>
                    <w:rPr>
                      <w:sz w:val="21"/>
                      <w:szCs w:val="21"/>
                    </w:rPr>
                    <w:t>5</w:t>
                  </w:r>
                </w:p>
              </w:tc>
              <w:tc>
                <w:tcPr>
                  <w:tcW w:w="349" w:type="dxa"/>
                  <w:vMerge w:val="continue"/>
                  <w:noWrap/>
                  <w:vAlign w:val="center"/>
                </w:tcPr>
                <w:p w14:paraId="029390BC">
                  <w:pPr>
                    <w:adjustRightInd w:val="0"/>
                    <w:snapToGrid w:val="0"/>
                    <w:spacing w:line="240" w:lineRule="auto"/>
                    <w:ind w:firstLine="0" w:firstLineChars="0"/>
                    <w:jc w:val="center"/>
                    <w:rPr>
                      <w:sz w:val="21"/>
                      <w:szCs w:val="21"/>
                    </w:rPr>
                  </w:pPr>
                </w:p>
              </w:tc>
              <w:tc>
                <w:tcPr>
                  <w:tcW w:w="720" w:type="dxa"/>
                  <w:noWrap/>
                  <w:vAlign w:val="center"/>
                </w:tcPr>
                <w:p w14:paraId="51050C81">
                  <w:pPr>
                    <w:adjustRightInd w:val="0"/>
                    <w:spacing w:line="240" w:lineRule="auto"/>
                    <w:ind w:firstLine="0" w:firstLineChars="0"/>
                    <w:jc w:val="center"/>
                    <w:rPr>
                      <w:sz w:val="21"/>
                      <w:szCs w:val="21"/>
                    </w:rPr>
                  </w:pPr>
                  <w:r>
                    <w:rPr>
                      <w:color w:val="000000"/>
                      <w:sz w:val="21"/>
                      <w:szCs w:val="21"/>
                    </w:rPr>
                    <w:t>粘合机</w:t>
                  </w:r>
                </w:p>
              </w:tc>
              <w:tc>
                <w:tcPr>
                  <w:tcW w:w="614" w:type="dxa"/>
                  <w:noWrap/>
                  <w:vAlign w:val="center"/>
                </w:tcPr>
                <w:p w14:paraId="1CD7B253">
                  <w:pPr>
                    <w:adjustRightInd w:val="0"/>
                    <w:snapToGrid w:val="0"/>
                    <w:spacing w:line="240" w:lineRule="auto"/>
                    <w:ind w:firstLine="0" w:firstLineChars="0"/>
                    <w:jc w:val="center"/>
                    <w:rPr>
                      <w:sz w:val="21"/>
                      <w:szCs w:val="21"/>
                    </w:rPr>
                  </w:pPr>
                  <w:r>
                    <w:rPr>
                      <w:rFonts w:hint="eastAsia"/>
                      <w:sz w:val="21"/>
                      <w:szCs w:val="21"/>
                    </w:rPr>
                    <w:t>70/1</w:t>
                  </w:r>
                </w:p>
              </w:tc>
              <w:tc>
                <w:tcPr>
                  <w:tcW w:w="511" w:type="dxa"/>
                  <w:noWrap/>
                  <w:vAlign w:val="center"/>
                </w:tcPr>
                <w:p w14:paraId="5CF95F7C">
                  <w:pPr>
                    <w:spacing w:line="240" w:lineRule="auto"/>
                    <w:ind w:firstLine="0" w:firstLineChars="0"/>
                    <w:jc w:val="center"/>
                    <w:rPr>
                      <w:sz w:val="21"/>
                      <w:szCs w:val="21"/>
                    </w:rPr>
                  </w:pPr>
                  <w:r>
                    <w:rPr>
                      <w:rFonts w:hint="eastAsia"/>
                      <w:sz w:val="21"/>
                      <w:szCs w:val="21"/>
                    </w:rPr>
                    <w:t>1</w:t>
                  </w:r>
                </w:p>
              </w:tc>
              <w:tc>
                <w:tcPr>
                  <w:tcW w:w="524" w:type="dxa"/>
                  <w:noWrap/>
                  <w:vAlign w:val="center"/>
                </w:tcPr>
                <w:p w14:paraId="792419C5">
                  <w:pPr>
                    <w:adjustRightInd w:val="0"/>
                    <w:snapToGrid w:val="0"/>
                    <w:spacing w:line="240" w:lineRule="auto"/>
                    <w:ind w:firstLine="0" w:firstLineChars="0"/>
                    <w:jc w:val="center"/>
                    <w:rPr>
                      <w:sz w:val="21"/>
                      <w:szCs w:val="21"/>
                    </w:rPr>
                  </w:pPr>
                  <w:r>
                    <w:rPr>
                      <w:sz w:val="21"/>
                      <w:szCs w:val="21"/>
                    </w:rPr>
                    <w:t>7</w:t>
                  </w:r>
                  <w:r>
                    <w:rPr>
                      <w:rFonts w:hint="eastAsia"/>
                      <w:sz w:val="21"/>
                      <w:szCs w:val="21"/>
                    </w:rPr>
                    <w:t>0</w:t>
                  </w:r>
                  <w:r>
                    <w:rPr>
                      <w:sz w:val="21"/>
                      <w:szCs w:val="21"/>
                    </w:rPr>
                    <w:t>.0</w:t>
                  </w:r>
                </w:p>
              </w:tc>
              <w:tc>
                <w:tcPr>
                  <w:tcW w:w="427" w:type="dxa"/>
                  <w:vMerge w:val="continue"/>
                  <w:noWrap/>
                  <w:vAlign w:val="center"/>
                </w:tcPr>
                <w:p w14:paraId="6FD6D803">
                  <w:pPr>
                    <w:adjustRightInd w:val="0"/>
                    <w:snapToGrid w:val="0"/>
                    <w:spacing w:line="240" w:lineRule="auto"/>
                    <w:ind w:firstLine="0" w:firstLineChars="0"/>
                    <w:jc w:val="center"/>
                    <w:rPr>
                      <w:sz w:val="21"/>
                      <w:szCs w:val="21"/>
                      <w:lang w:val="pt-BR"/>
                    </w:rPr>
                  </w:pPr>
                </w:p>
              </w:tc>
              <w:tc>
                <w:tcPr>
                  <w:tcW w:w="406" w:type="dxa"/>
                  <w:noWrap/>
                  <w:vAlign w:val="center"/>
                </w:tcPr>
                <w:p w14:paraId="04481ED5">
                  <w:pPr>
                    <w:adjustRightInd w:val="0"/>
                    <w:snapToGrid w:val="0"/>
                    <w:spacing w:line="240" w:lineRule="auto"/>
                    <w:ind w:firstLine="0" w:firstLineChars="0"/>
                    <w:jc w:val="center"/>
                    <w:rPr>
                      <w:sz w:val="21"/>
                      <w:szCs w:val="21"/>
                    </w:rPr>
                  </w:pPr>
                  <w:r>
                    <w:rPr>
                      <w:rFonts w:hint="eastAsia"/>
                      <w:sz w:val="21"/>
                      <w:szCs w:val="21"/>
                    </w:rPr>
                    <w:t>55</w:t>
                  </w:r>
                </w:p>
              </w:tc>
              <w:tc>
                <w:tcPr>
                  <w:tcW w:w="365" w:type="dxa"/>
                  <w:noWrap/>
                  <w:vAlign w:val="center"/>
                </w:tcPr>
                <w:p w14:paraId="3C33ABEC">
                  <w:pPr>
                    <w:adjustRightInd w:val="0"/>
                    <w:snapToGrid w:val="0"/>
                    <w:spacing w:line="240" w:lineRule="auto"/>
                    <w:ind w:firstLine="0" w:firstLineChars="0"/>
                    <w:jc w:val="center"/>
                    <w:rPr>
                      <w:sz w:val="21"/>
                      <w:szCs w:val="21"/>
                    </w:rPr>
                  </w:pPr>
                  <w:r>
                    <w:rPr>
                      <w:rFonts w:hint="eastAsia"/>
                      <w:sz w:val="21"/>
                      <w:szCs w:val="21"/>
                    </w:rPr>
                    <w:t>15</w:t>
                  </w:r>
                </w:p>
              </w:tc>
              <w:tc>
                <w:tcPr>
                  <w:tcW w:w="443" w:type="dxa"/>
                  <w:noWrap/>
                  <w:vAlign w:val="center"/>
                </w:tcPr>
                <w:p w14:paraId="49CDD699">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2DF291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19 </w:t>
                  </w:r>
                </w:p>
              </w:tc>
              <w:tc>
                <w:tcPr>
                  <w:tcW w:w="524" w:type="dxa"/>
                  <w:noWrap/>
                  <w:vAlign w:val="center"/>
                </w:tcPr>
                <w:p w14:paraId="3C7CE6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36.6 </w:t>
                  </w:r>
                </w:p>
              </w:tc>
              <w:tc>
                <w:tcPr>
                  <w:tcW w:w="480" w:type="dxa"/>
                  <w:vMerge w:val="continue"/>
                  <w:noWrap/>
                  <w:vAlign w:val="center"/>
                </w:tcPr>
                <w:p w14:paraId="7E525FD2">
                  <w:pPr>
                    <w:adjustRightInd w:val="0"/>
                    <w:snapToGrid w:val="0"/>
                    <w:spacing w:line="240" w:lineRule="auto"/>
                    <w:ind w:firstLine="0" w:firstLineChars="0"/>
                    <w:jc w:val="center"/>
                    <w:rPr>
                      <w:sz w:val="21"/>
                      <w:szCs w:val="21"/>
                    </w:rPr>
                  </w:pPr>
                </w:p>
              </w:tc>
              <w:tc>
                <w:tcPr>
                  <w:tcW w:w="426" w:type="dxa"/>
                  <w:vMerge w:val="continue"/>
                  <w:noWrap/>
                  <w:vAlign w:val="center"/>
                </w:tcPr>
                <w:p w14:paraId="35F8298E">
                  <w:pPr>
                    <w:adjustRightInd w:val="0"/>
                    <w:snapToGrid w:val="0"/>
                    <w:spacing w:line="240" w:lineRule="auto"/>
                    <w:ind w:firstLine="0" w:firstLineChars="0"/>
                    <w:jc w:val="center"/>
                    <w:rPr>
                      <w:sz w:val="21"/>
                      <w:szCs w:val="21"/>
                    </w:rPr>
                  </w:pPr>
                </w:p>
              </w:tc>
              <w:tc>
                <w:tcPr>
                  <w:tcW w:w="454" w:type="dxa"/>
                  <w:vMerge w:val="continue"/>
                  <w:noWrap/>
                  <w:vAlign w:val="center"/>
                </w:tcPr>
                <w:p w14:paraId="0D4AEFED">
                  <w:pPr>
                    <w:adjustRightInd w:val="0"/>
                    <w:snapToGrid w:val="0"/>
                    <w:spacing w:line="240" w:lineRule="auto"/>
                    <w:ind w:firstLine="0" w:firstLineChars="0"/>
                    <w:jc w:val="center"/>
                    <w:rPr>
                      <w:sz w:val="21"/>
                      <w:szCs w:val="21"/>
                    </w:rPr>
                  </w:pPr>
                </w:p>
              </w:tc>
              <w:tc>
                <w:tcPr>
                  <w:tcW w:w="396" w:type="dxa"/>
                  <w:vMerge w:val="continue"/>
                  <w:noWrap/>
                  <w:vAlign w:val="center"/>
                </w:tcPr>
                <w:p w14:paraId="4C0947FB">
                  <w:pPr>
                    <w:adjustRightInd w:val="0"/>
                    <w:snapToGrid w:val="0"/>
                    <w:spacing w:line="240" w:lineRule="auto"/>
                    <w:ind w:firstLine="0" w:firstLineChars="0"/>
                    <w:jc w:val="center"/>
                    <w:rPr>
                      <w:sz w:val="21"/>
                      <w:szCs w:val="21"/>
                    </w:rPr>
                  </w:pPr>
                </w:p>
              </w:tc>
              <w:tc>
                <w:tcPr>
                  <w:tcW w:w="371" w:type="dxa"/>
                  <w:vMerge w:val="continue"/>
                  <w:noWrap/>
                  <w:vAlign w:val="center"/>
                </w:tcPr>
                <w:p w14:paraId="2E498D29">
                  <w:pPr>
                    <w:adjustRightInd w:val="0"/>
                    <w:snapToGrid w:val="0"/>
                    <w:spacing w:line="240" w:lineRule="auto"/>
                    <w:ind w:firstLine="0" w:firstLineChars="0"/>
                    <w:jc w:val="center"/>
                    <w:rPr>
                      <w:sz w:val="21"/>
                      <w:szCs w:val="21"/>
                    </w:rPr>
                  </w:pPr>
                </w:p>
              </w:tc>
              <w:tc>
                <w:tcPr>
                  <w:tcW w:w="360" w:type="dxa"/>
                  <w:vMerge w:val="continue"/>
                  <w:noWrap/>
                  <w:vAlign w:val="center"/>
                </w:tcPr>
                <w:p w14:paraId="1B11E0D5">
                  <w:pPr>
                    <w:adjustRightInd w:val="0"/>
                    <w:snapToGrid w:val="0"/>
                    <w:spacing w:line="240" w:lineRule="auto"/>
                    <w:ind w:firstLine="0" w:firstLineChars="0"/>
                    <w:jc w:val="center"/>
                    <w:rPr>
                      <w:sz w:val="21"/>
                      <w:szCs w:val="21"/>
                    </w:rPr>
                  </w:pPr>
                </w:p>
              </w:tc>
            </w:tr>
            <w:tr w14:paraId="409D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noWrap/>
                  <w:vAlign w:val="center"/>
                </w:tcPr>
                <w:p w14:paraId="3C35E72E">
                  <w:pPr>
                    <w:adjustRightInd w:val="0"/>
                    <w:snapToGrid w:val="0"/>
                    <w:spacing w:line="240" w:lineRule="auto"/>
                    <w:ind w:firstLine="0" w:firstLineChars="0"/>
                    <w:jc w:val="center"/>
                    <w:rPr>
                      <w:sz w:val="21"/>
                      <w:szCs w:val="21"/>
                    </w:rPr>
                  </w:pPr>
                  <w:r>
                    <w:rPr>
                      <w:sz w:val="21"/>
                      <w:szCs w:val="21"/>
                    </w:rPr>
                    <w:t>6</w:t>
                  </w:r>
                </w:p>
              </w:tc>
              <w:tc>
                <w:tcPr>
                  <w:tcW w:w="349" w:type="dxa"/>
                  <w:vMerge w:val="continue"/>
                  <w:noWrap/>
                  <w:vAlign w:val="center"/>
                </w:tcPr>
                <w:p w14:paraId="7F8E6440">
                  <w:pPr>
                    <w:adjustRightInd w:val="0"/>
                    <w:snapToGrid w:val="0"/>
                    <w:spacing w:line="240" w:lineRule="auto"/>
                    <w:ind w:firstLine="0" w:firstLineChars="0"/>
                    <w:jc w:val="center"/>
                    <w:rPr>
                      <w:sz w:val="21"/>
                      <w:szCs w:val="21"/>
                    </w:rPr>
                  </w:pPr>
                </w:p>
              </w:tc>
              <w:tc>
                <w:tcPr>
                  <w:tcW w:w="720" w:type="dxa"/>
                  <w:noWrap/>
                  <w:vAlign w:val="center"/>
                </w:tcPr>
                <w:p w14:paraId="33126FB3">
                  <w:pPr>
                    <w:adjustRightInd w:val="0"/>
                    <w:spacing w:line="240" w:lineRule="auto"/>
                    <w:ind w:firstLine="0" w:firstLineChars="0"/>
                    <w:jc w:val="center"/>
                    <w:rPr>
                      <w:sz w:val="21"/>
                      <w:szCs w:val="21"/>
                    </w:rPr>
                  </w:pPr>
                  <w:r>
                    <w:rPr>
                      <w:color w:val="000000"/>
                      <w:sz w:val="21"/>
                      <w:szCs w:val="21"/>
                    </w:rPr>
                    <w:t>冲床</w:t>
                  </w:r>
                </w:p>
              </w:tc>
              <w:tc>
                <w:tcPr>
                  <w:tcW w:w="614" w:type="dxa"/>
                  <w:noWrap/>
                  <w:vAlign w:val="center"/>
                </w:tcPr>
                <w:p w14:paraId="4E1F0929">
                  <w:pPr>
                    <w:adjustRightInd w:val="0"/>
                    <w:snapToGrid w:val="0"/>
                    <w:spacing w:line="240" w:lineRule="auto"/>
                    <w:ind w:firstLine="0" w:firstLineChars="0"/>
                    <w:jc w:val="center"/>
                    <w:rPr>
                      <w:sz w:val="21"/>
                      <w:szCs w:val="21"/>
                    </w:rPr>
                  </w:pPr>
                  <w:r>
                    <w:rPr>
                      <w:rFonts w:hint="eastAsia"/>
                      <w:sz w:val="21"/>
                      <w:szCs w:val="21"/>
                    </w:rPr>
                    <w:t>85/1</w:t>
                  </w:r>
                </w:p>
              </w:tc>
              <w:tc>
                <w:tcPr>
                  <w:tcW w:w="511" w:type="dxa"/>
                  <w:noWrap/>
                  <w:vAlign w:val="center"/>
                </w:tcPr>
                <w:p w14:paraId="2AC4A6ED">
                  <w:pPr>
                    <w:spacing w:line="240" w:lineRule="auto"/>
                    <w:ind w:firstLine="0" w:firstLineChars="0"/>
                    <w:jc w:val="center"/>
                    <w:rPr>
                      <w:sz w:val="21"/>
                      <w:szCs w:val="21"/>
                    </w:rPr>
                  </w:pPr>
                  <w:r>
                    <w:rPr>
                      <w:rFonts w:hint="eastAsia"/>
                      <w:sz w:val="21"/>
                      <w:szCs w:val="21"/>
                    </w:rPr>
                    <w:t>2</w:t>
                  </w:r>
                </w:p>
              </w:tc>
              <w:tc>
                <w:tcPr>
                  <w:tcW w:w="524" w:type="dxa"/>
                  <w:noWrap/>
                  <w:vAlign w:val="center"/>
                </w:tcPr>
                <w:p w14:paraId="26935850">
                  <w:pPr>
                    <w:adjustRightInd w:val="0"/>
                    <w:snapToGrid w:val="0"/>
                    <w:spacing w:line="240" w:lineRule="auto"/>
                    <w:ind w:firstLine="0" w:firstLineChars="0"/>
                    <w:jc w:val="center"/>
                    <w:rPr>
                      <w:sz w:val="21"/>
                      <w:szCs w:val="21"/>
                    </w:rPr>
                  </w:pPr>
                  <w:r>
                    <w:rPr>
                      <w:rFonts w:hint="eastAsia"/>
                      <w:sz w:val="21"/>
                      <w:szCs w:val="21"/>
                    </w:rPr>
                    <w:t>88</w:t>
                  </w:r>
                  <w:r>
                    <w:rPr>
                      <w:sz w:val="21"/>
                      <w:szCs w:val="21"/>
                    </w:rPr>
                    <w:t>.0</w:t>
                  </w:r>
                </w:p>
              </w:tc>
              <w:tc>
                <w:tcPr>
                  <w:tcW w:w="427" w:type="dxa"/>
                  <w:vMerge w:val="continue"/>
                  <w:noWrap/>
                  <w:vAlign w:val="center"/>
                </w:tcPr>
                <w:p w14:paraId="08490EF2">
                  <w:pPr>
                    <w:adjustRightInd w:val="0"/>
                    <w:snapToGrid w:val="0"/>
                    <w:spacing w:line="240" w:lineRule="auto"/>
                    <w:ind w:firstLine="0" w:firstLineChars="0"/>
                    <w:jc w:val="center"/>
                    <w:rPr>
                      <w:sz w:val="21"/>
                      <w:szCs w:val="21"/>
                      <w:lang w:val="pt-BR"/>
                    </w:rPr>
                  </w:pPr>
                </w:p>
              </w:tc>
              <w:tc>
                <w:tcPr>
                  <w:tcW w:w="406" w:type="dxa"/>
                  <w:noWrap/>
                  <w:vAlign w:val="center"/>
                </w:tcPr>
                <w:p w14:paraId="513E6C6F">
                  <w:pPr>
                    <w:adjustRightInd w:val="0"/>
                    <w:snapToGrid w:val="0"/>
                    <w:spacing w:line="240" w:lineRule="auto"/>
                    <w:ind w:firstLine="0" w:firstLineChars="0"/>
                    <w:jc w:val="center"/>
                    <w:rPr>
                      <w:sz w:val="21"/>
                      <w:szCs w:val="21"/>
                    </w:rPr>
                  </w:pPr>
                  <w:r>
                    <w:rPr>
                      <w:rFonts w:hint="eastAsia"/>
                      <w:sz w:val="21"/>
                      <w:szCs w:val="21"/>
                    </w:rPr>
                    <w:t>45</w:t>
                  </w:r>
                </w:p>
              </w:tc>
              <w:tc>
                <w:tcPr>
                  <w:tcW w:w="365" w:type="dxa"/>
                  <w:noWrap/>
                  <w:vAlign w:val="center"/>
                </w:tcPr>
                <w:p w14:paraId="7468EA1C">
                  <w:pPr>
                    <w:adjustRightInd w:val="0"/>
                    <w:snapToGrid w:val="0"/>
                    <w:spacing w:line="240" w:lineRule="auto"/>
                    <w:ind w:firstLine="0" w:firstLineChars="0"/>
                    <w:jc w:val="center"/>
                    <w:rPr>
                      <w:sz w:val="21"/>
                      <w:szCs w:val="21"/>
                    </w:rPr>
                  </w:pPr>
                  <w:r>
                    <w:rPr>
                      <w:rFonts w:hint="eastAsia"/>
                      <w:sz w:val="21"/>
                      <w:szCs w:val="21"/>
                    </w:rPr>
                    <w:t>15</w:t>
                  </w:r>
                </w:p>
              </w:tc>
              <w:tc>
                <w:tcPr>
                  <w:tcW w:w="443" w:type="dxa"/>
                  <w:noWrap/>
                  <w:vAlign w:val="center"/>
                </w:tcPr>
                <w:p w14:paraId="0B567EF4">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527EA8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12 </w:t>
                  </w:r>
                </w:p>
              </w:tc>
              <w:tc>
                <w:tcPr>
                  <w:tcW w:w="524" w:type="dxa"/>
                  <w:noWrap/>
                  <w:vAlign w:val="center"/>
                </w:tcPr>
                <w:p w14:paraId="2415B1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58.4 </w:t>
                  </w:r>
                </w:p>
              </w:tc>
              <w:tc>
                <w:tcPr>
                  <w:tcW w:w="480" w:type="dxa"/>
                  <w:vMerge w:val="continue"/>
                  <w:noWrap/>
                  <w:vAlign w:val="center"/>
                </w:tcPr>
                <w:p w14:paraId="44DA509E">
                  <w:pPr>
                    <w:adjustRightInd w:val="0"/>
                    <w:snapToGrid w:val="0"/>
                    <w:spacing w:line="240" w:lineRule="auto"/>
                    <w:ind w:firstLine="0" w:firstLineChars="0"/>
                    <w:jc w:val="center"/>
                    <w:rPr>
                      <w:sz w:val="21"/>
                      <w:szCs w:val="21"/>
                    </w:rPr>
                  </w:pPr>
                </w:p>
              </w:tc>
              <w:tc>
                <w:tcPr>
                  <w:tcW w:w="426" w:type="dxa"/>
                  <w:vMerge w:val="continue"/>
                  <w:noWrap/>
                  <w:vAlign w:val="center"/>
                </w:tcPr>
                <w:p w14:paraId="5E269A94">
                  <w:pPr>
                    <w:adjustRightInd w:val="0"/>
                    <w:snapToGrid w:val="0"/>
                    <w:spacing w:line="240" w:lineRule="auto"/>
                    <w:ind w:firstLine="0" w:firstLineChars="0"/>
                    <w:jc w:val="center"/>
                    <w:rPr>
                      <w:sz w:val="21"/>
                      <w:szCs w:val="21"/>
                    </w:rPr>
                  </w:pPr>
                </w:p>
              </w:tc>
              <w:tc>
                <w:tcPr>
                  <w:tcW w:w="454" w:type="dxa"/>
                  <w:vMerge w:val="continue"/>
                  <w:noWrap/>
                  <w:vAlign w:val="center"/>
                </w:tcPr>
                <w:p w14:paraId="45670FB3">
                  <w:pPr>
                    <w:adjustRightInd w:val="0"/>
                    <w:snapToGrid w:val="0"/>
                    <w:spacing w:line="240" w:lineRule="auto"/>
                    <w:ind w:firstLine="0" w:firstLineChars="0"/>
                    <w:jc w:val="center"/>
                    <w:rPr>
                      <w:sz w:val="21"/>
                      <w:szCs w:val="21"/>
                    </w:rPr>
                  </w:pPr>
                </w:p>
              </w:tc>
              <w:tc>
                <w:tcPr>
                  <w:tcW w:w="396" w:type="dxa"/>
                  <w:vMerge w:val="continue"/>
                  <w:noWrap/>
                  <w:vAlign w:val="center"/>
                </w:tcPr>
                <w:p w14:paraId="7F35BD8E">
                  <w:pPr>
                    <w:adjustRightInd w:val="0"/>
                    <w:snapToGrid w:val="0"/>
                    <w:spacing w:line="240" w:lineRule="auto"/>
                    <w:ind w:firstLine="0" w:firstLineChars="0"/>
                    <w:jc w:val="center"/>
                    <w:rPr>
                      <w:sz w:val="21"/>
                      <w:szCs w:val="21"/>
                    </w:rPr>
                  </w:pPr>
                </w:p>
              </w:tc>
              <w:tc>
                <w:tcPr>
                  <w:tcW w:w="371" w:type="dxa"/>
                  <w:vMerge w:val="continue"/>
                  <w:noWrap/>
                  <w:vAlign w:val="center"/>
                </w:tcPr>
                <w:p w14:paraId="3C28A020">
                  <w:pPr>
                    <w:adjustRightInd w:val="0"/>
                    <w:snapToGrid w:val="0"/>
                    <w:spacing w:line="240" w:lineRule="auto"/>
                    <w:ind w:firstLine="0" w:firstLineChars="0"/>
                    <w:jc w:val="center"/>
                    <w:rPr>
                      <w:sz w:val="21"/>
                      <w:szCs w:val="21"/>
                    </w:rPr>
                  </w:pPr>
                </w:p>
              </w:tc>
              <w:tc>
                <w:tcPr>
                  <w:tcW w:w="360" w:type="dxa"/>
                  <w:vMerge w:val="continue"/>
                  <w:noWrap/>
                  <w:vAlign w:val="center"/>
                </w:tcPr>
                <w:p w14:paraId="7D63D3EB">
                  <w:pPr>
                    <w:adjustRightInd w:val="0"/>
                    <w:snapToGrid w:val="0"/>
                    <w:spacing w:line="240" w:lineRule="auto"/>
                    <w:ind w:firstLine="0" w:firstLineChars="0"/>
                    <w:jc w:val="center"/>
                    <w:rPr>
                      <w:sz w:val="21"/>
                      <w:szCs w:val="21"/>
                    </w:rPr>
                  </w:pPr>
                </w:p>
              </w:tc>
            </w:tr>
            <w:tr w14:paraId="09DE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36" w:type="dxa"/>
                  <w:shd w:val="clear" w:color="auto" w:fill="auto"/>
                  <w:noWrap/>
                  <w:vAlign w:val="center"/>
                </w:tcPr>
                <w:p w14:paraId="0AB1A5AB">
                  <w:pPr>
                    <w:adjustRightInd w:val="0"/>
                    <w:snapToGrid w:val="0"/>
                    <w:spacing w:line="240" w:lineRule="auto"/>
                    <w:ind w:firstLine="0" w:firstLineChars="0"/>
                    <w:jc w:val="center"/>
                    <w:rPr>
                      <w:sz w:val="21"/>
                      <w:szCs w:val="21"/>
                    </w:rPr>
                  </w:pPr>
                  <w:r>
                    <w:rPr>
                      <w:rFonts w:hint="eastAsia"/>
                      <w:sz w:val="21"/>
                      <w:szCs w:val="21"/>
                    </w:rPr>
                    <w:t>7</w:t>
                  </w:r>
                </w:p>
              </w:tc>
              <w:tc>
                <w:tcPr>
                  <w:tcW w:w="349" w:type="dxa"/>
                  <w:vMerge w:val="continue"/>
                  <w:noWrap/>
                  <w:vAlign w:val="center"/>
                </w:tcPr>
                <w:p w14:paraId="5178C13E">
                  <w:pPr>
                    <w:adjustRightInd w:val="0"/>
                    <w:snapToGrid w:val="0"/>
                    <w:spacing w:line="240" w:lineRule="auto"/>
                    <w:ind w:firstLine="0" w:firstLineChars="0"/>
                    <w:jc w:val="center"/>
                    <w:rPr>
                      <w:sz w:val="21"/>
                      <w:szCs w:val="21"/>
                    </w:rPr>
                  </w:pPr>
                </w:p>
              </w:tc>
              <w:tc>
                <w:tcPr>
                  <w:tcW w:w="720" w:type="dxa"/>
                  <w:noWrap/>
                  <w:vAlign w:val="center"/>
                </w:tcPr>
                <w:p w14:paraId="0EE74C6D">
                  <w:pPr>
                    <w:adjustRightInd w:val="0"/>
                    <w:spacing w:line="240" w:lineRule="auto"/>
                    <w:ind w:firstLine="0" w:firstLineChars="0"/>
                    <w:jc w:val="center"/>
                    <w:rPr>
                      <w:sz w:val="21"/>
                      <w:szCs w:val="21"/>
                    </w:rPr>
                  </w:pPr>
                  <w:r>
                    <w:rPr>
                      <w:rFonts w:hint="eastAsia"/>
                      <w:color w:val="000000"/>
                      <w:sz w:val="21"/>
                      <w:szCs w:val="21"/>
                    </w:rPr>
                    <w:t>缝纫机</w:t>
                  </w:r>
                </w:p>
              </w:tc>
              <w:tc>
                <w:tcPr>
                  <w:tcW w:w="614" w:type="dxa"/>
                  <w:noWrap/>
                  <w:vAlign w:val="center"/>
                </w:tcPr>
                <w:p w14:paraId="7F0497E2">
                  <w:pPr>
                    <w:adjustRightInd w:val="0"/>
                    <w:snapToGrid w:val="0"/>
                    <w:spacing w:line="240" w:lineRule="auto"/>
                    <w:ind w:firstLine="0" w:firstLineChars="0"/>
                    <w:jc w:val="center"/>
                    <w:rPr>
                      <w:sz w:val="21"/>
                      <w:szCs w:val="21"/>
                    </w:rPr>
                  </w:pPr>
                  <w:r>
                    <w:rPr>
                      <w:rFonts w:hint="eastAsia"/>
                      <w:sz w:val="21"/>
                      <w:szCs w:val="21"/>
                    </w:rPr>
                    <w:t>70/1</w:t>
                  </w:r>
                </w:p>
              </w:tc>
              <w:tc>
                <w:tcPr>
                  <w:tcW w:w="511" w:type="dxa"/>
                  <w:noWrap/>
                  <w:vAlign w:val="center"/>
                </w:tcPr>
                <w:p w14:paraId="7CE1A587">
                  <w:pPr>
                    <w:spacing w:line="240" w:lineRule="auto"/>
                    <w:ind w:firstLine="0" w:firstLineChars="0"/>
                    <w:jc w:val="center"/>
                    <w:rPr>
                      <w:sz w:val="21"/>
                      <w:szCs w:val="21"/>
                    </w:rPr>
                  </w:pPr>
                  <w:r>
                    <w:rPr>
                      <w:rFonts w:hint="eastAsia"/>
                      <w:sz w:val="21"/>
                      <w:szCs w:val="21"/>
                    </w:rPr>
                    <w:t>5</w:t>
                  </w:r>
                </w:p>
              </w:tc>
              <w:tc>
                <w:tcPr>
                  <w:tcW w:w="524" w:type="dxa"/>
                  <w:noWrap/>
                  <w:vAlign w:val="center"/>
                </w:tcPr>
                <w:p w14:paraId="1278D342">
                  <w:pPr>
                    <w:adjustRightInd w:val="0"/>
                    <w:snapToGrid w:val="0"/>
                    <w:spacing w:line="240" w:lineRule="auto"/>
                    <w:ind w:firstLine="0" w:firstLineChars="0"/>
                    <w:jc w:val="center"/>
                    <w:rPr>
                      <w:sz w:val="21"/>
                      <w:szCs w:val="21"/>
                    </w:rPr>
                  </w:pPr>
                  <w:r>
                    <w:rPr>
                      <w:rFonts w:hint="eastAsia"/>
                      <w:sz w:val="21"/>
                      <w:szCs w:val="21"/>
                    </w:rPr>
                    <w:t>77</w:t>
                  </w:r>
                </w:p>
              </w:tc>
              <w:tc>
                <w:tcPr>
                  <w:tcW w:w="427" w:type="dxa"/>
                  <w:vMerge w:val="continue"/>
                  <w:noWrap/>
                  <w:vAlign w:val="center"/>
                </w:tcPr>
                <w:p w14:paraId="4AACE390">
                  <w:pPr>
                    <w:adjustRightInd w:val="0"/>
                    <w:snapToGrid w:val="0"/>
                    <w:spacing w:line="240" w:lineRule="auto"/>
                    <w:ind w:firstLine="0" w:firstLineChars="0"/>
                    <w:jc w:val="center"/>
                    <w:rPr>
                      <w:sz w:val="21"/>
                      <w:szCs w:val="21"/>
                      <w:lang w:val="pt-BR"/>
                    </w:rPr>
                  </w:pPr>
                </w:p>
              </w:tc>
              <w:tc>
                <w:tcPr>
                  <w:tcW w:w="406" w:type="dxa"/>
                  <w:noWrap/>
                  <w:vAlign w:val="center"/>
                </w:tcPr>
                <w:p w14:paraId="33F309CC">
                  <w:pPr>
                    <w:adjustRightInd w:val="0"/>
                    <w:snapToGrid w:val="0"/>
                    <w:spacing w:line="240" w:lineRule="auto"/>
                    <w:ind w:firstLine="0" w:firstLineChars="0"/>
                    <w:jc w:val="center"/>
                    <w:rPr>
                      <w:sz w:val="21"/>
                      <w:szCs w:val="21"/>
                    </w:rPr>
                  </w:pPr>
                  <w:r>
                    <w:rPr>
                      <w:rFonts w:hint="eastAsia"/>
                      <w:sz w:val="21"/>
                      <w:szCs w:val="21"/>
                    </w:rPr>
                    <w:t>50</w:t>
                  </w:r>
                </w:p>
              </w:tc>
              <w:tc>
                <w:tcPr>
                  <w:tcW w:w="365" w:type="dxa"/>
                  <w:noWrap/>
                  <w:vAlign w:val="center"/>
                </w:tcPr>
                <w:p w14:paraId="1DC412C9">
                  <w:pPr>
                    <w:adjustRightInd w:val="0"/>
                    <w:snapToGrid w:val="0"/>
                    <w:spacing w:line="240" w:lineRule="auto"/>
                    <w:ind w:firstLine="0" w:firstLineChars="0"/>
                    <w:jc w:val="center"/>
                    <w:rPr>
                      <w:sz w:val="21"/>
                      <w:szCs w:val="21"/>
                    </w:rPr>
                  </w:pPr>
                  <w:r>
                    <w:rPr>
                      <w:rFonts w:hint="eastAsia"/>
                      <w:sz w:val="21"/>
                      <w:szCs w:val="21"/>
                    </w:rPr>
                    <w:t>15</w:t>
                  </w:r>
                </w:p>
              </w:tc>
              <w:tc>
                <w:tcPr>
                  <w:tcW w:w="443" w:type="dxa"/>
                  <w:noWrap/>
                  <w:vAlign w:val="center"/>
                </w:tcPr>
                <w:p w14:paraId="27D8D247">
                  <w:pPr>
                    <w:adjustRightInd w:val="0"/>
                    <w:snapToGrid w:val="0"/>
                    <w:spacing w:line="240" w:lineRule="auto"/>
                    <w:ind w:firstLine="0" w:firstLineChars="0"/>
                    <w:jc w:val="center"/>
                    <w:rPr>
                      <w:sz w:val="21"/>
                      <w:szCs w:val="21"/>
                    </w:rPr>
                  </w:pPr>
                  <w:r>
                    <w:rPr>
                      <w:rFonts w:hint="eastAsia"/>
                      <w:sz w:val="21"/>
                      <w:szCs w:val="21"/>
                    </w:rPr>
                    <w:t>1.2</w:t>
                  </w:r>
                </w:p>
              </w:tc>
              <w:tc>
                <w:tcPr>
                  <w:tcW w:w="527" w:type="dxa"/>
                  <w:noWrap/>
                  <w:vAlign w:val="center"/>
                </w:tcPr>
                <w:p w14:paraId="75552E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15 </w:t>
                  </w:r>
                </w:p>
              </w:tc>
              <w:tc>
                <w:tcPr>
                  <w:tcW w:w="524" w:type="dxa"/>
                  <w:noWrap/>
                  <w:vAlign w:val="center"/>
                </w:tcPr>
                <w:p w14:paraId="3E2708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 xml:space="preserve">45.6 </w:t>
                  </w:r>
                </w:p>
              </w:tc>
              <w:tc>
                <w:tcPr>
                  <w:tcW w:w="480" w:type="dxa"/>
                  <w:vMerge w:val="continue"/>
                  <w:noWrap/>
                  <w:vAlign w:val="center"/>
                </w:tcPr>
                <w:p w14:paraId="2076E211">
                  <w:pPr>
                    <w:adjustRightInd w:val="0"/>
                    <w:snapToGrid w:val="0"/>
                    <w:spacing w:line="240" w:lineRule="auto"/>
                    <w:ind w:firstLine="0" w:firstLineChars="0"/>
                    <w:jc w:val="center"/>
                    <w:rPr>
                      <w:sz w:val="21"/>
                      <w:szCs w:val="21"/>
                    </w:rPr>
                  </w:pPr>
                </w:p>
              </w:tc>
              <w:tc>
                <w:tcPr>
                  <w:tcW w:w="426" w:type="dxa"/>
                  <w:vMerge w:val="continue"/>
                  <w:noWrap/>
                  <w:vAlign w:val="center"/>
                </w:tcPr>
                <w:p w14:paraId="63FE3DE9">
                  <w:pPr>
                    <w:adjustRightInd w:val="0"/>
                    <w:snapToGrid w:val="0"/>
                    <w:spacing w:line="240" w:lineRule="auto"/>
                    <w:ind w:firstLine="0" w:firstLineChars="0"/>
                    <w:jc w:val="center"/>
                    <w:rPr>
                      <w:sz w:val="21"/>
                      <w:szCs w:val="21"/>
                    </w:rPr>
                  </w:pPr>
                </w:p>
              </w:tc>
              <w:tc>
                <w:tcPr>
                  <w:tcW w:w="454" w:type="dxa"/>
                  <w:vMerge w:val="continue"/>
                  <w:noWrap/>
                  <w:vAlign w:val="center"/>
                </w:tcPr>
                <w:p w14:paraId="62E1F8CC">
                  <w:pPr>
                    <w:adjustRightInd w:val="0"/>
                    <w:snapToGrid w:val="0"/>
                    <w:spacing w:line="240" w:lineRule="auto"/>
                    <w:ind w:firstLine="0" w:firstLineChars="0"/>
                    <w:jc w:val="center"/>
                    <w:rPr>
                      <w:sz w:val="21"/>
                      <w:szCs w:val="21"/>
                    </w:rPr>
                  </w:pPr>
                </w:p>
              </w:tc>
              <w:tc>
                <w:tcPr>
                  <w:tcW w:w="396" w:type="dxa"/>
                  <w:vMerge w:val="continue"/>
                  <w:noWrap/>
                  <w:vAlign w:val="center"/>
                </w:tcPr>
                <w:p w14:paraId="00B2A8C5">
                  <w:pPr>
                    <w:adjustRightInd w:val="0"/>
                    <w:snapToGrid w:val="0"/>
                    <w:spacing w:line="240" w:lineRule="auto"/>
                    <w:ind w:firstLine="0" w:firstLineChars="0"/>
                    <w:jc w:val="center"/>
                    <w:rPr>
                      <w:sz w:val="21"/>
                      <w:szCs w:val="21"/>
                    </w:rPr>
                  </w:pPr>
                </w:p>
              </w:tc>
              <w:tc>
                <w:tcPr>
                  <w:tcW w:w="371" w:type="dxa"/>
                  <w:vMerge w:val="continue"/>
                  <w:noWrap/>
                  <w:vAlign w:val="center"/>
                </w:tcPr>
                <w:p w14:paraId="506E7BBC">
                  <w:pPr>
                    <w:adjustRightInd w:val="0"/>
                    <w:snapToGrid w:val="0"/>
                    <w:spacing w:line="240" w:lineRule="auto"/>
                    <w:ind w:firstLine="0" w:firstLineChars="0"/>
                    <w:jc w:val="center"/>
                    <w:rPr>
                      <w:sz w:val="21"/>
                      <w:szCs w:val="21"/>
                    </w:rPr>
                  </w:pPr>
                </w:p>
              </w:tc>
              <w:tc>
                <w:tcPr>
                  <w:tcW w:w="360" w:type="dxa"/>
                  <w:vMerge w:val="continue"/>
                  <w:noWrap/>
                  <w:vAlign w:val="center"/>
                </w:tcPr>
                <w:p w14:paraId="1FAB6263">
                  <w:pPr>
                    <w:adjustRightInd w:val="0"/>
                    <w:snapToGrid w:val="0"/>
                    <w:spacing w:line="240" w:lineRule="auto"/>
                    <w:ind w:firstLine="0" w:firstLineChars="0"/>
                    <w:jc w:val="center"/>
                    <w:rPr>
                      <w:sz w:val="21"/>
                      <w:szCs w:val="21"/>
                    </w:rPr>
                  </w:pPr>
                </w:p>
              </w:tc>
            </w:tr>
          </w:tbl>
          <w:p w14:paraId="483B24A2">
            <w:pPr>
              <w:adjustRightInd w:val="0"/>
              <w:snapToGrid w:val="0"/>
              <w:spacing w:line="320" w:lineRule="exact"/>
              <w:ind w:firstLine="422"/>
              <w:rPr>
                <w:b/>
                <w:bCs/>
                <w:sz w:val="21"/>
                <w:szCs w:val="21"/>
              </w:rPr>
            </w:pPr>
            <w:r>
              <w:rPr>
                <w:rFonts w:hint="eastAsia"/>
                <w:b/>
                <w:bCs/>
                <w:sz w:val="21"/>
                <w:szCs w:val="21"/>
              </w:rPr>
              <w:t>注：1、项目同类型设备呈均匀分布，等效为一个噪声源进行预测。</w:t>
            </w:r>
          </w:p>
          <w:p w14:paraId="3FBE5517">
            <w:pPr>
              <w:adjustRightInd w:val="0"/>
              <w:snapToGrid w:val="0"/>
              <w:spacing w:line="320" w:lineRule="exact"/>
              <w:ind w:firstLine="843" w:firstLineChars="400"/>
              <w:rPr>
                <w:b/>
                <w:bCs/>
                <w:sz w:val="21"/>
                <w:szCs w:val="21"/>
              </w:rPr>
            </w:pPr>
            <w:r>
              <w:rPr>
                <w:rFonts w:hint="eastAsia"/>
                <w:b/>
                <w:bCs/>
                <w:sz w:val="21"/>
                <w:szCs w:val="21"/>
              </w:rPr>
              <w:t>2、以租赁车间西南原点进行设备位置对照。</w:t>
            </w:r>
          </w:p>
          <w:p w14:paraId="3FC3D935">
            <w:pPr>
              <w:tabs>
                <w:tab w:val="left" w:pos="3620"/>
              </w:tabs>
              <w:adjustRightInd w:val="0"/>
              <w:snapToGrid w:val="0"/>
              <w:ind w:firstLine="480"/>
            </w:pPr>
            <w:r>
              <w:rPr>
                <w:rFonts w:hint="eastAsia"/>
                <w:color w:val="000000"/>
              </w:rPr>
              <w:t>室外噪声源强见下表。</w:t>
            </w:r>
          </w:p>
          <w:p w14:paraId="59109EEC">
            <w:pPr>
              <w:pStyle w:val="7"/>
              <w:spacing w:line="240" w:lineRule="auto"/>
            </w:pPr>
            <w:r>
              <w:t>表</w:t>
            </w:r>
            <w:r>
              <w:rPr>
                <w:rFonts w:hint="eastAsia"/>
              </w:rPr>
              <w:t>4-13      本</w:t>
            </w:r>
            <w:r>
              <w:t>项目</w:t>
            </w:r>
            <w:r>
              <w:rPr>
                <w:rFonts w:hint="eastAsia"/>
              </w:rPr>
              <w:t>新增</w:t>
            </w:r>
            <w:r>
              <w:t>室外噪声源强调查清单</w:t>
            </w:r>
          </w:p>
          <w:tbl>
            <w:tblPr>
              <w:tblStyle w:val="26"/>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689"/>
              <w:gridCol w:w="971"/>
              <w:gridCol w:w="361"/>
              <w:gridCol w:w="553"/>
              <w:gridCol w:w="540"/>
              <w:gridCol w:w="567"/>
              <w:gridCol w:w="1109"/>
              <w:gridCol w:w="778"/>
              <w:gridCol w:w="1333"/>
              <w:gridCol w:w="752"/>
            </w:tblGrid>
            <w:tr w14:paraId="23ED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 w:type="pct"/>
                  <w:vMerge w:val="restart"/>
                  <w:vAlign w:val="center"/>
                </w:tcPr>
                <w:p w14:paraId="2D4AD11B">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序号</w:t>
                  </w:r>
                </w:p>
              </w:tc>
              <w:tc>
                <w:tcPr>
                  <w:tcW w:w="1032" w:type="pct"/>
                  <w:gridSpan w:val="2"/>
                  <w:vMerge w:val="restart"/>
                  <w:vAlign w:val="center"/>
                </w:tcPr>
                <w:p w14:paraId="29536578">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声源名称</w:t>
                  </w:r>
                </w:p>
              </w:tc>
              <w:tc>
                <w:tcPr>
                  <w:tcW w:w="225" w:type="pct"/>
                  <w:vMerge w:val="restart"/>
                  <w:vAlign w:val="center"/>
                </w:tcPr>
                <w:p w14:paraId="7B81851B">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型号</w:t>
                  </w:r>
                </w:p>
              </w:tc>
              <w:tc>
                <w:tcPr>
                  <w:tcW w:w="1033" w:type="pct"/>
                  <w:gridSpan w:val="3"/>
                  <w:vAlign w:val="center"/>
                </w:tcPr>
                <w:p w14:paraId="4E6FD811">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空间相对位置/m</w:t>
                  </w:r>
                </w:p>
              </w:tc>
              <w:tc>
                <w:tcPr>
                  <w:tcW w:w="689" w:type="pct"/>
                  <w:vAlign w:val="center"/>
                </w:tcPr>
                <w:p w14:paraId="3A5BAA85">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声源源强</w:t>
                  </w:r>
                </w:p>
              </w:tc>
              <w:tc>
                <w:tcPr>
                  <w:tcW w:w="484" w:type="pct"/>
                  <w:vMerge w:val="restart"/>
                  <w:vAlign w:val="center"/>
                </w:tcPr>
                <w:p w14:paraId="20F4C081">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声源控制措施</w:t>
                  </w:r>
                </w:p>
              </w:tc>
              <w:tc>
                <w:tcPr>
                  <w:tcW w:w="829" w:type="pct"/>
                  <w:vAlign w:val="center"/>
                </w:tcPr>
                <w:p w14:paraId="2F2CD266">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治理后源强</w:t>
                  </w:r>
                </w:p>
              </w:tc>
              <w:tc>
                <w:tcPr>
                  <w:tcW w:w="468" w:type="pct"/>
                  <w:vMerge w:val="restart"/>
                  <w:vAlign w:val="center"/>
                </w:tcPr>
                <w:p w14:paraId="70FC8371">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运行时段</w:t>
                  </w:r>
                </w:p>
              </w:tc>
            </w:tr>
            <w:tr w14:paraId="6C98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 w:type="pct"/>
                  <w:vMerge w:val="continue"/>
                  <w:vAlign w:val="center"/>
                </w:tcPr>
                <w:p w14:paraId="3168E2D8">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p>
              </w:tc>
              <w:tc>
                <w:tcPr>
                  <w:tcW w:w="1032" w:type="pct"/>
                  <w:gridSpan w:val="2"/>
                  <w:vMerge w:val="continue"/>
                  <w:vAlign w:val="center"/>
                </w:tcPr>
                <w:p w14:paraId="428A5D12">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p>
              </w:tc>
              <w:tc>
                <w:tcPr>
                  <w:tcW w:w="225" w:type="pct"/>
                  <w:vMerge w:val="continue"/>
                  <w:vAlign w:val="center"/>
                </w:tcPr>
                <w:p w14:paraId="298EA97F">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p>
              </w:tc>
              <w:tc>
                <w:tcPr>
                  <w:tcW w:w="344" w:type="pct"/>
                  <w:vAlign w:val="center"/>
                </w:tcPr>
                <w:p w14:paraId="161D35D9">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X</w:t>
                  </w:r>
                </w:p>
              </w:tc>
              <w:tc>
                <w:tcPr>
                  <w:tcW w:w="336" w:type="pct"/>
                  <w:vAlign w:val="center"/>
                </w:tcPr>
                <w:p w14:paraId="7EB01432">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Y</w:t>
                  </w:r>
                </w:p>
              </w:tc>
              <w:tc>
                <w:tcPr>
                  <w:tcW w:w="352" w:type="pct"/>
                  <w:vAlign w:val="center"/>
                </w:tcPr>
                <w:p w14:paraId="7E2B2A82">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Z</w:t>
                  </w:r>
                </w:p>
              </w:tc>
              <w:tc>
                <w:tcPr>
                  <w:tcW w:w="689" w:type="pct"/>
                  <w:vAlign w:val="center"/>
                </w:tcPr>
                <w:p w14:paraId="7A647A41">
                  <w:pPr>
                    <w:keepNext w:val="0"/>
                    <w:keepLines w:val="0"/>
                    <w:pageBreakBefore w:val="0"/>
                    <w:kinsoku/>
                    <w:wordWrap/>
                    <w:overflowPunct/>
                    <w:topLinePunct w:val="0"/>
                    <w:autoSpaceDE/>
                    <w:autoSpaceDN/>
                    <w:bidi w:val="0"/>
                    <w:spacing w:line="240" w:lineRule="auto"/>
                    <w:ind w:firstLine="0" w:firstLineChars="0"/>
                    <w:jc w:val="center"/>
                    <w:textAlignment w:val="auto"/>
                    <w:rPr>
                      <w:b/>
                      <w:sz w:val="21"/>
                      <w:szCs w:val="21"/>
                    </w:rPr>
                  </w:pPr>
                  <w:r>
                    <w:rPr>
                      <w:b/>
                      <w:sz w:val="21"/>
                      <w:szCs w:val="21"/>
                    </w:rPr>
                    <w:t>声功率级/dB（A）</w:t>
                  </w:r>
                </w:p>
              </w:tc>
              <w:tc>
                <w:tcPr>
                  <w:tcW w:w="484" w:type="pct"/>
                  <w:vMerge w:val="continue"/>
                  <w:vAlign w:val="center"/>
                </w:tcPr>
                <w:p w14:paraId="2EBA8983">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p>
              </w:tc>
              <w:tc>
                <w:tcPr>
                  <w:tcW w:w="829" w:type="pct"/>
                  <w:vAlign w:val="center"/>
                </w:tcPr>
                <w:p w14:paraId="46A186D2">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
                      <w:sz w:val="21"/>
                      <w:szCs w:val="21"/>
                    </w:rPr>
                    <w:t>声功率级/dB（A）</w:t>
                  </w:r>
                </w:p>
              </w:tc>
              <w:tc>
                <w:tcPr>
                  <w:tcW w:w="468" w:type="pct"/>
                  <w:vMerge w:val="continue"/>
                  <w:vAlign w:val="center"/>
                </w:tcPr>
                <w:p w14:paraId="6EE2603F">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p>
              </w:tc>
            </w:tr>
            <w:tr w14:paraId="76EC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 w:type="pct"/>
                  <w:vMerge w:val="restart"/>
                  <w:vAlign w:val="center"/>
                </w:tcPr>
                <w:p w14:paraId="373E49FC">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1</w:t>
                  </w:r>
                </w:p>
              </w:tc>
              <w:tc>
                <w:tcPr>
                  <w:tcW w:w="428" w:type="pct"/>
                  <w:vMerge w:val="restart"/>
                  <w:vAlign w:val="center"/>
                </w:tcPr>
                <w:p w14:paraId="32A9BF3B">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废气处理区</w:t>
                  </w:r>
                </w:p>
              </w:tc>
              <w:tc>
                <w:tcPr>
                  <w:tcW w:w="603" w:type="pct"/>
                  <w:vAlign w:val="center"/>
                </w:tcPr>
                <w:p w14:paraId="4159DA86">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sz w:val="21"/>
                      <w:szCs w:val="21"/>
                    </w:rPr>
                    <w:t>风机1</w:t>
                  </w:r>
                </w:p>
              </w:tc>
              <w:tc>
                <w:tcPr>
                  <w:tcW w:w="225" w:type="pct"/>
                  <w:vAlign w:val="center"/>
                </w:tcPr>
                <w:p w14:paraId="6E754D85">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sz w:val="21"/>
                      <w:szCs w:val="21"/>
                    </w:rPr>
                    <w:t>/</w:t>
                  </w:r>
                </w:p>
              </w:tc>
              <w:tc>
                <w:tcPr>
                  <w:tcW w:w="344" w:type="pct"/>
                  <w:vAlign w:val="center"/>
                </w:tcPr>
                <w:p w14:paraId="05687E25">
                  <w:pPr>
                    <w:keepNext w:val="0"/>
                    <w:keepLines w:val="0"/>
                    <w:pageBreakBefore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82</w:t>
                  </w:r>
                </w:p>
              </w:tc>
              <w:tc>
                <w:tcPr>
                  <w:tcW w:w="336" w:type="pct"/>
                  <w:vAlign w:val="center"/>
                </w:tcPr>
                <w:p w14:paraId="15670C58">
                  <w:pPr>
                    <w:keepNext w:val="0"/>
                    <w:keepLines w:val="0"/>
                    <w:pageBreakBefore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21</w:t>
                  </w:r>
                </w:p>
              </w:tc>
              <w:tc>
                <w:tcPr>
                  <w:tcW w:w="352" w:type="pct"/>
                  <w:vAlign w:val="center"/>
                </w:tcPr>
                <w:p w14:paraId="53ED4D3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1.2</w:t>
                  </w:r>
                </w:p>
              </w:tc>
              <w:tc>
                <w:tcPr>
                  <w:tcW w:w="689" w:type="pct"/>
                  <w:vAlign w:val="center"/>
                </w:tcPr>
                <w:p w14:paraId="6EEFDF62">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sz w:val="21"/>
                      <w:szCs w:val="21"/>
                    </w:rPr>
                  </w:pPr>
                  <w:r>
                    <w:rPr>
                      <w:kern w:val="0"/>
                      <w:sz w:val="21"/>
                      <w:szCs w:val="21"/>
                    </w:rPr>
                    <w:t>85</w:t>
                  </w:r>
                </w:p>
              </w:tc>
              <w:tc>
                <w:tcPr>
                  <w:tcW w:w="484" w:type="pct"/>
                  <w:vMerge w:val="restart"/>
                  <w:vAlign w:val="center"/>
                </w:tcPr>
                <w:p w14:paraId="34C0F419">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隔声罩</w:t>
                  </w:r>
                </w:p>
              </w:tc>
              <w:tc>
                <w:tcPr>
                  <w:tcW w:w="829" w:type="pct"/>
                  <w:vAlign w:val="center"/>
                </w:tcPr>
                <w:p w14:paraId="668B35E7">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65</w:t>
                  </w:r>
                </w:p>
              </w:tc>
              <w:tc>
                <w:tcPr>
                  <w:tcW w:w="468" w:type="pct"/>
                  <w:vMerge w:val="restart"/>
                  <w:vAlign w:val="center"/>
                </w:tcPr>
                <w:p w14:paraId="11F71668">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8:00-</w:t>
                  </w:r>
                  <w:r>
                    <w:rPr>
                      <w:rFonts w:hint="eastAsia"/>
                      <w:bCs/>
                      <w:sz w:val="21"/>
                      <w:szCs w:val="21"/>
                    </w:rPr>
                    <w:t>24</w:t>
                  </w:r>
                  <w:r>
                    <w:rPr>
                      <w:bCs/>
                      <w:sz w:val="21"/>
                      <w:szCs w:val="21"/>
                    </w:rPr>
                    <w:t>:00</w:t>
                  </w:r>
                </w:p>
              </w:tc>
            </w:tr>
            <w:tr w14:paraId="77A2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 w:type="pct"/>
                  <w:vMerge w:val="continue"/>
                  <w:vAlign w:val="center"/>
                </w:tcPr>
                <w:p w14:paraId="14112EC1">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p>
              </w:tc>
              <w:tc>
                <w:tcPr>
                  <w:tcW w:w="428" w:type="pct"/>
                  <w:vMerge w:val="continue"/>
                  <w:vAlign w:val="center"/>
                </w:tcPr>
                <w:p w14:paraId="52E21DD7">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p>
              </w:tc>
              <w:tc>
                <w:tcPr>
                  <w:tcW w:w="603" w:type="pct"/>
                  <w:vAlign w:val="center"/>
                </w:tcPr>
                <w:p w14:paraId="57AEA1CB">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sz w:val="21"/>
                      <w:szCs w:val="21"/>
                    </w:rPr>
                    <w:t>风机2</w:t>
                  </w:r>
                </w:p>
              </w:tc>
              <w:tc>
                <w:tcPr>
                  <w:tcW w:w="225" w:type="pct"/>
                  <w:vAlign w:val="center"/>
                </w:tcPr>
                <w:p w14:paraId="18A410CB">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r>
                    <w:rPr>
                      <w:sz w:val="21"/>
                      <w:szCs w:val="21"/>
                    </w:rPr>
                    <w:t>/</w:t>
                  </w:r>
                </w:p>
              </w:tc>
              <w:tc>
                <w:tcPr>
                  <w:tcW w:w="344" w:type="pct"/>
                  <w:vAlign w:val="center"/>
                </w:tcPr>
                <w:p w14:paraId="70423A4B">
                  <w:pPr>
                    <w:keepNext w:val="0"/>
                    <w:keepLines w:val="0"/>
                    <w:pageBreakBefore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82</w:t>
                  </w:r>
                </w:p>
              </w:tc>
              <w:tc>
                <w:tcPr>
                  <w:tcW w:w="336" w:type="pct"/>
                  <w:vAlign w:val="center"/>
                </w:tcPr>
                <w:p w14:paraId="207AD267">
                  <w:pPr>
                    <w:keepNext w:val="0"/>
                    <w:keepLines w:val="0"/>
                    <w:pageBreakBefore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rFonts w:hint="eastAsia"/>
                      <w:bCs/>
                      <w:sz w:val="21"/>
                      <w:szCs w:val="21"/>
                    </w:rPr>
                    <w:t>23</w:t>
                  </w:r>
                </w:p>
              </w:tc>
              <w:tc>
                <w:tcPr>
                  <w:tcW w:w="352" w:type="pct"/>
                  <w:vAlign w:val="center"/>
                </w:tcPr>
                <w:p w14:paraId="098255B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1.2</w:t>
                  </w:r>
                </w:p>
              </w:tc>
              <w:tc>
                <w:tcPr>
                  <w:tcW w:w="689" w:type="pct"/>
                  <w:vAlign w:val="center"/>
                </w:tcPr>
                <w:p w14:paraId="035DDF51">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sz w:val="21"/>
                      <w:szCs w:val="21"/>
                    </w:rPr>
                  </w:pPr>
                  <w:r>
                    <w:rPr>
                      <w:kern w:val="0"/>
                      <w:sz w:val="21"/>
                      <w:szCs w:val="21"/>
                    </w:rPr>
                    <w:t>85</w:t>
                  </w:r>
                </w:p>
              </w:tc>
              <w:tc>
                <w:tcPr>
                  <w:tcW w:w="484" w:type="pct"/>
                  <w:vMerge w:val="continue"/>
                  <w:vAlign w:val="center"/>
                </w:tcPr>
                <w:p w14:paraId="1E252343">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sz w:val="21"/>
                      <w:szCs w:val="21"/>
                    </w:rPr>
                  </w:pPr>
                </w:p>
              </w:tc>
              <w:tc>
                <w:tcPr>
                  <w:tcW w:w="829" w:type="pct"/>
                  <w:vAlign w:val="center"/>
                </w:tcPr>
                <w:p w14:paraId="200A8E99">
                  <w:pPr>
                    <w:keepNext w:val="0"/>
                    <w:keepLines w:val="0"/>
                    <w:pageBreakBefore w:val="0"/>
                    <w:widowControl/>
                    <w:kinsoku/>
                    <w:wordWrap/>
                    <w:overflowPunct/>
                    <w:topLinePunct w:val="0"/>
                    <w:autoSpaceDE/>
                    <w:autoSpaceDN/>
                    <w:bidi w:val="0"/>
                    <w:spacing w:line="240" w:lineRule="auto"/>
                    <w:ind w:firstLine="0" w:firstLineChars="0"/>
                    <w:jc w:val="center"/>
                    <w:textAlignment w:val="auto"/>
                    <w:rPr>
                      <w:bCs/>
                      <w:sz w:val="21"/>
                      <w:szCs w:val="21"/>
                    </w:rPr>
                  </w:pPr>
                  <w:r>
                    <w:rPr>
                      <w:bCs/>
                      <w:sz w:val="21"/>
                      <w:szCs w:val="21"/>
                    </w:rPr>
                    <w:t>65</w:t>
                  </w:r>
                </w:p>
              </w:tc>
              <w:tc>
                <w:tcPr>
                  <w:tcW w:w="468" w:type="pct"/>
                  <w:vMerge w:val="continue"/>
                  <w:vAlign w:val="center"/>
                </w:tcPr>
                <w:p w14:paraId="190F3352">
                  <w:pPr>
                    <w:keepNext w:val="0"/>
                    <w:keepLines w:val="0"/>
                    <w:pageBreakBefore w:val="0"/>
                    <w:kinsoku/>
                    <w:wordWrap/>
                    <w:overflowPunct/>
                    <w:topLinePunct w:val="0"/>
                    <w:autoSpaceDE/>
                    <w:autoSpaceDN/>
                    <w:bidi w:val="0"/>
                    <w:spacing w:line="240" w:lineRule="auto"/>
                    <w:ind w:firstLine="0" w:firstLineChars="0"/>
                    <w:jc w:val="center"/>
                    <w:textAlignment w:val="auto"/>
                    <w:rPr>
                      <w:bCs/>
                      <w:sz w:val="21"/>
                      <w:szCs w:val="21"/>
                    </w:rPr>
                  </w:pPr>
                </w:p>
              </w:tc>
            </w:tr>
          </w:tbl>
          <w:p w14:paraId="0AE95B02">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t>根据本项目主要高噪声设备的分布状况和房间外源强，</w:t>
            </w:r>
            <w:r>
              <w:rPr>
                <w:rFonts w:hint="eastAsia"/>
              </w:rPr>
              <w:t>根据导则中</w:t>
            </w:r>
            <w:r>
              <w:t>噪声预测模型</w:t>
            </w:r>
            <w:r>
              <w:rPr>
                <w:rFonts w:hint="eastAsia"/>
              </w:rPr>
              <w:t>，</w:t>
            </w:r>
            <w:r>
              <w:t>计算出各声源对</w:t>
            </w:r>
            <w:r>
              <w:rPr>
                <w:rFonts w:hint="eastAsia"/>
              </w:rPr>
              <w:t>厂界的噪声</w:t>
            </w:r>
            <w:r>
              <w:t>贡献值</w:t>
            </w:r>
            <w:r>
              <w:rPr>
                <w:rFonts w:hint="eastAsia"/>
              </w:rPr>
              <w:t>。</w:t>
            </w:r>
          </w:p>
          <w:p w14:paraId="12648676">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t>声源处于半自由声场，则</w:t>
            </w:r>
            <w:r>
              <w:rPr>
                <w:rFonts w:hint="eastAsia"/>
              </w:rPr>
              <w:t>点声源</w:t>
            </w:r>
            <w:r>
              <w:t>的</w:t>
            </w:r>
            <w:r>
              <w:rPr>
                <w:rFonts w:hint="eastAsia"/>
              </w:rPr>
              <w:t>几何</w:t>
            </w:r>
            <w:r>
              <w:t>发散衰减的</w:t>
            </w:r>
            <w:r>
              <w:rPr>
                <w:rFonts w:hint="eastAsia"/>
              </w:rPr>
              <w:t>基本公式</w:t>
            </w:r>
            <w:r>
              <w:t>如下：</w:t>
            </w:r>
          </w:p>
          <w:p w14:paraId="74C72A36">
            <w:pPr>
              <w:keepNext w:val="0"/>
              <w:keepLines w:val="0"/>
              <w:pageBreakBefore w:val="0"/>
              <w:widowControl w:val="0"/>
              <w:kinsoku/>
              <w:wordWrap/>
              <w:overflowPunct/>
              <w:topLinePunct w:val="0"/>
              <w:autoSpaceDE/>
              <w:autoSpaceDN/>
              <w:bidi w:val="0"/>
              <w:adjustRightInd w:val="0"/>
              <w:snapToGrid w:val="0"/>
              <w:spacing w:line="520" w:lineRule="exact"/>
              <w:ind w:firstLine="480"/>
              <w:jc w:val="center"/>
              <w:textAlignment w:val="auto"/>
            </w:pPr>
            <w:r>
              <w:t>L</w:t>
            </w:r>
            <w:r>
              <w:rPr>
                <w:vertAlign w:val="subscript"/>
              </w:rPr>
              <w:t>p</w:t>
            </w:r>
            <w:r>
              <w:rPr>
                <w:rFonts w:hint="eastAsia"/>
              </w:rPr>
              <w:t>(r)=</w:t>
            </w:r>
            <w:r>
              <w:t>L</w:t>
            </w:r>
            <w:r>
              <w:rPr>
                <w:rFonts w:hint="eastAsia"/>
                <w:vertAlign w:val="subscript"/>
              </w:rPr>
              <w:t>w</w:t>
            </w:r>
            <w:r>
              <w:rPr>
                <w:rFonts w:hint="eastAsia" w:ascii="微软雅黑" w:hAnsi="微软雅黑" w:eastAsia="微软雅黑" w:cs="微软雅黑"/>
              </w:rPr>
              <w:t>-</w:t>
            </w:r>
            <w:r>
              <w:rPr>
                <w:rFonts w:hint="eastAsia"/>
              </w:rPr>
              <w:t>20</w:t>
            </w:r>
            <w:r>
              <w:t>lg</w:t>
            </w:r>
            <w:r>
              <w:rPr>
                <w:rFonts w:hint="eastAsia"/>
              </w:rPr>
              <w:t>r</w:t>
            </w:r>
            <w:r>
              <w:rPr>
                <w:rFonts w:hint="eastAsia" w:ascii="微软雅黑" w:hAnsi="微软雅黑" w:eastAsia="微软雅黑" w:cs="微软雅黑"/>
              </w:rPr>
              <w:t>-</w:t>
            </w:r>
            <w:r>
              <w:rPr>
                <w:rFonts w:hint="eastAsia"/>
              </w:rPr>
              <w:t>8</w:t>
            </w:r>
          </w:p>
          <w:p w14:paraId="2D0A6968">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rPr>
                <w:rFonts w:hint="eastAsia"/>
              </w:rPr>
              <w:t>式中</w:t>
            </w:r>
            <w:r>
              <w:t>：L</w:t>
            </w:r>
            <w:r>
              <w:rPr>
                <w:vertAlign w:val="subscript"/>
              </w:rPr>
              <w:t>p</w:t>
            </w:r>
            <w:r>
              <w:rPr>
                <w:rFonts w:hint="eastAsia"/>
              </w:rPr>
              <w:t>(r)-----预测点处声压级，dB；</w:t>
            </w:r>
          </w:p>
          <w:p w14:paraId="08455883">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t>L</w:t>
            </w:r>
            <w:r>
              <w:rPr>
                <w:rFonts w:hint="eastAsia"/>
                <w:vertAlign w:val="subscript"/>
              </w:rPr>
              <w:t>w</w:t>
            </w:r>
            <w:r>
              <w:rPr>
                <w:rFonts w:hint="eastAsia"/>
              </w:rPr>
              <w:t>-----由点声源产生的倍频带声功率级，dB；</w:t>
            </w:r>
          </w:p>
          <w:p w14:paraId="26D4BF50">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rPr>
                <w:rFonts w:hint="eastAsia"/>
              </w:rPr>
              <w:t>r-------预测点距声源的距离，</w:t>
            </w:r>
            <w:r>
              <w:t>m</w:t>
            </w:r>
            <w:r>
              <w:rPr>
                <w:rFonts w:hint="eastAsia"/>
              </w:rPr>
              <w:t>。</w:t>
            </w:r>
          </w:p>
          <w:p w14:paraId="1BCB1586">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pPr>
            <w:r>
              <w:rPr>
                <w:rFonts w:hint="eastAsia"/>
              </w:rPr>
              <w:t>本项目</w:t>
            </w:r>
            <w:r>
              <w:t>声源在预测点产生的贡献值（Leqg）计算公式：</w:t>
            </w:r>
          </w:p>
          <w:p w14:paraId="78BA61D0">
            <w:pPr>
              <w:adjustRightInd w:val="0"/>
              <w:snapToGrid w:val="0"/>
              <w:spacing w:line="520" w:lineRule="exact"/>
              <w:ind w:firstLine="480"/>
              <w:rPr>
                <w:rFonts w:hAnsi="Cambria Math"/>
                <w:b w:val="0"/>
                <w:i w:val="0"/>
              </w:rPr>
            </w:pPr>
            <m:oMathPara>
              <m:oMath>
                <m:sSub>
                  <m:sSubPr>
                    <m:ctrlPr>
                      <w:rPr>
                        <w:rFonts w:ascii="Cambria Math" w:hAnsi="Cambria Math"/>
                        <w:iCs/>
                      </w:rPr>
                    </m:ctrlPr>
                  </m:sSubPr>
                  <m:e>
                    <m:r>
                      <m:rPr>
                        <m:sty m:val="p"/>
                      </m:rPr>
                      <w:rPr>
                        <w:rFonts w:ascii="Cambria Math" w:hAnsi="Cambria Math"/>
                      </w:rPr>
                      <m:t>L</m:t>
                    </m:r>
                    <m:ctrlPr>
                      <w:rPr>
                        <w:rFonts w:ascii="Cambria Math" w:hAnsi="Cambria Math"/>
                        <w:iCs/>
                      </w:rPr>
                    </m:ctrlPr>
                  </m:e>
                  <m:sub>
                    <m:r>
                      <m:rPr>
                        <m:sty m:val="p"/>
                      </m:rPr>
                      <w:rPr>
                        <w:rFonts w:ascii="Cambria Math" w:hAnsi="Cambria Math"/>
                      </w:rPr>
                      <m:t>eqg</m:t>
                    </m:r>
                    <m:ctrlPr>
                      <w:rPr>
                        <w:rFonts w:ascii="Cambria Math" w:hAnsi="Cambria Math"/>
                        <w:iCs/>
                      </w:rPr>
                    </m:ctrlPr>
                  </m:sub>
                </m:sSub>
                <m:r>
                  <m:rPr>
                    <m:sty m:val="p"/>
                  </m:rPr>
                  <w:rPr>
                    <w:rFonts w:ascii="Cambria Math" w:hAnsi="Cambria Math"/>
                  </w:rPr>
                  <m:t>=10lg[</m:t>
                </m:r>
                <m:f>
                  <m:fPr>
                    <m:ctrlPr>
                      <w:rPr>
                        <w:rFonts w:ascii="Cambria Math" w:hAnsi="Cambria Math"/>
                        <w:iCs/>
                      </w:rPr>
                    </m:ctrlPr>
                  </m:fPr>
                  <m:num>
                    <m:r>
                      <m:rPr>
                        <m:sty m:val="p"/>
                      </m:rPr>
                      <w:rPr>
                        <w:rFonts w:ascii="Cambria Math" w:hAnsi="Cambria Math"/>
                      </w:rPr>
                      <m:t>1</m:t>
                    </m:r>
                    <m:ctrlPr>
                      <w:rPr>
                        <w:rFonts w:ascii="Cambria Math" w:hAnsi="Cambria Math"/>
                        <w:iCs/>
                      </w:rPr>
                    </m:ctrlPr>
                  </m:num>
                  <m:den>
                    <m:r>
                      <m:rPr>
                        <m:sty m:val="p"/>
                      </m:rPr>
                      <w:rPr>
                        <w:rFonts w:ascii="Cambria Math" w:hAnsi="Cambria Math"/>
                      </w:rPr>
                      <m:t>T</m:t>
                    </m:r>
                    <m:ctrlPr>
                      <w:rPr>
                        <w:rFonts w:ascii="Cambria Math" w:hAnsi="Cambria Math"/>
                        <w:iCs/>
                      </w:rPr>
                    </m:ctrlPr>
                  </m:den>
                </m:f>
                <m:r>
                  <m:rPr>
                    <m:sty m:val="p"/>
                  </m:rPr>
                  <w:rPr>
                    <w:rFonts w:ascii="Cambria Math" w:hAnsi="Cambria Math"/>
                  </w:rPr>
                  <m:t>(</m:t>
                </m:r>
                <m:nary>
                  <m:naryPr>
                    <m:chr m:val="∑"/>
                    <m:limLoc m:val="undOvr"/>
                    <m:ctrlPr>
                      <w:rPr>
                        <w:rFonts w:ascii="Cambria Math" w:hAnsi="Cambria Math"/>
                        <w:iCs/>
                      </w:rPr>
                    </m:ctrlPr>
                  </m:naryPr>
                  <m:sub>
                    <m:r>
                      <m:rPr>
                        <m:sty m:val="p"/>
                      </m:rPr>
                      <w:rPr>
                        <w:rFonts w:ascii="Cambria Math" w:hAnsi="Cambria Math"/>
                      </w:rPr>
                      <m:t>i=1</m:t>
                    </m:r>
                    <m:ctrlPr>
                      <w:rPr>
                        <w:rFonts w:ascii="Cambria Math" w:hAnsi="Cambria Math"/>
                        <w:iCs/>
                      </w:rPr>
                    </m:ctrlPr>
                  </m:sub>
                  <m:sup>
                    <m:r>
                      <m:rPr>
                        <m:sty m:val="p"/>
                      </m:rPr>
                      <w:rPr>
                        <w:rFonts w:ascii="Cambria Math" w:hAnsi="Cambria Math"/>
                      </w:rPr>
                      <m:t>N</m:t>
                    </m:r>
                    <m:ctrlPr>
                      <w:rPr>
                        <w:rFonts w:ascii="Cambria Math" w:hAnsi="Cambria Math"/>
                        <w:iCs/>
                      </w:rPr>
                    </m:ctrlPr>
                  </m:sup>
                  <m:e>
                    <m:sSub>
                      <m:sSubPr>
                        <m:ctrlPr>
                          <w:rPr>
                            <w:rFonts w:ascii="Cambria Math" w:hAnsi="Cambria Math"/>
                            <w:iCs/>
                          </w:rPr>
                        </m:ctrlPr>
                      </m:sSubPr>
                      <m:e>
                        <m:r>
                          <m:rPr>
                            <m:sty m:val="p"/>
                          </m:rPr>
                          <w:rPr>
                            <w:rFonts w:ascii="Cambria Math" w:hAnsi="Cambria Math"/>
                          </w:rPr>
                          <m:t>t</m:t>
                        </m:r>
                        <m:ctrlPr>
                          <w:rPr>
                            <w:rFonts w:ascii="Cambria Math" w:hAnsi="Cambria Math"/>
                            <w:iCs/>
                          </w:rPr>
                        </m:ctrlPr>
                      </m:e>
                      <m:sub>
                        <m:r>
                          <m:rPr>
                            <m:sty m:val="p"/>
                          </m:rPr>
                          <w:rPr>
                            <w:rFonts w:ascii="Cambria Math" w:hAnsi="Cambria Math"/>
                          </w:rPr>
                          <m:t>i</m:t>
                        </m:r>
                        <m:ctrlPr>
                          <w:rPr>
                            <w:rFonts w:ascii="Cambria Math" w:hAnsi="Cambria Math"/>
                            <w:iCs/>
                          </w:rPr>
                        </m:ctrlPr>
                      </m:sub>
                    </m:sSub>
                    <m:sSup>
                      <m:sSupPr>
                        <m:ctrlPr>
                          <w:rPr>
                            <w:rFonts w:ascii="Cambria Math" w:hAnsi="Cambria Math"/>
                            <w:iCs/>
                          </w:rPr>
                        </m:ctrlPr>
                      </m:sSupPr>
                      <m:e>
                        <m:r>
                          <m:rPr>
                            <m:sty m:val="p"/>
                          </m:rPr>
                          <w:rPr>
                            <w:rFonts w:ascii="Cambria Math" w:hAnsi="Cambria Math"/>
                          </w:rPr>
                          <m:t>10</m:t>
                        </m:r>
                        <m:ctrlPr>
                          <w:rPr>
                            <w:rFonts w:ascii="Cambria Math" w:hAnsi="Cambria Math"/>
                            <w:iCs/>
                          </w:rPr>
                        </m:ctrlPr>
                      </m:e>
                      <m:sup>
                        <m:r>
                          <m:rPr>
                            <m:sty m:val="p"/>
                          </m:rPr>
                          <w:rPr>
                            <w:rFonts w:ascii="Cambria Math" w:hAnsi="Cambria Math"/>
                          </w:rPr>
                          <m:t>0.1</m:t>
                        </m:r>
                        <m:sSub>
                          <m:sSubPr>
                            <m:ctrlPr>
                              <w:rPr>
                                <w:rFonts w:ascii="Cambria Math" w:hAnsi="Cambria Math"/>
                                <w:iCs/>
                              </w:rPr>
                            </m:ctrlPr>
                          </m:sSubPr>
                          <m:e>
                            <m:r>
                              <m:rPr>
                                <m:sty m:val="p"/>
                              </m:rPr>
                              <w:rPr>
                                <w:rFonts w:ascii="Cambria Math" w:hAnsi="Cambria Math"/>
                              </w:rPr>
                              <m:t>L</m:t>
                            </m:r>
                            <m:ctrlPr>
                              <w:rPr>
                                <w:rFonts w:ascii="Cambria Math" w:hAnsi="Cambria Math"/>
                                <w:iCs/>
                              </w:rPr>
                            </m:ctrlPr>
                          </m:e>
                          <m:sub>
                            <m:r>
                              <m:rPr>
                                <m:sty m:val="p"/>
                              </m:rPr>
                              <w:rPr>
                                <w:rFonts w:ascii="Cambria Math" w:hAnsi="Cambria Math"/>
                              </w:rPr>
                              <m:t>Ai</m:t>
                            </m:r>
                            <m:ctrlPr>
                              <w:rPr>
                                <w:rFonts w:ascii="Cambria Math" w:hAnsi="Cambria Math"/>
                                <w:iCs/>
                              </w:rPr>
                            </m:ctrlPr>
                          </m:sub>
                        </m:sSub>
                        <m:ctrlPr>
                          <w:rPr>
                            <w:rFonts w:ascii="Cambria Math" w:hAnsi="Cambria Math"/>
                            <w:iCs/>
                          </w:rPr>
                        </m:ctrlPr>
                      </m:sup>
                    </m:sSup>
                    <m:ctrlPr>
                      <w:rPr>
                        <w:rFonts w:ascii="Cambria Math" w:hAnsi="Cambria Math"/>
                        <w:iCs/>
                      </w:rPr>
                    </m:ctrlPr>
                  </m:e>
                </m:nary>
                <m:r>
                  <m:rPr>
                    <m:sty m:val="p"/>
                  </m:rPr>
                  <w:rPr>
                    <w:rFonts w:ascii="Cambria Math" w:hAnsi="Cambria Math"/>
                  </w:rPr>
                  <m:t>+</m:t>
                </m:r>
                <m:nary>
                  <m:naryPr>
                    <m:chr m:val="∑"/>
                    <m:limLoc m:val="undOvr"/>
                    <m:ctrlPr>
                      <w:rPr>
                        <w:rFonts w:ascii="Cambria Math" w:hAnsi="Cambria Math"/>
                        <w:iCs/>
                      </w:rPr>
                    </m:ctrlPr>
                  </m:naryPr>
                  <m:sub>
                    <m:r>
                      <m:rPr>
                        <m:sty m:val="p"/>
                      </m:rPr>
                      <w:rPr>
                        <w:rFonts w:ascii="Cambria Math" w:hAnsi="Cambria Math"/>
                      </w:rPr>
                      <m:t>j=1</m:t>
                    </m:r>
                    <m:ctrlPr>
                      <w:rPr>
                        <w:rFonts w:ascii="Cambria Math" w:hAnsi="Cambria Math"/>
                        <w:iCs/>
                      </w:rPr>
                    </m:ctrlPr>
                  </m:sub>
                  <m:sup>
                    <m:r>
                      <m:rPr>
                        <m:sty m:val="p"/>
                      </m:rPr>
                      <w:rPr>
                        <w:rFonts w:ascii="Cambria Math" w:hAnsi="Cambria Math"/>
                      </w:rPr>
                      <m:t>M</m:t>
                    </m:r>
                    <m:ctrlPr>
                      <w:rPr>
                        <w:rFonts w:ascii="Cambria Math" w:hAnsi="Cambria Math"/>
                        <w:iCs/>
                      </w:rPr>
                    </m:ctrlPr>
                  </m:sup>
                  <m:e>
                    <m:sSub>
                      <m:sSubPr>
                        <m:ctrlPr>
                          <w:rPr>
                            <w:rFonts w:ascii="Cambria Math" w:hAnsi="Cambria Math"/>
                            <w:iCs/>
                          </w:rPr>
                        </m:ctrlPr>
                      </m:sSubPr>
                      <m:e>
                        <m:r>
                          <m:rPr>
                            <m:sty m:val="p"/>
                          </m:rPr>
                          <w:rPr>
                            <w:rFonts w:ascii="Cambria Math" w:hAnsi="Cambria Math"/>
                          </w:rPr>
                          <m:t>t</m:t>
                        </m:r>
                        <m:ctrlPr>
                          <w:rPr>
                            <w:rFonts w:ascii="Cambria Math" w:hAnsi="Cambria Math"/>
                            <w:iCs/>
                          </w:rPr>
                        </m:ctrlPr>
                      </m:e>
                      <m:sub>
                        <m:r>
                          <m:rPr>
                            <m:sty m:val="p"/>
                          </m:rPr>
                          <w:rPr>
                            <w:rFonts w:ascii="Cambria Math" w:hAnsi="Cambria Math"/>
                          </w:rPr>
                          <m:t>j</m:t>
                        </m:r>
                        <m:ctrlPr>
                          <w:rPr>
                            <w:rFonts w:ascii="Cambria Math" w:hAnsi="Cambria Math"/>
                            <w:iCs/>
                          </w:rPr>
                        </m:ctrlPr>
                      </m:sub>
                    </m:sSub>
                    <m:sSup>
                      <m:sSupPr>
                        <m:ctrlPr>
                          <w:rPr>
                            <w:rFonts w:ascii="Cambria Math" w:hAnsi="Cambria Math"/>
                            <w:iCs/>
                          </w:rPr>
                        </m:ctrlPr>
                      </m:sSupPr>
                      <m:e>
                        <m:r>
                          <m:rPr>
                            <m:sty m:val="p"/>
                          </m:rPr>
                          <w:rPr>
                            <w:rFonts w:ascii="Cambria Math" w:hAnsi="Cambria Math"/>
                          </w:rPr>
                          <m:t>10</m:t>
                        </m:r>
                        <m:ctrlPr>
                          <w:rPr>
                            <w:rFonts w:ascii="Cambria Math" w:hAnsi="Cambria Math"/>
                            <w:iCs/>
                          </w:rPr>
                        </m:ctrlPr>
                      </m:e>
                      <m:sup>
                        <m:r>
                          <m:rPr>
                            <m:sty m:val="p"/>
                          </m:rPr>
                          <w:rPr>
                            <w:rFonts w:ascii="Cambria Math" w:hAnsi="Cambria Math"/>
                          </w:rPr>
                          <m:t>0.1</m:t>
                        </m:r>
                        <m:sSub>
                          <m:sSubPr>
                            <m:ctrlPr>
                              <w:rPr>
                                <w:rFonts w:ascii="Cambria Math" w:hAnsi="Cambria Math"/>
                                <w:iCs/>
                              </w:rPr>
                            </m:ctrlPr>
                          </m:sSubPr>
                          <m:e>
                            <m:r>
                              <m:rPr>
                                <m:sty m:val="p"/>
                              </m:rPr>
                              <w:rPr>
                                <w:rFonts w:ascii="Cambria Math" w:hAnsi="Cambria Math"/>
                              </w:rPr>
                              <m:t>L</m:t>
                            </m:r>
                            <m:ctrlPr>
                              <w:rPr>
                                <w:rFonts w:ascii="Cambria Math" w:hAnsi="Cambria Math"/>
                                <w:iCs/>
                              </w:rPr>
                            </m:ctrlPr>
                          </m:e>
                          <m:sub>
                            <m:r>
                              <m:rPr>
                                <m:sty m:val="p"/>
                              </m:rPr>
                              <w:rPr>
                                <w:rFonts w:ascii="Cambria Math" w:hAnsi="Cambria Math"/>
                              </w:rPr>
                              <m:t>Aj</m:t>
                            </m:r>
                            <m:ctrlPr>
                              <w:rPr>
                                <w:rFonts w:ascii="Cambria Math" w:hAnsi="Cambria Math"/>
                                <w:iCs/>
                              </w:rPr>
                            </m:ctrlPr>
                          </m:sub>
                        </m:sSub>
                        <m:ctrlPr>
                          <w:rPr>
                            <w:rFonts w:ascii="Cambria Math" w:hAnsi="Cambria Math"/>
                            <w:iCs/>
                          </w:rPr>
                        </m:ctrlPr>
                      </m:sup>
                    </m:sSup>
                    <m:ctrlPr>
                      <w:rPr>
                        <w:rFonts w:ascii="Cambria Math" w:hAnsi="Cambria Math"/>
                        <w:iCs/>
                      </w:rPr>
                    </m:ctrlPr>
                  </m:e>
                </m:nary>
                <m:r>
                  <m:rPr>
                    <m:sty m:val="p"/>
                  </m:rPr>
                  <w:rPr>
                    <w:rFonts w:ascii="Cambria Math" w:hAnsi="Cambria Math"/>
                  </w:rPr>
                  <m:t>)]</m:t>
                </m:r>
              </m:oMath>
            </m:oMathPara>
          </w:p>
          <w:p w14:paraId="196DBEF7">
            <w:pPr>
              <w:adjustRightInd w:val="0"/>
              <w:snapToGrid w:val="0"/>
              <w:spacing w:line="520" w:lineRule="exact"/>
              <w:ind w:firstLine="480"/>
              <w:rPr>
                <w:rFonts w:hAnsi="Cambria Math"/>
                <w:b w:val="0"/>
                <w:i w:val="0"/>
              </w:rPr>
            </w:pPr>
          </w:p>
          <w:p w14:paraId="1C309A96">
            <w:pPr>
              <w:adjustRightInd w:val="0"/>
              <w:snapToGrid w:val="0"/>
              <w:spacing w:line="640" w:lineRule="exact"/>
              <w:ind w:firstLine="480"/>
            </w:pPr>
            <w:r>
              <w:t>式中：L</w:t>
            </w:r>
            <w:r>
              <w:rPr>
                <w:vertAlign w:val="subscript"/>
              </w:rPr>
              <w:t>eqg</w:t>
            </w:r>
            <w:r>
              <w:t>——建设项目声源在预测的产生的噪声贡献值，dB；</w:t>
            </w:r>
          </w:p>
          <w:p w14:paraId="494EB2A2">
            <w:pPr>
              <w:adjustRightInd w:val="0"/>
              <w:snapToGrid w:val="0"/>
              <w:spacing w:line="520" w:lineRule="exact"/>
              <w:ind w:firstLine="480"/>
            </w:pPr>
            <w:r>
              <w:t xml:space="preserve">        T——用于计算等效声级的时间，s；</w:t>
            </w:r>
          </w:p>
          <w:p w14:paraId="3ED8C633">
            <w:pPr>
              <w:adjustRightInd w:val="0"/>
              <w:snapToGrid w:val="0"/>
              <w:spacing w:line="520" w:lineRule="exact"/>
              <w:ind w:firstLine="480"/>
            </w:pPr>
            <w:r>
              <w:t xml:space="preserve">        N——室外声源个数；</w:t>
            </w:r>
          </w:p>
          <w:p w14:paraId="2093188E">
            <w:pPr>
              <w:adjustRightInd w:val="0"/>
              <w:snapToGrid w:val="0"/>
              <w:spacing w:line="520" w:lineRule="exact"/>
              <w:ind w:firstLine="480"/>
            </w:pPr>
            <w:r>
              <w:t xml:space="preserve">        t</w:t>
            </w:r>
            <w:r>
              <w:rPr>
                <w:vertAlign w:val="subscript"/>
              </w:rPr>
              <w:t>i</w:t>
            </w:r>
            <w:r>
              <w:t>——在T时间内i声源内工作时间，s；</w:t>
            </w:r>
          </w:p>
          <w:p w14:paraId="60DDD0C3">
            <w:pPr>
              <w:adjustRightInd w:val="0"/>
              <w:snapToGrid w:val="0"/>
              <w:spacing w:line="520" w:lineRule="exact"/>
              <w:ind w:firstLine="480"/>
            </w:pPr>
            <w:r>
              <w:t xml:space="preserve">        M——等效室外声源个数；</w:t>
            </w:r>
          </w:p>
          <w:p w14:paraId="284BD7B9">
            <w:pPr>
              <w:adjustRightInd w:val="0"/>
              <w:snapToGrid w:val="0"/>
              <w:spacing w:line="520" w:lineRule="exact"/>
              <w:ind w:firstLine="480"/>
            </w:pPr>
            <w:r>
              <w:t xml:space="preserve">        t</w:t>
            </w:r>
            <w:r>
              <w:rPr>
                <w:rFonts w:hint="eastAsia"/>
                <w:vertAlign w:val="subscript"/>
              </w:rPr>
              <w:t>j</w:t>
            </w:r>
            <w:r>
              <w:t>——在T时间内j声源内工作时间，s</w:t>
            </w:r>
            <w:r>
              <w:rPr>
                <w:rFonts w:hint="eastAsia"/>
              </w:rPr>
              <w:t>。</w:t>
            </w:r>
          </w:p>
          <w:p w14:paraId="69579713">
            <w:pPr>
              <w:keepNext w:val="0"/>
              <w:keepLines w:val="0"/>
              <w:pageBreakBefore w:val="0"/>
              <w:widowControl w:val="0"/>
              <w:tabs>
                <w:tab w:val="left" w:pos="8370"/>
                <w:tab w:val="left" w:pos="8600"/>
              </w:tabs>
              <w:kinsoku/>
              <w:wordWrap/>
              <w:overflowPunct/>
              <w:topLinePunct w:val="0"/>
              <w:autoSpaceDE/>
              <w:autoSpaceDN/>
              <w:bidi w:val="0"/>
              <w:adjustRightInd w:val="0"/>
              <w:snapToGrid w:val="0"/>
              <w:spacing w:line="520" w:lineRule="exact"/>
              <w:ind w:firstLine="480"/>
              <w:textAlignment w:val="auto"/>
            </w:pPr>
            <w:r>
              <w:t>根据本</w:t>
            </w:r>
            <w:r>
              <w:rPr>
                <w:rFonts w:hint="eastAsia"/>
              </w:rPr>
              <w:t>项目</w:t>
            </w:r>
            <w:r>
              <w:t>噪声源的分布，对项目</w:t>
            </w:r>
            <w:r>
              <w:rPr>
                <w:rFonts w:hint="eastAsia"/>
              </w:rPr>
              <w:t>租赁车间</w:t>
            </w:r>
            <w:r>
              <w:t>四周厂界噪声</w:t>
            </w:r>
            <w:r>
              <w:rPr>
                <w:rFonts w:hint="eastAsia"/>
              </w:rPr>
              <w:t>贡献值</w:t>
            </w:r>
            <w:r>
              <w:t>进行计算，</w:t>
            </w:r>
            <w:r>
              <w:rPr>
                <w:rFonts w:hint="eastAsia"/>
              </w:rPr>
              <w:t>本次评价</w:t>
            </w:r>
            <w:r>
              <w:t>厂界噪声的预测结果见</w:t>
            </w:r>
            <w:r>
              <w:rPr>
                <w:rFonts w:hint="eastAsia"/>
              </w:rPr>
              <w:t>下</w:t>
            </w:r>
            <w:r>
              <w:t>表。</w:t>
            </w:r>
          </w:p>
          <w:p w14:paraId="530F7E4A">
            <w:pPr>
              <w:pStyle w:val="7"/>
              <w:keepNext w:val="0"/>
              <w:keepLines w:val="0"/>
              <w:pageBreakBefore w:val="0"/>
              <w:widowControl w:val="0"/>
              <w:kinsoku/>
              <w:wordWrap/>
              <w:overflowPunct/>
              <w:topLinePunct w:val="0"/>
              <w:autoSpaceDE/>
              <w:autoSpaceDN/>
              <w:bidi w:val="0"/>
              <w:spacing w:line="520" w:lineRule="exact"/>
              <w:textAlignment w:val="auto"/>
            </w:pPr>
            <w:r>
              <w:rPr>
                <w:rFonts w:hint="eastAsia"/>
              </w:rPr>
              <w:t>表4-14          各厂界噪声预测结果一览表       单位：</w:t>
            </w:r>
            <w:r>
              <w:t>dB(A)</w:t>
            </w:r>
          </w:p>
          <w:tbl>
            <w:tblPr>
              <w:tblStyle w:val="2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714"/>
              <w:gridCol w:w="828"/>
              <w:gridCol w:w="771"/>
              <w:gridCol w:w="851"/>
              <w:gridCol w:w="759"/>
              <w:gridCol w:w="958"/>
              <w:gridCol w:w="796"/>
              <w:gridCol w:w="983"/>
            </w:tblGrid>
            <w:tr w14:paraId="530A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Merge w:val="restart"/>
                  <w:vAlign w:val="center"/>
                </w:tcPr>
                <w:p w14:paraId="50ACBCDE">
                  <w:pPr>
                    <w:tabs>
                      <w:tab w:val="left" w:pos="8370"/>
                      <w:tab w:val="left" w:pos="8600"/>
                    </w:tabs>
                    <w:spacing w:line="240" w:lineRule="auto"/>
                    <w:ind w:firstLine="0" w:firstLineChars="0"/>
                    <w:jc w:val="center"/>
                    <w:rPr>
                      <w:b/>
                      <w:bCs/>
                      <w:sz w:val="21"/>
                      <w:szCs w:val="21"/>
                    </w:rPr>
                  </w:pPr>
                  <w:r>
                    <w:rPr>
                      <w:b/>
                      <w:bCs/>
                      <w:sz w:val="21"/>
                      <w:szCs w:val="21"/>
                    </w:rPr>
                    <w:t>预测点</w:t>
                  </w:r>
                </w:p>
              </w:tc>
              <w:tc>
                <w:tcPr>
                  <w:tcW w:w="950" w:type="pct"/>
                  <w:gridSpan w:val="2"/>
                  <w:vAlign w:val="center"/>
                </w:tcPr>
                <w:p w14:paraId="4F789FE4">
                  <w:pPr>
                    <w:tabs>
                      <w:tab w:val="left" w:pos="8370"/>
                      <w:tab w:val="left" w:pos="8600"/>
                    </w:tabs>
                    <w:spacing w:line="240" w:lineRule="auto"/>
                    <w:ind w:firstLine="0" w:firstLineChars="0"/>
                    <w:jc w:val="center"/>
                    <w:rPr>
                      <w:b/>
                      <w:bCs/>
                      <w:sz w:val="21"/>
                      <w:szCs w:val="21"/>
                    </w:rPr>
                  </w:pPr>
                  <w:r>
                    <w:rPr>
                      <w:b/>
                      <w:bCs/>
                      <w:sz w:val="21"/>
                      <w:szCs w:val="21"/>
                    </w:rPr>
                    <w:t>东厂界</w:t>
                  </w:r>
                </w:p>
              </w:tc>
              <w:tc>
                <w:tcPr>
                  <w:tcW w:w="1000" w:type="pct"/>
                  <w:gridSpan w:val="2"/>
                  <w:vAlign w:val="center"/>
                </w:tcPr>
                <w:p w14:paraId="4D611B2E">
                  <w:pPr>
                    <w:tabs>
                      <w:tab w:val="left" w:pos="8370"/>
                      <w:tab w:val="left" w:pos="8600"/>
                    </w:tabs>
                    <w:spacing w:line="240" w:lineRule="auto"/>
                    <w:ind w:firstLine="0" w:firstLineChars="0"/>
                    <w:jc w:val="center"/>
                    <w:rPr>
                      <w:b/>
                      <w:bCs/>
                      <w:sz w:val="21"/>
                      <w:szCs w:val="21"/>
                    </w:rPr>
                  </w:pPr>
                  <w:r>
                    <w:rPr>
                      <w:b/>
                      <w:bCs/>
                      <w:sz w:val="21"/>
                      <w:szCs w:val="21"/>
                    </w:rPr>
                    <w:t>南厂界</w:t>
                  </w:r>
                </w:p>
              </w:tc>
              <w:tc>
                <w:tcPr>
                  <w:tcW w:w="1059" w:type="pct"/>
                  <w:gridSpan w:val="2"/>
                  <w:vAlign w:val="center"/>
                </w:tcPr>
                <w:p w14:paraId="61D8802C">
                  <w:pPr>
                    <w:tabs>
                      <w:tab w:val="left" w:pos="8370"/>
                      <w:tab w:val="left" w:pos="8600"/>
                    </w:tabs>
                    <w:spacing w:line="240" w:lineRule="auto"/>
                    <w:ind w:firstLine="0" w:firstLineChars="0"/>
                    <w:jc w:val="center"/>
                    <w:rPr>
                      <w:b/>
                      <w:bCs/>
                      <w:sz w:val="21"/>
                      <w:szCs w:val="21"/>
                    </w:rPr>
                  </w:pPr>
                  <w:r>
                    <w:rPr>
                      <w:b/>
                      <w:bCs/>
                      <w:sz w:val="21"/>
                      <w:szCs w:val="21"/>
                    </w:rPr>
                    <w:t>西厂界</w:t>
                  </w:r>
                </w:p>
              </w:tc>
              <w:tc>
                <w:tcPr>
                  <w:tcW w:w="1097" w:type="pct"/>
                  <w:gridSpan w:val="2"/>
                  <w:vAlign w:val="center"/>
                </w:tcPr>
                <w:p w14:paraId="7A76A504">
                  <w:pPr>
                    <w:tabs>
                      <w:tab w:val="left" w:pos="8370"/>
                      <w:tab w:val="left" w:pos="8600"/>
                    </w:tabs>
                    <w:spacing w:line="240" w:lineRule="auto"/>
                    <w:ind w:firstLine="0" w:firstLineChars="0"/>
                    <w:jc w:val="center"/>
                    <w:rPr>
                      <w:b/>
                      <w:bCs/>
                      <w:sz w:val="21"/>
                      <w:szCs w:val="21"/>
                    </w:rPr>
                  </w:pPr>
                  <w:r>
                    <w:rPr>
                      <w:b/>
                      <w:bCs/>
                      <w:sz w:val="21"/>
                      <w:szCs w:val="21"/>
                    </w:rPr>
                    <w:t>北厂界</w:t>
                  </w:r>
                </w:p>
              </w:tc>
            </w:tr>
            <w:tr w14:paraId="00F5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Merge w:val="continue"/>
                  <w:vAlign w:val="center"/>
                </w:tcPr>
                <w:p w14:paraId="7F5DBF60">
                  <w:pPr>
                    <w:tabs>
                      <w:tab w:val="left" w:pos="8370"/>
                      <w:tab w:val="left" w:pos="8600"/>
                    </w:tabs>
                    <w:spacing w:line="240" w:lineRule="auto"/>
                    <w:ind w:firstLine="0" w:firstLineChars="0"/>
                    <w:jc w:val="center"/>
                    <w:rPr>
                      <w:sz w:val="21"/>
                      <w:szCs w:val="21"/>
                    </w:rPr>
                  </w:pPr>
                </w:p>
              </w:tc>
              <w:tc>
                <w:tcPr>
                  <w:tcW w:w="440" w:type="pct"/>
                  <w:vAlign w:val="center"/>
                </w:tcPr>
                <w:p w14:paraId="58171C2E">
                  <w:pPr>
                    <w:tabs>
                      <w:tab w:val="left" w:pos="8370"/>
                      <w:tab w:val="left" w:pos="8600"/>
                    </w:tabs>
                    <w:spacing w:line="240" w:lineRule="auto"/>
                    <w:ind w:firstLine="0" w:firstLineChars="0"/>
                    <w:jc w:val="center"/>
                    <w:rPr>
                      <w:b/>
                      <w:bCs/>
                      <w:sz w:val="21"/>
                      <w:szCs w:val="21"/>
                    </w:rPr>
                  </w:pPr>
                  <w:r>
                    <w:rPr>
                      <w:b/>
                      <w:bCs/>
                      <w:sz w:val="21"/>
                      <w:szCs w:val="21"/>
                    </w:rPr>
                    <w:t>距离/m</w:t>
                  </w:r>
                </w:p>
              </w:tc>
              <w:tc>
                <w:tcPr>
                  <w:tcW w:w="509" w:type="pct"/>
                  <w:vAlign w:val="center"/>
                </w:tcPr>
                <w:p w14:paraId="4599EF0C">
                  <w:pPr>
                    <w:tabs>
                      <w:tab w:val="left" w:pos="8370"/>
                      <w:tab w:val="left" w:pos="8600"/>
                    </w:tabs>
                    <w:spacing w:line="240" w:lineRule="auto"/>
                    <w:ind w:firstLine="0" w:firstLineChars="0"/>
                    <w:jc w:val="center"/>
                    <w:rPr>
                      <w:b/>
                      <w:bCs/>
                      <w:sz w:val="21"/>
                      <w:szCs w:val="21"/>
                    </w:rPr>
                  </w:pPr>
                  <w:r>
                    <w:rPr>
                      <w:b/>
                      <w:bCs/>
                      <w:sz w:val="21"/>
                      <w:szCs w:val="21"/>
                    </w:rPr>
                    <w:t>贡献值/dB(A)</w:t>
                  </w:r>
                </w:p>
              </w:tc>
              <w:tc>
                <w:tcPr>
                  <w:tcW w:w="475" w:type="pct"/>
                  <w:vAlign w:val="center"/>
                </w:tcPr>
                <w:p w14:paraId="08BFAD5A">
                  <w:pPr>
                    <w:tabs>
                      <w:tab w:val="left" w:pos="8370"/>
                      <w:tab w:val="left" w:pos="8600"/>
                    </w:tabs>
                    <w:spacing w:line="240" w:lineRule="auto"/>
                    <w:ind w:firstLine="0" w:firstLineChars="0"/>
                    <w:jc w:val="center"/>
                    <w:rPr>
                      <w:b/>
                      <w:bCs/>
                      <w:sz w:val="21"/>
                      <w:szCs w:val="21"/>
                    </w:rPr>
                  </w:pPr>
                  <w:r>
                    <w:rPr>
                      <w:b/>
                      <w:bCs/>
                      <w:sz w:val="21"/>
                      <w:szCs w:val="21"/>
                    </w:rPr>
                    <w:t>距离</w:t>
                  </w:r>
                </w:p>
                <w:p w14:paraId="465D0D54">
                  <w:pPr>
                    <w:tabs>
                      <w:tab w:val="left" w:pos="8370"/>
                      <w:tab w:val="left" w:pos="8600"/>
                    </w:tabs>
                    <w:spacing w:line="240" w:lineRule="auto"/>
                    <w:ind w:firstLine="0" w:firstLineChars="0"/>
                    <w:jc w:val="center"/>
                    <w:rPr>
                      <w:b/>
                      <w:bCs/>
                      <w:sz w:val="21"/>
                      <w:szCs w:val="21"/>
                    </w:rPr>
                  </w:pPr>
                  <w:r>
                    <w:rPr>
                      <w:b/>
                      <w:bCs/>
                      <w:sz w:val="21"/>
                      <w:szCs w:val="21"/>
                    </w:rPr>
                    <w:t>/m</w:t>
                  </w:r>
                </w:p>
              </w:tc>
              <w:tc>
                <w:tcPr>
                  <w:tcW w:w="525" w:type="pct"/>
                  <w:vAlign w:val="center"/>
                </w:tcPr>
                <w:p w14:paraId="00FE6910">
                  <w:pPr>
                    <w:tabs>
                      <w:tab w:val="left" w:pos="8370"/>
                      <w:tab w:val="left" w:pos="8600"/>
                    </w:tabs>
                    <w:spacing w:line="240" w:lineRule="auto"/>
                    <w:ind w:firstLine="0" w:firstLineChars="0"/>
                    <w:jc w:val="center"/>
                    <w:rPr>
                      <w:b/>
                      <w:bCs/>
                      <w:sz w:val="21"/>
                      <w:szCs w:val="21"/>
                    </w:rPr>
                  </w:pPr>
                  <w:r>
                    <w:rPr>
                      <w:b/>
                      <w:bCs/>
                      <w:sz w:val="21"/>
                      <w:szCs w:val="21"/>
                    </w:rPr>
                    <w:t>贡献值/dB(A)</w:t>
                  </w:r>
                </w:p>
              </w:tc>
              <w:tc>
                <w:tcPr>
                  <w:tcW w:w="468" w:type="pct"/>
                  <w:vAlign w:val="center"/>
                </w:tcPr>
                <w:p w14:paraId="518EAA1C">
                  <w:pPr>
                    <w:tabs>
                      <w:tab w:val="left" w:pos="8370"/>
                      <w:tab w:val="left" w:pos="8600"/>
                    </w:tabs>
                    <w:spacing w:line="240" w:lineRule="auto"/>
                    <w:ind w:firstLine="0" w:firstLineChars="0"/>
                    <w:jc w:val="center"/>
                    <w:rPr>
                      <w:b/>
                      <w:bCs/>
                      <w:sz w:val="21"/>
                      <w:szCs w:val="21"/>
                    </w:rPr>
                  </w:pPr>
                  <w:r>
                    <w:rPr>
                      <w:b/>
                      <w:bCs/>
                      <w:sz w:val="21"/>
                      <w:szCs w:val="21"/>
                    </w:rPr>
                    <w:t>距离/m</w:t>
                  </w:r>
                </w:p>
              </w:tc>
              <w:tc>
                <w:tcPr>
                  <w:tcW w:w="590" w:type="pct"/>
                  <w:vAlign w:val="center"/>
                </w:tcPr>
                <w:p w14:paraId="0E9079E8">
                  <w:pPr>
                    <w:tabs>
                      <w:tab w:val="left" w:pos="8370"/>
                      <w:tab w:val="left" w:pos="8600"/>
                    </w:tabs>
                    <w:spacing w:line="240" w:lineRule="auto"/>
                    <w:ind w:firstLine="0" w:firstLineChars="0"/>
                    <w:jc w:val="center"/>
                    <w:rPr>
                      <w:b/>
                      <w:bCs/>
                      <w:sz w:val="21"/>
                      <w:szCs w:val="21"/>
                    </w:rPr>
                  </w:pPr>
                  <w:r>
                    <w:rPr>
                      <w:b/>
                      <w:bCs/>
                      <w:sz w:val="21"/>
                      <w:szCs w:val="21"/>
                    </w:rPr>
                    <w:t>贡献值/dB(A)</w:t>
                  </w:r>
                </w:p>
              </w:tc>
              <w:tc>
                <w:tcPr>
                  <w:tcW w:w="491" w:type="pct"/>
                  <w:vAlign w:val="center"/>
                </w:tcPr>
                <w:p w14:paraId="5BB7D8A5">
                  <w:pPr>
                    <w:tabs>
                      <w:tab w:val="left" w:pos="8370"/>
                      <w:tab w:val="left" w:pos="8600"/>
                    </w:tabs>
                    <w:spacing w:line="240" w:lineRule="auto"/>
                    <w:ind w:firstLine="0" w:firstLineChars="0"/>
                    <w:jc w:val="center"/>
                    <w:rPr>
                      <w:b/>
                      <w:bCs/>
                      <w:sz w:val="21"/>
                      <w:szCs w:val="21"/>
                    </w:rPr>
                  </w:pPr>
                  <w:r>
                    <w:rPr>
                      <w:b/>
                      <w:bCs/>
                      <w:sz w:val="21"/>
                      <w:szCs w:val="21"/>
                    </w:rPr>
                    <w:t>距离</w:t>
                  </w:r>
                </w:p>
                <w:p w14:paraId="00A7185F">
                  <w:pPr>
                    <w:tabs>
                      <w:tab w:val="left" w:pos="8370"/>
                      <w:tab w:val="left" w:pos="8600"/>
                    </w:tabs>
                    <w:spacing w:line="240" w:lineRule="auto"/>
                    <w:ind w:firstLine="0" w:firstLineChars="0"/>
                    <w:jc w:val="center"/>
                    <w:rPr>
                      <w:b/>
                      <w:bCs/>
                      <w:sz w:val="21"/>
                      <w:szCs w:val="21"/>
                    </w:rPr>
                  </w:pPr>
                  <w:r>
                    <w:rPr>
                      <w:b/>
                      <w:bCs/>
                      <w:sz w:val="21"/>
                      <w:szCs w:val="21"/>
                    </w:rPr>
                    <w:t>/m</w:t>
                  </w:r>
                </w:p>
              </w:tc>
              <w:tc>
                <w:tcPr>
                  <w:tcW w:w="605" w:type="pct"/>
                  <w:vAlign w:val="center"/>
                </w:tcPr>
                <w:p w14:paraId="58A19FCA">
                  <w:pPr>
                    <w:tabs>
                      <w:tab w:val="left" w:pos="8370"/>
                      <w:tab w:val="left" w:pos="8600"/>
                    </w:tabs>
                    <w:spacing w:line="240" w:lineRule="auto"/>
                    <w:ind w:firstLine="0" w:firstLineChars="0"/>
                    <w:jc w:val="center"/>
                    <w:rPr>
                      <w:b/>
                      <w:bCs/>
                      <w:sz w:val="21"/>
                      <w:szCs w:val="21"/>
                    </w:rPr>
                  </w:pPr>
                  <w:r>
                    <w:rPr>
                      <w:b/>
                      <w:bCs/>
                      <w:sz w:val="21"/>
                      <w:szCs w:val="21"/>
                    </w:rPr>
                    <w:t>贡献值/dB(A)</w:t>
                  </w:r>
                </w:p>
              </w:tc>
            </w:tr>
            <w:tr w14:paraId="00D6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Align w:val="center"/>
                </w:tcPr>
                <w:p w14:paraId="52AF5335">
                  <w:pPr>
                    <w:tabs>
                      <w:tab w:val="left" w:pos="8370"/>
                      <w:tab w:val="left" w:pos="8600"/>
                    </w:tabs>
                    <w:spacing w:line="240" w:lineRule="auto"/>
                    <w:ind w:firstLine="0" w:firstLineChars="0"/>
                    <w:jc w:val="center"/>
                    <w:rPr>
                      <w:sz w:val="21"/>
                      <w:szCs w:val="21"/>
                    </w:rPr>
                  </w:pPr>
                  <w:r>
                    <w:rPr>
                      <w:rFonts w:hint="eastAsia"/>
                      <w:sz w:val="21"/>
                      <w:szCs w:val="21"/>
                    </w:rPr>
                    <w:t>生产</w:t>
                  </w:r>
                  <w:r>
                    <w:rPr>
                      <w:sz w:val="21"/>
                      <w:szCs w:val="21"/>
                    </w:rPr>
                    <w:t>车间</w:t>
                  </w:r>
                </w:p>
              </w:tc>
              <w:tc>
                <w:tcPr>
                  <w:tcW w:w="440" w:type="pct"/>
                  <w:vAlign w:val="center"/>
                </w:tcPr>
                <w:p w14:paraId="6A3843B6">
                  <w:pPr>
                    <w:widowControl/>
                    <w:spacing w:line="240" w:lineRule="auto"/>
                    <w:ind w:firstLine="0" w:firstLineChars="0"/>
                    <w:jc w:val="center"/>
                    <w:textAlignment w:val="center"/>
                    <w:rPr>
                      <w:kern w:val="0"/>
                      <w:sz w:val="21"/>
                      <w:szCs w:val="21"/>
                      <w:lang w:bidi="ar"/>
                    </w:rPr>
                  </w:pPr>
                  <w:r>
                    <w:rPr>
                      <w:rFonts w:hint="eastAsia"/>
                      <w:kern w:val="0"/>
                      <w:sz w:val="21"/>
                      <w:szCs w:val="21"/>
                      <w:lang w:bidi="ar"/>
                    </w:rPr>
                    <w:t>50</w:t>
                  </w:r>
                </w:p>
              </w:tc>
              <w:tc>
                <w:tcPr>
                  <w:tcW w:w="509" w:type="pct"/>
                  <w:vAlign w:val="center"/>
                </w:tcPr>
                <w:p w14:paraId="3DBADB03">
                  <w:pPr>
                    <w:widowControl/>
                    <w:spacing w:line="240" w:lineRule="auto"/>
                    <w:ind w:firstLine="0" w:firstLineChars="0"/>
                    <w:jc w:val="center"/>
                    <w:textAlignment w:val="center"/>
                    <w:rPr>
                      <w:kern w:val="0"/>
                      <w:sz w:val="21"/>
                      <w:szCs w:val="21"/>
                      <w:lang w:bidi="ar"/>
                    </w:rPr>
                  </w:pPr>
                  <w:r>
                    <w:rPr>
                      <w:rFonts w:hint="eastAsia"/>
                      <w:kern w:val="0"/>
                      <w:sz w:val="21"/>
                      <w:szCs w:val="21"/>
                      <w:lang w:bidi="ar"/>
                    </w:rPr>
                    <w:t>8.7</w:t>
                  </w:r>
                </w:p>
              </w:tc>
              <w:tc>
                <w:tcPr>
                  <w:tcW w:w="475" w:type="pct"/>
                  <w:vAlign w:val="center"/>
                </w:tcPr>
                <w:p w14:paraId="37828CA2">
                  <w:pPr>
                    <w:widowControl/>
                    <w:tabs>
                      <w:tab w:val="left" w:pos="207"/>
                    </w:tabs>
                    <w:spacing w:line="240" w:lineRule="auto"/>
                    <w:ind w:firstLine="0" w:firstLineChars="0"/>
                    <w:jc w:val="center"/>
                    <w:textAlignment w:val="center"/>
                    <w:rPr>
                      <w:kern w:val="0"/>
                      <w:sz w:val="21"/>
                      <w:szCs w:val="21"/>
                      <w:lang w:bidi="ar"/>
                    </w:rPr>
                  </w:pPr>
                  <w:r>
                    <w:rPr>
                      <w:rFonts w:hint="eastAsia"/>
                      <w:kern w:val="0"/>
                      <w:sz w:val="21"/>
                      <w:szCs w:val="21"/>
                      <w:lang w:bidi="ar"/>
                    </w:rPr>
                    <w:t>35</w:t>
                  </w:r>
                </w:p>
              </w:tc>
              <w:tc>
                <w:tcPr>
                  <w:tcW w:w="525" w:type="pct"/>
                  <w:vAlign w:val="center"/>
                </w:tcPr>
                <w:p w14:paraId="7987F9E7">
                  <w:pPr>
                    <w:widowControl/>
                    <w:spacing w:line="240" w:lineRule="auto"/>
                    <w:ind w:firstLine="0" w:firstLineChars="0"/>
                    <w:jc w:val="center"/>
                    <w:textAlignment w:val="center"/>
                    <w:rPr>
                      <w:kern w:val="0"/>
                      <w:sz w:val="21"/>
                      <w:szCs w:val="21"/>
                      <w:lang w:bidi="ar"/>
                    </w:rPr>
                  </w:pPr>
                  <w:r>
                    <w:rPr>
                      <w:rFonts w:hint="eastAsia"/>
                      <w:kern w:val="0"/>
                      <w:sz w:val="21"/>
                      <w:szCs w:val="21"/>
                      <w:lang w:bidi="ar"/>
                    </w:rPr>
                    <w:t>11.8</w:t>
                  </w:r>
                </w:p>
              </w:tc>
              <w:tc>
                <w:tcPr>
                  <w:tcW w:w="468" w:type="pct"/>
                  <w:vAlign w:val="center"/>
                </w:tcPr>
                <w:p w14:paraId="35820E9E">
                  <w:pPr>
                    <w:widowControl/>
                    <w:spacing w:line="240" w:lineRule="auto"/>
                    <w:ind w:firstLine="0" w:firstLineChars="0"/>
                    <w:jc w:val="center"/>
                    <w:textAlignment w:val="center"/>
                    <w:rPr>
                      <w:kern w:val="0"/>
                      <w:sz w:val="21"/>
                      <w:szCs w:val="21"/>
                      <w:lang w:bidi="ar"/>
                    </w:rPr>
                  </w:pPr>
                  <w:r>
                    <w:rPr>
                      <w:rFonts w:hint="eastAsia"/>
                      <w:kern w:val="0"/>
                      <w:sz w:val="21"/>
                      <w:szCs w:val="21"/>
                      <w:lang w:bidi="ar"/>
                    </w:rPr>
                    <w:t>50</w:t>
                  </w:r>
                </w:p>
              </w:tc>
              <w:tc>
                <w:tcPr>
                  <w:tcW w:w="590" w:type="pct"/>
                  <w:vAlign w:val="center"/>
                </w:tcPr>
                <w:p w14:paraId="0EB9EF8A">
                  <w:pPr>
                    <w:widowControl/>
                    <w:spacing w:line="240" w:lineRule="auto"/>
                    <w:ind w:firstLine="0" w:firstLineChars="0"/>
                    <w:jc w:val="center"/>
                    <w:textAlignment w:val="center"/>
                    <w:rPr>
                      <w:kern w:val="0"/>
                      <w:sz w:val="21"/>
                      <w:szCs w:val="21"/>
                      <w:lang w:bidi="ar"/>
                    </w:rPr>
                  </w:pPr>
                  <w:r>
                    <w:rPr>
                      <w:rFonts w:hint="eastAsia"/>
                      <w:kern w:val="0"/>
                      <w:sz w:val="21"/>
                      <w:szCs w:val="21"/>
                      <w:lang w:bidi="ar"/>
                    </w:rPr>
                    <w:t>8.7</w:t>
                  </w:r>
                </w:p>
              </w:tc>
              <w:tc>
                <w:tcPr>
                  <w:tcW w:w="491" w:type="pct"/>
                  <w:vAlign w:val="center"/>
                </w:tcPr>
                <w:p w14:paraId="23E55972">
                  <w:pPr>
                    <w:widowControl/>
                    <w:spacing w:line="240" w:lineRule="auto"/>
                    <w:ind w:firstLine="0" w:firstLineChars="0"/>
                    <w:jc w:val="center"/>
                    <w:textAlignment w:val="center"/>
                    <w:rPr>
                      <w:kern w:val="0"/>
                      <w:sz w:val="21"/>
                      <w:szCs w:val="21"/>
                      <w:lang w:bidi="ar"/>
                    </w:rPr>
                  </w:pPr>
                  <w:r>
                    <w:rPr>
                      <w:rFonts w:hint="eastAsia"/>
                      <w:kern w:val="0"/>
                      <w:sz w:val="21"/>
                      <w:szCs w:val="21"/>
                      <w:lang w:bidi="ar"/>
                    </w:rPr>
                    <w:t>10</w:t>
                  </w:r>
                </w:p>
              </w:tc>
              <w:tc>
                <w:tcPr>
                  <w:tcW w:w="605" w:type="pct"/>
                  <w:vAlign w:val="center"/>
                </w:tcPr>
                <w:p w14:paraId="7DEF8B99">
                  <w:pPr>
                    <w:widowControl/>
                    <w:spacing w:line="240" w:lineRule="auto"/>
                    <w:ind w:firstLine="0" w:firstLineChars="0"/>
                    <w:jc w:val="center"/>
                    <w:textAlignment w:val="center"/>
                    <w:rPr>
                      <w:kern w:val="0"/>
                      <w:sz w:val="21"/>
                      <w:szCs w:val="21"/>
                      <w:lang w:bidi="ar"/>
                    </w:rPr>
                  </w:pPr>
                  <w:r>
                    <w:rPr>
                      <w:rFonts w:hint="eastAsia"/>
                      <w:kern w:val="0"/>
                      <w:sz w:val="21"/>
                      <w:szCs w:val="21"/>
                      <w:lang w:bidi="ar"/>
                    </w:rPr>
                    <w:t>22.7</w:t>
                  </w:r>
                </w:p>
              </w:tc>
            </w:tr>
            <w:tr w14:paraId="30E7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Align w:val="center"/>
                </w:tcPr>
                <w:p w14:paraId="599657B1">
                  <w:pPr>
                    <w:spacing w:line="240" w:lineRule="auto"/>
                    <w:ind w:firstLine="0" w:firstLineChars="0"/>
                    <w:jc w:val="center"/>
                    <w:rPr>
                      <w:sz w:val="21"/>
                      <w:szCs w:val="21"/>
                    </w:rPr>
                  </w:pPr>
                  <w:r>
                    <w:rPr>
                      <w:bCs/>
                      <w:sz w:val="21"/>
                      <w:szCs w:val="21"/>
                    </w:rPr>
                    <w:t>风机1</w:t>
                  </w:r>
                </w:p>
              </w:tc>
              <w:tc>
                <w:tcPr>
                  <w:tcW w:w="440" w:type="pct"/>
                  <w:vAlign w:val="center"/>
                </w:tcPr>
                <w:p w14:paraId="414A83E7">
                  <w:pPr>
                    <w:widowControl/>
                    <w:tabs>
                      <w:tab w:val="left" w:pos="442"/>
                    </w:tabs>
                    <w:spacing w:line="240" w:lineRule="auto"/>
                    <w:ind w:firstLine="0" w:firstLineChars="0"/>
                    <w:jc w:val="center"/>
                    <w:textAlignment w:val="center"/>
                    <w:rPr>
                      <w:sz w:val="21"/>
                      <w:szCs w:val="21"/>
                    </w:rPr>
                  </w:pPr>
                  <w:r>
                    <w:rPr>
                      <w:rFonts w:hint="eastAsia"/>
                      <w:sz w:val="21"/>
                      <w:szCs w:val="21"/>
                    </w:rPr>
                    <w:t>8</w:t>
                  </w:r>
                </w:p>
              </w:tc>
              <w:tc>
                <w:tcPr>
                  <w:tcW w:w="509" w:type="pct"/>
                  <w:vAlign w:val="center"/>
                </w:tcPr>
                <w:p w14:paraId="75B505D1">
                  <w:pPr>
                    <w:widowControl/>
                    <w:spacing w:line="240" w:lineRule="auto"/>
                    <w:ind w:firstLine="0" w:firstLineChars="0"/>
                    <w:jc w:val="center"/>
                    <w:textAlignment w:val="center"/>
                    <w:rPr>
                      <w:sz w:val="21"/>
                      <w:szCs w:val="21"/>
                    </w:rPr>
                  </w:pPr>
                  <w:r>
                    <w:rPr>
                      <w:rFonts w:hint="eastAsia"/>
                      <w:sz w:val="21"/>
                      <w:szCs w:val="21"/>
                    </w:rPr>
                    <w:t>38.7</w:t>
                  </w:r>
                </w:p>
              </w:tc>
              <w:tc>
                <w:tcPr>
                  <w:tcW w:w="771" w:type="dxa"/>
                  <w:vAlign w:val="center"/>
                </w:tcPr>
                <w:p w14:paraId="02331B31">
                  <w:pPr>
                    <w:tabs>
                      <w:tab w:val="left" w:pos="3620"/>
                    </w:tabs>
                    <w:adjustRightInd w:val="0"/>
                    <w:snapToGrid w:val="0"/>
                    <w:spacing w:line="240" w:lineRule="auto"/>
                    <w:ind w:firstLine="0" w:firstLineChars="0"/>
                    <w:jc w:val="center"/>
                    <w:rPr>
                      <w:sz w:val="21"/>
                      <w:szCs w:val="21"/>
                    </w:rPr>
                  </w:pPr>
                  <w:r>
                    <w:rPr>
                      <w:rFonts w:hint="eastAsia"/>
                      <w:bCs/>
                      <w:sz w:val="21"/>
                      <w:szCs w:val="21"/>
                    </w:rPr>
                    <w:t>31</w:t>
                  </w:r>
                </w:p>
              </w:tc>
              <w:tc>
                <w:tcPr>
                  <w:tcW w:w="525" w:type="pct"/>
                  <w:vAlign w:val="center"/>
                </w:tcPr>
                <w:p w14:paraId="0641445D">
                  <w:pPr>
                    <w:widowControl/>
                    <w:spacing w:line="240" w:lineRule="auto"/>
                    <w:ind w:firstLine="0" w:firstLineChars="0"/>
                    <w:jc w:val="center"/>
                    <w:textAlignment w:val="center"/>
                    <w:rPr>
                      <w:sz w:val="21"/>
                      <w:szCs w:val="21"/>
                    </w:rPr>
                  </w:pPr>
                  <w:r>
                    <w:rPr>
                      <w:rFonts w:hint="eastAsia"/>
                      <w:sz w:val="21"/>
                      <w:szCs w:val="21"/>
                    </w:rPr>
                    <w:t>27.2</w:t>
                  </w:r>
                </w:p>
              </w:tc>
              <w:tc>
                <w:tcPr>
                  <w:tcW w:w="468" w:type="pct"/>
                  <w:vAlign w:val="center"/>
                </w:tcPr>
                <w:p w14:paraId="7E71342D">
                  <w:pPr>
                    <w:tabs>
                      <w:tab w:val="left" w:pos="3620"/>
                    </w:tabs>
                    <w:adjustRightInd w:val="0"/>
                    <w:snapToGrid w:val="0"/>
                    <w:spacing w:line="240" w:lineRule="auto"/>
                    <w:ind w:firstLine="0" w:firstLineChars="0"/>
                    <w:jc w:val="center"/>
                    <w:rPr>
                      <w:sz w:val="21"/>
                      <w:szCs w:val="21"/>
                    </w:rPr>
                  </w:pPr>
                  <w:r>
                    <w:rPr>
                      <w:rFonts w:hint="eastAsia"/>
                      <w:sz w:val="21"/>
                      <w:szCs w:val="21"/>
                    </w:rPr>
                    <w:t>92</w:t>
                  </w:r>
                </w:p>
              </w:tc>
              <w:tc>
                <w:tcPr>
                  <w:tcW w:w="590" w:type="pct"/>
                  <w:vAlign w:val="center"/>
                </w:tcPr>
                <w:p w14:paraId="05DB88CF">
                  <w:pPr>
                    <w:widowControl/>
                    <w:spacing w:line="240" w:lineRule="auto"/>
                    <w:ind w:firstLine="0" w:firstLineChars="0"/>
                    <w:jc w:val="center"/>
                    <w:textAlignment w:val="center"/>
                    <w:rPr>
                      <w:sz w:val="21"/>
                      <w:szCs w:val="21"/>
                    </w:rPr>
                  </w:pPr>
                  <w:r>
                    <w:rPr>
                      <w:kern w:val="0"/>
                      <w:sz w:val="21"/>
                      <w:szCs w:val="21"/>
                      <w:lang w:bidi="ar"/>
                    </w:rPr>
                    <w:t>19.2</w:t>
                  </w:r>
                </w:p>
              </w:tc>
              <w:tc>
                <w:tcPr>
                  <w:tcW w:w="797" w:type="dxa"/>
                  <w:vAlign w:val="center"/>
                </w:tcPr>
                <w:p w14:paraId="4C0ACE7E">
                  <w:pPr>
                    <w:widowControl/>
                    <w:tabs>
                      <w:tab w:val="left" w:pos="442"/>
                    </w:tabs>
                    <w:spacing w:line="240" w:lineRule="auto"/>
                    <w:ind w:firstLine="0" w:firstLineChars="0"/>
                    <w:jc w:val="center"/>
                    <w:textAlignment w:val="center"/>
                    <w:rPr>
                      <w:sz w:val="21"/>
                      <w:szCs w:val="21"/>
                    </w:rPr>
                  </w:pPr>
                  <w:r>
                    <w:rPr>
                      <w:rFonts w:hint="eastAsia"/>
                      <w:sz w:val="21"/>
                      <w:szCs w:val="21"/>
                    </w:rPr>
                    <w:t>14</w:t>
                  </w:r>
                </w:p>
              </w:tc>
              <w:tc>
                <w:tcPr>
                  <w:tcW w:w="605" w:type="pct"/>
                  <w:vAlign w:val="center"/>
                </w:tcPr>
                <w:p w14:paraId="6AE7B9B1">
                  <w:pPr>
                    <w:widowControl/>
                    <w:spacing w:line="240" w:lineRule="auto"/>
                    <w:ind w:firstLine="0" w:firstLineChars="0"/>
                    <w:jc w:val="center"/>
                    <w:textAlignment w:val="center"/>
                    <w:rPr>
                      <w:sz w:val="21"/>
                      <w:szCs w:val="21"/>
                    </w:rPr>
                  </w:pPr>
                  <w:r>
                    <w:rPr>
                      <w:kern w:val="0"/>
                      <w:sz w:val="21"/>
                      <w:szCs w:val="21"/>
                      <w:lang w:bidi="ar"/>
                    </w:rPr>
                    <w:t>10.0</w:t>
                  </w:r>
                </w:p>
              </w:tc>
            </w:tr>
            <w:tr w14:paraId="49B4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Align w:val="center"/>
                </w:tcPr>
                <w:p w14:paraId="236FAD09">
                  <w:pPr>
                    <w:spacing w:line="240" w:lineRule="auto"/>
                    <w:ind w:firstLine="0" w:firstLineChars="0"/>
                    <w:jc w:val="center"/>
                    <w:rPr>
                      <w:bCs/>
                      <w:sz w:val="21"/>
                      <w:szCs w:val="21"/>
                    </w:rPr>
                  </w:pPr>
                  <w:r>
                    <w:rPr>
                      <w:bCs/>
                      <w:sz w:val="21"/>
                      <w:szCs w:val="21"/>
                    </w:rPr>
                    <w:t>风机2</w:t>
                  </w:r>
                </w:p>
              </w:tc>
              <w:tc>
                <w:tcPr>
                  <w:tcW w:w="440" w:type="pct"/>
                  <w:vAlign w:val="center"/>
                </w:tcPr>
                <w:p w14:paraId="1C5333BD">
                  <w:pPr>
                    <w:widowControl/>
                    <w:spacing w:line="240" w:lineRule="auto"/>
                    <w:ind w:firstLine="0" w:firstLineChars="0"/>
                    <w:jc w:val="center"/>
                    <w:textAlignment w:val="center"/>
                    <w:rPr>
                      <w:sz w:val="21"/>
                      <w:szCs w:val="21"/>
                    </w:rPr>
                  </w:pPr>
                  <w:r>
                    <w:rPr>
                      <w:rFonts w:hint="eastAsia"/>
                      <w:sz w:val="21"/>
                      <w:szCs w:val="21"/>
                    </w:rPr>
                    <w:t>8</w:t>
                  </w:r>
                </w:p>
              </w:tc>
              <w:tc>
                <w:tcPr>
                  <w:tcW w:w="509" w:type="pct"/>
                  <w:vAlign w:val="center"/>
                </w:tcPr>
                <w:p w14:paraId="58FDCD32">
                  <w:pPr>
                    <w:widowControl/>
                    <w:spacing w:line="240" w:lineRule="auto"/>
                    <w:ind w:firstLine="0" w:firstLineChars="0"/>
                    <w:jc w:val="center"/>
                    <w:textAlignment w:val="center"/>
                    <w:rPr>
                      <w:sz w:val="21"/>
                      <w:szCs w:val="21"/>
                    </w:rPr>
                  </w:pPr>
                  <w:r>
                    <w:rPr>
                      <w:rFonts w:hint="eastAsia"/>
                      <w:sz w:val="21"/>
                      <w:szCs w:val="21"/>
                    </w:rPr>
                    <w:t>38.7</w:t>
                  </w:r>
                </w:p>
              </w:tc>
              <w:tc>
                <w:tcPr>
                  <w:tcW w:w="771" w:type="dxa"/>
                  <w:vAlign w:val="center"/>
                </w:tcPr>
                <w:p w14:paraId="2F3026B7">
                  <w:pPr>
                    <w:tabs>
                      <w:tab w:val="left" w:pos="3620"/>
                    </w:tabs>
                    <w:adjustRightInd w:val="0"/>
                    <w:snapToGrid w:val="0"/>
                    <w:spacing w:line="240" w:lineRule="auto"/>
                    <w:ind w:firstLine="0" w:firstLineChars="0"/>
                    <w:jc w:val="center"/>
                    <w:rPr>
                      <w:kern w:val="0"/>
                      <w:sz w:val="21"/>
                      <w:szCs w:val="21"/>
                      <w:lang w:bidi="ar"/>
                    </w:rPr>
                  </w:pPr>
                  <w:r>
                    <w:rPr>
                      <w:rFonts w:hint="eastAsia"/>
                      <w:bCs/>
                      <w:sz w:val="21"/>
                      <w:szCs w:val="21"/>
                    </w:rPr>
                    <w:t>33</w:t>
                  </w:r>
                </w:p>
              </w:tc>
              <w:tc>
                <w:tcPr>
                  <w:tcW w:w="525" w:type="pct"/>
                  <w:vAlign w:val="center"/>
                </w:tcPr>
                <w:p w14:paraId="1B0577F5">
                  <w:pPr>
                    <w:widowControl/>
                    <w:spacing w:line="240" w:lineRule="auto"/>
                    <w:ind w:firstLine="0" w:firstLineChars="0"/>
                    <w:jc w:val="center"/>
                    <w:textAlignment w:val="center"/>
                    <w:rPr>
                      <w:sz w:val="21"/>
                      <w:szCs w:val="21"/>
                    </w:rPr>
                  </w:pPr>
                  <w:r>
                    <w:rPr>
                      <w:rFonts w:hint="eastAsia"/>
                      <w:sz w:val="21"/>
                      <w:szCs w:val="21"/>
                    </w:rPr>
                    <w:t>26.6</w:t>
                  </w:r>
                </w:p>
              </w:tc>
              <w:tc>
                <w:tcPr>
                  <w:tcW w:w="468" w:type="pct"/>
                  <w:vAlign w:val="center"/>
                </w:tcPr>
                <w:p w14:paraId="1D57C909">
                  <w:pPr>
                    <w:tabs>
                      <w:tab w:val="left" w:pos="3620"/>
                    </w:tabs>
                    <w:adjustRightInd w:val="0"/>
                    <w:snapToGrid w:val="0"/>
                    <w:spacing w:line="240" w:lineRule="auto"/>
                    <w:ind w:firstLine="0" w:firstLineChars="0"/>
                    <w:jc w:val="center"/>
                    <w:rPr>
                      <w:sz w:val="21"/>
                      <w:szCs w:val="21"/>
                    </w:rPr>
                  </w:pPr>
                  <w:r>
                    <w:rPr>
                      <w:rFonts w:hint="eastAsia"/>
                      <w:sz w:val="21"/>
                      <w:szCs w:val="21"/>
                    </w:rPr>
                    <w:t>92</w:t>
                  </w:r>
                </w:p>
              </w:tc>
              <w:tc>
                <w:tcPr>
                  <w:tcW w:w="590" w:type="pct"/>
                  <w:vAlign w:val="center"/>
                </w:tcPr>
                <w:p w14:paraId="591E9093">
                  <w:pPr>
                    <w:widowControl/>
                    <w:spacing w:line="240" w:lineRule="auto"/>
                    <w:ind w:firstLine="0" w:firstLineChars="0"/>
                    <w:jc w:val="center"/>
                    <w:textAlignment w:val="center"/>
                    <w:rPr>
                      <w:sz w:val="21"/>
                      <w:szCs w:val="21"/>
                    </w:rPr>
                  </w:pPr>
                  <w:r>
                    <w:rPr>
                      <w:kern w:val="0"/>
                      <w:sz w:val="21"/>
                      <w:szCs w:val="21"/>
                      <w:lang w:bidi="ar"/>
                    </w:rPr>
                    <w:t>1</w:t>
                  </w:r>
                  <w:r>
                    <w:rPr>
                      <w:rFonts w:hint="eastAsia"/>
                      <w:kern w:val="0"/>
                      <w:sz w:val="21"/>
                      <w:szCs w:val="21"/>
                      <w:lang w:bidi="ar"/>
                    </w:rPr>
                    <w:t>7.7</w:t>
                  </w:r>
                </w:p>
              </w:tc>
              <w:tc>
                <w:tcPr>
                  <w:tcW w:w="797" w:type="dxa"/>
                  <w:vAlign w:val="center"/>
                </w:tcPr>
                <w:p w14:paraId="0E39FA91">
                  <w:pPr>
                    <w:widowControl/>
                    <w:spacing w:line="240" w:lineRule="auto"/>
                    <w:ind w:firstLine="0" w:firstLineChars="0"/>
                    <w:jc w:val="center"/>
                    <w:textAlignment w:val="center"/>
                    <w:rPr>
                      <w:sz w:val="21"/>
                      <w:szCs w:val="21"/>
                    </w:rPr>
                  </w:pPr>
                  <w:r>
                    <w:rPr>
                      <w:rFonts w:hint="eastAsia"/>
                      <w:sz w:val="21"/>
                      <w:szCs w:val="21"/>
                    </w:rPr>
                    <w:t>12</w:t>
                  </w:r>
                </w:p>
              </w:tc>
              <w:tc>
                <w:tcPr>
                  <w:tcW w:w="605" w:type="pct"/>
                  <w:vAlign w:val="center"/>
                </w:tcPr>
                <w:p w14:paraId="3F586F81">
                  <w:pPr>
                    <w:widowControl/>
                    <w:spacing w:line="240" w:lineRule="auto"/>
                    <w:ind w:firstLine="0" w:firstLineChars="0"/>
                    <w:jc w:val="center"/>
                    <w:textAlignment w:val="center"/>
                    <w:rPr>
                      <w:sz w:val="21"/>
                      <w:szCs w:val="21"/>
                    </w:rPr>
                  </w:pPr>
                  <w:r>
                    <w:rPr>
                      <w:rFonts w:hint="eastAsia"/>
                      <w:kern w:val="0"/>
                      <w:sz w:val="21"/>
                      <w:szCs w:val="21"/>
                      <w:lang w:bidi="ar"/>
                    </w:rPr>
                    <w:t>35.4</w:t>
                  </w:r>
                </w:p>
              </w:tc>
            </w:tr>
            <w:tr w14:paraId="43D3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1" w:type="pct"/>
                  <w:vAlign w:val="center"/>
                </w:tcPr>
                <w:p w14:paraId="5E4CBC0F">
                  <w:pPr>
                    <w:spacing w:line="240" w:lineRule="auto"/>
                    <w:ind w:firstLine="0" w:firstLineChars="0"/>
                    <w:jc w:val="center"/>
                    <w:rPr>
                      <w:bCs/>
                      <w:sz w:val="21"/>
                      <w:szCs w:val="21"/>
                    </w:rPr>
                  </w:pPr>
                  <w:r>
                    <w:rPr>
                      <w:bCs/>
                      <w:sz w:val="21"/>
                      <w:szCs w:val="21"/>
                    </w:rPr>
                    <w:t>贡献叠加值</w:t>
                  </w:r>
                </w:p>
              </w:tc>
              <w:tc>
                <w:tcPr>
                  <w:tcW w:w="440" w:type="pct"/>
                  <w:vAlign w:val="center"/>
                </w:tcPr>
                <w:p w14:paraId="2840D0DD">
                  <w:pPr>
                    <w:spacing w:line="240" w:lineRule="auto"/>
                    <w:ind w:firstLine="0" w:firstLineChars="0"/>
                    <w:jc w:val="center"/>
                    <w:rPr>
                      <w:sz w:val="21"/>
                      <w:szCs w:val="21"/>
                    </w:rPr>
                  </w:pPr>
                  <w:r>
                    <w:rPr>
                      <w:sz w:val="21"/>
                      <w:szCs w:val="21"/>
                    </w:rPr>
                    <w:t>/</w:t>
                  </w:r>
                </w:p>
              </w:tc>
              <w:tc>
                <w:tcPr>
                  <w:tcW w:w="509" w:type="pct"/>
                  <w:vAlign w:val="center"/>
                </w:tcPr>
                <w:p w14:paraId="3BE3AAAE">
                  <w:pPr>
                    <w:spacing w:line="240" w:lineRule="auto"/>
                    <w:ind w:firstLine="0" w:firstLineChars="0"/>
                    <w:jc w:val="center"/>
                    <w:rPr>
                      <w:sz w:val="21"/>
                      <w:szCs w:val="21"/>
                    </w:rPr>
                  </w:pPr>
                  <w:r>
                    <w:rPr>
                      <w:rFonts w:hint="eastAsia"/>
                      <w:sz w:val="21"/>
                      <w:szCs w:val="21"/>
                    </w:rPr>
                    <w:t>41.7</w:t>
                  </w:r>
                </w:p>
              </w:tc>
              <w:tc>
                <w:tcPr>
                  <w:tcW w:w="475" w:type="pct"/>
                  <w:vAlign w:val="center"/>
                </w:tcPr>
                <w:p w14:paraId="2CEEDD1B">
                  <w:pPr>
                    <w:spacing w:line="240" w:lineRule="auto"/>
                    <w:ind w:firstLine="0" w:firstLineChars="0"/>
                    <w:jc w:val="center"/>
                    <w:rPr>
                      <w:sz w:val="21"/>
                      <w:szCs w:val="21"/>
                    </w:rPr>
                  </w:pPr>
                  <w:r>
                    <w:rPr>
                      <w:sz w:val="21"/>
                      <w:szCs w:val="21"/>
                    </w:rPr>
                    <w:t>/</w:t>
                  </w:r>
                </w:p>
              </w:tc>
              <w:tc>
                <w:tcPr>
                  <w:tcW w:w="525" w:type="pct"/>
                  <w:vAlign w:val="center"/>
                </w:tcPr>
                <w:p w14:paraId="5C5C8F71">
                  <w:pPr>
                    <w:spacing w:line="240" w:lineRule="auto"/>
                    <w:ind w:firstLine="0" w:firstLineChars="0"/>
                    <w:jc w:val="center"/>
                    <w:rPr>
                      <w:sz w:val="21"/>
                      <w:szCs w:val="21"/>
                    </w:rPr>
                  </w:pPr>
                  <w:r>
                    <w:rPr>
                      <w:rFonts w:hint="eastAsia"/>
                      <w:sz w:val="21"/>
                      <w:szCs w:val="21"/>
                    </w:rPr>
                    <w:t>30</w:t>
                  </w:r>
                </w:p>
              </w:tc>
              <w:tc>
                <w:tcPr>
                  <w:tcW w:w="468" w:type="pct"/>
                  <w:vAlign w:val="center"/>
                </w:tcPr>
                <w:p w14:paraId="0E840E7B">
                  <w:pPr>
                    <w:spacing w:line="240" w:lineRule="auto"/>
                    <w:ind w:firstLine="0" w:firstLineChars="0"/>
                    <w:jc w:val="center"/>
                    <w:rPr>
                      <w:sz w:val="21"/>
                      <w:szCs w:val="21"/>
                    </w:rPr>
                  </w:pPr>
                  <w:r>
                    <w:rPr>
                      <w:sz w:val="21"/>
                      <w:szCs w:val="21"/>
                    </w:rPr>
                    <w:t>/</w:t>
                  </w:r>
                </w:p>
              </w:tc>
              <w:tc>
                <w:tcPr>
                  <w:tcW w:w="590" w:type="pct"/>
                  <w:vAlign w:val="center"/>
                </w:tcPr>
                <w:p w14:paraId="736CC432">
                  <w:pPr>
                    <w:spacing w:line="240" w:lineRule="auto"/>
                    <w:ind w:firstLine="0" w:firstLineChars="0"/>
                    <w:jc w:val="center"/>
                    <w:rPr>
                      <w:sz w:val="21"/>
                      <w:szCs w:val="21"/>
                    </w:rPr>
                  </w:pPr>
                  <w:r>
                    <w:rPr>
                      <w:sz w:val="21"/>
                      <w:szCs w:val="21"/>
                    </w:rPr>
                    <w:t>21.</w:t>
                  </w:r>
                  <w:r>
                    <w:rPr>
                      <w:rFonts w:hint="eastAsia"/>
                      <w:sz w:val="21"/>
                      <w:szCs w:val="21"/>
                    </w:rPr>
                    <w:t>7</w:t>
                  </w:r>
                </w:p>
              </w:tc>
              <w:tc>
                <w:tcPr>
                  <w:tcW w:w="491" w:type="pct"/>
                  <w:vAlign w:val="center"/>
                </w:tcPr>
                <w:p w14:paraId="6B67BD8D">
                  <w:pPr>
                    <w:widowControl/>
                    <w:spacing w:line="240" w:lineRule="auto"/>
                    <w:ind w:firstLine="0" w:firstLineChars="0"/>
                    <w:jc w:val="center"/>
                    <w:textAlignment w:val="center"/>
                    <w:rPr>
                      <w:kern w:val="0"/>
                      <w:sz w:val="21"/>
                      <w:szCs w:val="21"/>
                      <w:lang w:bidi="ar"/>
                    </w:rPr>
                  </w:pPr>
                  <w:r>
                    <w:rPr>
                      <w:sz w:val="21"/>
                      <w:szCs w:val="21"/>
                    </w:rPr>
                    <w:t>/</w:t>
                  </w:r>
                </w:p>
              </w:tc>
              <w:tc>
                <w:tcPr>
                  <w:tcW w:w="605" w:type="pct"/>
                  <w:vAlign w:val="center"/>
                </w:tcPr>
                <w:p w14:paraId="499D0E39">
                  <w:pPr>
                    <w:spacing w:line="240" w:lineRule="auto"/>
                    <w:ind w:firstLine="0" w:firstLineChars="0"/>
                    <w:jc w:val="center"/>
                    <w:rPr>
                      <w:sz w:val="21"/>
                      <w:szCs w:val="21"/>
                    </w:rPr>
                  </w:pPr>
                  <w:r>
                    <w:rPr>
                      <w:rFonts w:hint="eastAsia"/>
                      <w:sz w:val="21"/>
                      <w:szCs w:val="21"/>
                    </w:rPr>
                    <w:t>35.6</w:t>
                  </w:r>
                </w:p>
              </w:tc>
            </w:tr>
          </w:tbl>
          <w:p w14:paraId="0FE27899">
            <w:pPr>
              <w:adjustRightInd w:val="0"/>
              <w:snapToGrid w:val="0"/>
              <w:spacing w:line="520" w:lineRule="exact"/>
              <w:ind w:firstLine="480"/>
            </w:pPr>
            <w:r>
              <w:rPr>
                <w:rFonts w:hint="eastAsia"/>
              </w:rPr>
              <w:t>由上表可知，</w:t>
            </w:r>
            <w:r>
              <w:t>经过</w:t>
            </w:r>
            <w:r>
              <w:rPr>
                <w:rFonts w:hint="eastAsia"/>
              </w:rPr>
              <w:t>厂房</w:t>
            </w:r>
            <w:r>
              <w:t>隔声、</w:t>
            </w:r>
            <w:r>
              <w:rPr>
                <w:rFonts w:hint="eastAsia"/>
              </w:rPr>
              <w:t>距离衰减和消声设备</w:t>
            </w:r>
            <w:r>
              <w:t>等措施后，项目厂区四周噪声值</w:t>
            </w:r>
            <w:r>
              <w:rPr>
                <w:rFonts w:hint="eastAsia"/>
              </w:rPr>
              <w:t>均</w:t>
            </w:r>
            <w:r>
              <w:t>满足《工业企业厂界环境噪声排放标准》（GB12348-2008）</w:t>
            </w:r>
            <w:r>
              <w:rPr>
                <w:rFonts w:hint="eastAsia"/>
              </w:rPr>
              <w:t>3</w:t>
            </w:r>
            <w:r>
              <w:t>类标准</w:t>
            </w:r>
            <w:r>
              <w:rPr>
                <w:rFonts w:hint="eastAsia"/>
              </w:rPr>
              <w:t>（</w:t>
            </w:r>
            <w:r>
              <w:t>昼间</w:t>
            </w:r>
            <w:r>
              <w:rPr>
                <w:rFonts w:hint="eastAsia"/>
              </w:rPr>
              <w:t>65</w:t>
            </w:r>
            <w:r>
              <w:t>dB（A）</w:t>
            </w:r>
            <w:r>
              <w:rPr>
                <w:rFonts w:hint="eastAsia"/>
              </w:rPr>
              <w:t>、夜</w:t>
            </w:r>
            <w:r>
              <w:t>间</w:t>
            </w:r>
            <w:r>
              <w:rPr>
                <w:rFonts w:hint="eastAsia"/>
              </w:rPr>
              <w:t>55</w:t>
            </w:r>
            <w:r>
              <w:t>dB（A）</w:t>
            </w:r>
            <w:r>
              <w:rPr>
                <w:rFonts w:hint="eastAsia"/>
              </w:rPr>
              <w:t>）</w:t>
            </w:r>
            <w:r>
              <w:t>的要求</w:t>
            </w:r>
            <w:r>
              <w:rPr>
                <w:rFonts w:hint="eastAsia"/>
              </w:rPr>
              <w:t>。</w:t>
            </w:r>
          </w:p>
          <w:p w14:paraId="5E0C72FB">
            <w:pPr>
              <w:tabs>
                <w:tab w:val="left" w:pos="3620"/>
              </w:tabs>
              <w:adjustRightInd w:val="0"/>
              <w:snapToGrid w:val="0"/>
              <w:spacing w:line="520" w:lineRule="exact"/>
              <w:ind w:firstLine="480"/>
            </w:pPr>
            <w:r>
              <w:rPr>
                <w:rFonts w:hint="eastAsia"/>
              </w:rPr>
              <w:t>根据《排污许可证申请与核发技术规范  工业噪声》（</w:t>
            </w:r>
            <w:r>
              <w:t>HJ</w:t>
            </w:r>
            <w:r>
              <w:rPr>
                <w:rFonts w:hint="eastAsia"/>
              </w:rPr>
              <w:t>1301-2023）</w:t>
            </w:r>
            <w:r>
              <w:t>，本项目噪声监测要求见下表。</w:t>
            </w:r>
          </w:p>
          <w:p w14:paraId="1B49670B">
            <w:pPr>
              <w:tabs>
                <w:tab w:val="left" w:pos="3620"/>
              </w:tabs>
              <w:adjustRightInd w:val="0"/>
              <w:snapToGrid w:val="0"/>
              <w:spacing w:line="440" w:lineRule="exact"/>
              <w:ind w:firstLine="1440" w:firstLineChars="600"/>
              <w:rPr>
                <w:rFonts w:eastAsia="黑体"/>
                <w:bCs/>
              </w:rPr>
            </w:pPr>
            <w:r>
              <w:rPr>
                <w:rFonts w:eastAsia="黑体"/>
                <w:bCs/>
              </w:rPr>
              <w:t>表4-</w:t>
            </w:r>
            <w:r>
              <w:rPr>
                <w:rFonts w:hint="eastAsia" w:eastAsia="黑体"/>
                <w:bCs/>
              </w:rPr>
              <w:t>15</w:t>
            </w:r>
            <w:r>
              <w:rPr>
                <w:rFonts w:eastAsia="黑体"/>
                <w:bCs/>
              </w:rPr>
              <w:t xml:space="preserve">                本项目噪声监测要求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1781"/>
              <w:gridCol w:w="2451"/>
              <w:gridCol w:w="2126"/>
            </w:tblGrid>
            <w:tr w14:paraId="2362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82" w:type="dxa"/>
                  <w:noWrap/>
                  <w:vAlign w:val="center"/>
                </w:tcPr>
                <w:p w14:paraId="3E482E66">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
                      <w:sz w:val="21"/>
                      <w:szCs w:val="21"/>
                    </w:rPr>
                  </w:pPr>
                  <w:r>
                    <w:rPr>
                      <w:b/>
                      <w:sz w:val="21"/>
                      <w:szCs w:val="21"/>
                    </w:rPr>
                    <w:t>污染物</w:t>
                  </w:r>
                </w:p>
              </w:tc>
              <w:tc>
                <w:tcPr>
                  <w:tcW w:w="1781" w:type="dxa"/>
                  <w:noWrap/>
                  <w:vAlign w:val="center"/>
                </w:tcPr>
                <w:p w14:paraId="3D4A889C">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
                      <w:sz w:val="21"/>
                      <w:szCs w:val="21"/>
                    </w:rPr>
                  </w:pPr>
                  <w:r>
                    <w:rPr>
                      <w:b/>
                      <w:sz w:val="21"/>
                      <w:szCs w:val="21"/>
                    </w:rPr>
                    <w:t>监测点位</w:t>
                  </w:r>
                </w:p>
              </w:tc>
              <w:tc>
                <w:tcPr>
                  <w:tcW w:w="2451" w:type="dxa"/>
                  <w:noWrap/>
                  <w:vAlign w:val="center"/>
                </w:tcPr>
                <w:p w14:paraId="3624A55D">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
                      <w:sz w:val="21"/>
                      <w:szCs w:val="21"/>
                    </w:rPr>
                  </w:pPr>
                  <w:r>
                    <w:rPr>
                      <w:b/>
                      <w:sz w:val="21"/>
                      <w:szCs w:val="21"/>
                    </w:rPr>
                    <w:t>监测因子</w:t>
                  </w:r>
                </w:p>
              </w:tc>
              <w:tc>
                <w:tcPr>
                  <w:tcW w:w="2126" w:type="dxa"/>
                  <w:noWrap/>
                  <w:vAlign w:val="center"/>
                </w:tcPr>
                <w:p w14:paraId="17A961B2">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
                      <w:sz w:val="21"/>
                      <w:szCs w:val="21"/>
                    </w:rPr>
                  </w:pPr>
                  <w:r>
                    <w:rPr>
                      <w:b/>
                      <w:sz w:val="21"/>
                      <w:szCs w:val="21"/>
                    </w:rPr>
                    <w:t>监测频率</w:t>
                  </w:r>
                </w:p>
              </w:tc>
            </w:tr>
            <w:tr w14:paraId="4439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82" w:type="dxa"/>
                  <w:noWrap/>
                  <w:vAlign w:val="center"/>
                </w:tcPr>
                <w:p w14:paraId="00939636">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rPr>
                  </w:pPr>
                  <w:r>
                    <w:rPr>
                      <w:bCs/>
                      <w:sz w:val="21"/>
                      <w:szCs w:val="21"/>
                    </w:rPr>
                    <w:t>噪声</w:t>
                  </w:r>
                </w:p>
              </w:tc>
              <w:tc>
                <w:tcPr>
                  <w:tcW w:w="1781" w:type="dxa"/>
                  <w:noWrap/>
                  <w:vAlign w:val="center"/>
                </w:tcPr>
                <w:p w14:paraId="01CB3E29">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lang w:val="en-GB"/>
                    </w:rPr>
                  </w:pPr>
                  <w:r>
                    <w:rPr>
                      <w:bCs/>
                      <w:sz w:val="21"/>
                      <w:szCs w:val="21"/>
                      <w:lang w:val="en-GB"/>
                    </w:rPr>
                    <w:t>厂界四周外1米</w:t>
                  </w:r>
                </w:p>
              </w:tc>
              <w:tc>
                <w:tcPr>
                  <w:tcW w:w="2451" w:type="dxa"/>
                  <w:noWrap/>
                  <w:vAlign w:val="center"/>
                </w:tcPr>
                <w:p w14:paraId="7F14A741">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lang w:val="en-GB"/>
                    </w:rPr>
                  </w:pPr>
                  <w:r>
                    <w:rPr>
                      <w:bCs/>
                      <w:sz w:val="21"/>
                      <w:szCs w:val="21"/>
                      <w:lang w:val="en-GB"/>
                    </w:rPr>
                    <w:t>等效连续A声级</w:t>
                  </w:r>
                </w:p>
              </w:tc>
              <w:tc>
                <w:tcPr>
                  <w:tcW w:w="2126" w:type="dxa"/>
                  <w:noWrap/>
                  <w:vAlign w:val="center"/>
                </w:tcPr>
                <w:p w14:paraId="7E519CCE">
                  <w:pPr>
                    <w:keepNext w:val="0"/>
                    <w:keepLines w:val="0"/>
                    <w:pageBreakBefore w:val="0"/>
                    <w:widowControl w:val="0"/>
                    <w:tabs>
                      <w:tab w:val="left" w:pos="3620"/>
                    </w:tabs>
                    <w:kinsoku/>
                    <w:wordWrap/>
                    <w:overflowPunct/>
                    <w:topLinePunct w:val="0"/>
                    <w:autoSpaceDE/>
                    <w:autoSpaceDN/>
                    <w:bidi w:val="0"/>
                    <w:adjustRightInd w:val="0"/>
                    <w:snapToGrid w:val="0"/>
                    <w:spacing w:line="240" w:lineRule="auto"/>
                    <w:ind w:firstLine="0" w:firstLineChars="0"/>
                    <w:jc w:val="center"/>
                    <w:textAlignment w:val="auto"/>
                    <w:rPr>
                      <w:bCs/>
                      <w:sz w:val="21"/>
                      <w:szCs w:val="21"/>
                      <w:lang w:val="en-GB"/>
                    </w:rPr>
                  </w:pPr>
                  <w:r>
                    <w:rPr>
                      <w:bCs/>
                      <w:sz w:val="21"/>
                      <w:szCs w:val="21"/>
                      <w:lang w:val="en-GB"/>
                    </w:rPr>
                    <w:t>每季度</w:t>
                  </w:r>
                  <w:r>
                    <w:rPr>
                      <w:bCs/>
                      <w:sz w:val="21"/>
                      <w:szCs w:val="21"/>
                    </w:rPr>
                    <w:t>一</w:t>
                  </w:r>
                  <w:r>
                    <w:rPr>
                      <w:bCs/>
                      <w:sz w:val="21"/>
                      <w:szCs w:val="21"/>
                      <w:lang w:val="en-GB"/>
                    </w:rPr>
                    <w:t>次</w:t>
                  </w:r>
                </w:p>
              </w:tc>
            </w:tr>
          </w:tbl>
          <w:p w14:paraId="7A7EDC55">
            <w:pPr>
              <w:adjustRightInd w:val="0"/>
              <w:snapToGrid w:val="0"/>
              <w:spacing w:line="520" w:lineRule="exact"/>
              <w:ind w:firstLine="482"/>
            </w:pPr>
            <w:r>
              <w:rPr>
                <w:b/>
                <w:bCs/>
              </w:rPr>
              <w:t>4、</w:t>
            </w:r>
            <w:r>
              <w:rPr>
                <w:b/>
              </w:rPr>
              <w:t>固废</w:t>
            </w:r>
          </w:p>
          <w:p w14:paraId="29D8076E">
            <w:pPr>
              <w:adjustRightInd w:val="0"/>
              <w:snapToGrid w:val="0"/>
              <w:spacing w:line="520" w:lineRule="exact"/>
              <w:ind w:firstLine="480"/>
            </w:pPr>
            <w:r>
              <w:t>本项目固废包括一般</w:t>
            </w:r>
            <w:r>
              <w:rPr>
                <w:rFonts w:hint="eastAsia"/>
              </w:rPr>
              <w:t>工业固体废物、危险废物和</w:t>
            </w:r>
            <w:r>
              <w:t>生活垃圾。</w:t>
            </w:r>
          </w:p>
          <w:p w14:paraId="4EF6B233">
            <w:pPr>
              <w:adjustRightInd w:val="0"/>
              <w:snapToGrid w:val="0"/>
              <w:spacing w:line="520" w:lineRule="exact"/>
              <w:ind w:firstLine="480"/>
            </w:pPr>
            <w:r>
              <w:t>一般</w:t>
            </w:r>
            <w:r>
              <w:rPr>
                <w:rFonts w:hint="eastAsia"/>
              </w:rPr>
              <w:t>工业固体废物</w:t>
            </w:r>
            <w:r>
              <w:t>主要包括：</w:t>
            </w:r>
            <w:r>
              <w:rPr>
                <w:rFonts w:hint="eastAsia"/>
              </w:rPr>
              <w:t>废边角料、</w:t>
            </w:r>
            <w:r>
              <w:rPr>
                <w:rFonts w:hint="eastAsia"/>
                <w:lang w:eastAsia="zh-CN"/>
              </w:rPr>
              <w:t>袋式除尘器</w:t>
            </w:r>
            <w:r>
              <w:rPr>
                <w:rFonts w:hint="eastAsia"/>
              </w:rPr>
              <w:t>收集粉尘</w:t>
            </w:r>
            <w:r>
              <w:t>。</w:t>
            </w:r>
            <w:r>
              <w:rPr>
                <w:rFonts w:hint="eastAsia"/>
              </w:rPr>
              <w:t>危险废物主要包括：</w:t>
            </w:r>
            <w:r>
              <w:t>废活性炭</w:t>
            </w:r>
            <w:r>
              <w:rPr>
                <w:rFonts w:hint="eastAsia"/>
              </w:rPr>
              <w:t>、废催化剂、废包装桶</w:t>
            </w:r>
            <w:r>
              <w:rPr>
                <w:rFonts w:hint="eastAsia"/>
                <w:lang w:eastAsia="zh-CN"/>
              </w:rPr>
              <w:t>、废抹布</w:t>
            </w:r>
            <w:r>
              <w:rPr>
                <w:rFonts w:hint="eastAsia"/>
              </w:rPr>
              <w:t>。</w:t>
            </w:r>
          </w:p>
          <w:p w14:paraId="26C6B3AB">
            <w:pPr>
              <w:pStyle w:val="69"/>
              <w:snapToGrid w:val="0"/>
              <w:spacing w:line="520" w:lineRule="exact"/>
              <w:ind w:firstLine="482" w:firstLineChars="200"/>
              <w:rPr>
                <w:rFonts w:ascii="Times New Roman" w:hAnsi="Times New Roman"/>
                <w:b/>
                <w:bCs/>
                <w:snapToGrid w:val="0"/>
              </w:rPr>
            </w:pPr>
            <w:r>
              <w:rPr>
                <w:rFonts w:hint="eastAsia" w:ascii="Times New Roman" w:hAnsi="Times New Roman"/>
                <w:b/>
                <w:bCs/>
                <w:snapToGrid w:val="0"/>
              </w:rPr>
              <w:t>4.1生活垃圾</w:t>
            </w:r>
          </w:p>
          <w:p w14:paraId="49B66E97">
            <w:pPr>
              <w:adjustRightInd w:val="0"/>
              <w:snapToGrid w:val="0"/>
              <w:spacing w:line="520" w:lineRule="exact"/>
              <w:ind w:firstLine="480"/>
              <w:rPr>
                <w:bCs/>
              </w:rPr>
            </w:pPr>
            <w:r>
              <w:rPr>
                <w:bCs/>
              </w:rPr>
              <w:t>本项目职工定员</w:t>
            </w:r>
            <w:r>
              <w:rPr>
                <w:rFonts w:hint="eastAsia"/>
                <w:bCs/>
              </w:rPr>
              <w:t>50</w:t>
            </w:r>
            <w:r>
              <w:rPr>
                <w:bCs/>
              </w:rPr>
              <w:t>人，</w:t>
            </w:r>
            <w:r>
              <w:rPr>
                <w:snapToGrid w:val="0"/>
              </w:rPr>
              <w:t>生活垃圾产生量按每人0.5kg/d计算，年工作时间为3</w:t>
            </w:r>
            <w:r>
              <w:rPr>
                <w:rFonts w:hint="eastAsia"/>
                <w:snapToGrid w:val="0"/>
              </w:rPr>
              <w:t>0</w:t>
            </w:r>
            <w:r>
              <w:rPr>
                <w:snapToGrid w:val="0"/>
              </w:rPr>
              <w:t>0天，则生活垃圾产生量为</w:t>
            </w:r>
            <w:r>
              <w:rPr>
                <w:rFonts w:hint="eastAsia"/>
                <w:snapToGrid w:val="0"/>
              </w:rPr>
              <w:t>25</w:t>
            </w:r>
            <w:r>
              <w:rPr>
                <w:snapToGrid w:val="0"/>
              </w:rPr>
              <w:t>kg/d（</w:t>
            </w:r>
            <w:r>
              <w:rPr>
                <w:rFonts w:hint="eastAsia"/>
                <w:snapToGrid w:val="0"/>
              </w:rPr>
              <w:t>7.5</w:t>
            </w:r>
            <w:r>
              <w:rPr>
                <w:snapToGrid w:val="0"/>
              </w:rPr>
              <w:t>t/a）。生活垃圾收集后暂存于垃圾箱内，由环卫部门定期清运。</w:t>
            </w:r>
          </w:p>
          <w:p w14:paraId="73099C3B">
            <w:pPr>
              <w:adjustRightInd w:val="0"/>
              <w:snapToGrid w:val="0"/>
              <w:spacing w:line="520" w:lineRule="exact"/>
              <w:ind w:firstLine="482"/>
              <w:rPr>
                <w:b/>
              </w:rPr>
            </w:pPr>
            <w:r>
              <w:rPr>
                <w:rFonts w:hint="eastAsia"/>
                <w:b/>
              </w:rPr>
              <w:t>4.2 一般工业固体废物</w:t>
            </w:r>
          </w:p>
          <w:p w14:paraId="46DC7F90">
            <w:pPr>
              <w:adjustRightInd w:val="0"/>
              <w:snapToGrid w:val="0"/>
              <w:spacing w:line="520" w:lineRule="exact"/>
              <w:ind w:firstLine="480"/>
              <w:rPr>
                <w:bCs/>
              </w:rPr>
            </w:pPr>
            <w:r>
              <w:rPr>
                <w:rFonts w:hint="eastAsia"/>
                <w:bCs/>
              </w:rPr>
              <w:t>（1）废</w:t>
            </w:r>
            <w:r>
              <w:rPr>
                <w:rFonts w:hint="eastAsia"/>
              </w:rPr>
              <w:t>边角料</w:t>
            </w:r>
          </w:p>
          <w:p w14:paraId="17F0FDA7">
            <w:pPr>
              <w:adjustRightInd w:val="0"/>
              <w:snapToGrid w:val="0"/>
              <w:spacing w:line="520" w:lineRule="exact"/>
              <w:ind w:firstLine="480"/>
              <w:rPr>
                <w:rFonts w:hint="default" w:eastAsia="宋体"/>
                <w:lang w:val="en-US" w:eastAsia="zh-CN"/>
              </w:rPr>
            </w:pPr>
            <w:r>
              <w:t>本项目在</w:t>
            </w:r>
            <w:r>
              <w:rPr>
                <w:rFonts w:hint="eastAsia"/>
              </w:rPr>
              <w:t>修整工序</w:t>
            </w:r>
            <w:r>
              <w:t>中有</w:t>
            </w:r>
            <w:r>
              <w:rPr>
                <w:rFonts w:hint="eastAsia"/>
              </w:rPr>
              <w:t>废边角料</w:t>
            </w:r>
            <w:r>
              <w:t>产生。根据建设单位提供资料，</w:t>
            </w:r>
            <w:r>
              <w:rPr>
                <w:rFonts w:hint="eastAsia"/>
              </w:rPr>
              <w:t>废边角料</w:t>
            </w:r>
            <w:r>
              <w:rPr>
                <w:rFonts w:hint="default" w:ascii="Times New Roman" w:hAnsi="Times New Roman" w:eastAsia="宋体" w:cs="Times New Roman"/>
                <w:sz w:val="24"/>
                <w:szCs w:val="24"/>
              </w:rPr>
              <w:t>产生量约占原料的1‰</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rPr>
              <w:t>棉布服装半成品10万m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/a</w:t>
            </w:r>
            <w:r>
              <w:rPr>
                <w:rFonts w:hint="default" w:ascii="Times New Roman" w:hAnsi="Times New Roman" w:eastAsia="宋体" w:cs="Times New Roman"/>
                <w:sz w:val="24"/>
                <w:szCs w:val="24"/>
                <w:lang w:eastAsia="zh-CN"/>
              </w:rPr>
              <w:t>、化学纤维复合布半成品</w:t>
            </w:r>
            <w:r>
              <w:rPr>
                <w:rFonts w:hint="default" w:ascii="Times New Roman" w:hAnsi="Times New Roman" w:eastAsia="宋体" w:cs="Times New Roman"/>
                <w:sz w:val="24"/>
                <w:szCs w:val="24"/>
                <w:lang w:val="en-US" w:eastAsia="zh-CN"/>
              </w:rPr>
              <w:t>40</w:t>
            </w:r>
            <w:r>
              <w:rPr>
                <w:rFonts w:hint="default" w:ascii="Times New Roman" w:hAnsi="Times New Roman" w:eastAsia="宋体" w:cs="Times New Roman"/>
                <w:sz w:val="24"/>
                <w:szCs w:val="24"/>
              </w:rPr>
              <w:t>0万m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/a</w:t>
            </w:r>
            <w:r>
              <w:rPr>
                <w:rFonts w:hint="default" w:ascii="Times New Roman" w:hAnsi="Times New Roman" w:eastAsia="宋体" w:cs="Times New Roman"/>
                <w:sz w:val="24"/>
                <w:szCs w:val="24"/>
                <w:lang w:eastAsia="zh-CN"/>
              </w:rPr>
              <w:t>，合计约</w:t>
            </w:r>
            <w:r>
              <w:rPr>
                <w:rFonts w:hint="default" w:ascii="Times New Roman" w:hAnsi="Times New Roman" w:eastAsia="宋体" w:cs="Times New Roman"/>
                <w:sz w:val="24"/>
                <w:szCs w:val="24"/>
                <w:lang w:val="en-US" w:eastAsia="zh-CN"/>
              </w:rPr>
              <w:t>1200吨，则</w:t>
            </w:r>
            <w:r>
              <w:rPr>
                <w:rFonts w:hint="default" w:ascii="Times New Roman" w:hAnsi="Times New Roman" w:eastAsia="宋体" w:cs="Times New Roman"/>
                <w:sz w:val="24"/>
                <w:szCs w:val="24"/>
              </w:rPr>
              <w:t>废边角料产生约1.</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t/a，废边角料集中收集后出售。</w:t>
            </w:r>
          </w:p>
          <w:p w14:paraId="7E6FE4AA">
            <w:pPr>
              <w:adjustRightInd w:val="0"/>
              <w:snapToGrid w:val="0"/>
              <w:spacing w:line="520" w:lineRule="exact"/>
              <w:ind w:firstLine="480"/>
              <w:rPr>
                <w:bCs/>
              </w:rPr>
            </w:pPr>
            <w:r>
              <w:rPr>
                <w:rFonts w:hint="eastAsia"/>
              </w:rPr>
              <w:t>（2）</w:t>
            </w:r>
            <w:r>
              <w:rPr>
                <w:rFonts w:hint="eastAsia"/>
                <w:bCs/>
                <w:lang w:eastAsia="zh-CN"/>
              </w:rPr>
              <w:t>袋式除尘器</w:t>
            </w:r>
            <w:r>
              <w:rPr>
                <w:rFonts w:hint="eastAsia"/>
                <w:bCs/>
              </w:rPr>
              <w:t>收集粉尘</w:t>
            </w:r>
          </w:p>
          <w:p w14:paraId="235CA763">
            <w:pPr>
              <w:adjustRightInd w:val="0"/>
              <w:snapToGrid w:val="0"/>
              <w:spacing w:line="520" w:lineRule="exact"/>
              <w:ind w:firstLine="480"/>
            </w:pPr>
            <w:r>
              <w:rPr>
                <w:rFonts w:hint="eastAsia"/>
                <w:bCs/>
              </w:rPr>
              <w:t>根据工程分析，项目</w:t>
            </w:r>
            <w:r>
              <w:rPr>
                <w:rFonts w:hint="eastAsia"/>
                <w:bCs/>
                <w:lang w:eastAsia="zh-CN"/>
              </w:rPr>
              <w:t>袋式除尘器</w:t>
            </w:r>
            <w:r>
              <w:rPr>
                <w:rFonts w:hint="eastAsia"/>
                <w:bCs/>
              </w:rPr>
              <w:t>收集的粉尘量为</w:t>
            </w:r>
            <w:r>
              <w:rPr>
                <w:rFonts w:hint="eastAsia"/>
                <w:bCs/>
                <w:lang w:eastAsia="zh-CN"/>
              </w:rPr>
              <w:t>0.28</w:t>
            </w:r>
            <w:r>
              <w:rPr>
                <w:rFonts w:hint="eastAsia"/>
                <w:bCs/>
              </w:rPr>
              <w:t>t/a，</w:t>
            </w:r>
            <w:r>
              <w:rPr>
                <w:bCs/>
              </w:rPr>
              <w:t>集中收集后</w:t>
            </w:r>
            <w:r>
              <w:rPr>
                <w:rFonts w:hint="eastAsia"/>
                <w:bCs/>
              </w:rPr>
              <w:t>暂存</w:t>
            </w:r>
            <w:r>
              <w:t>于一般固废暂存间内，</w:t>
            </w:r>
            <w:r>
              <w:rPr>
                <w:rFonts w:hint="eastAsia"/>
              </w:rPr>
              <w:t>定期</w:t>
            </w:r>
            <w:r>
              <w:rPr>
                <w:rFonts w:hint="eastAsia"/>
                <w:bCs/>
              </w:rPr>
              <w:t>外售</w:t>
            </w:r>
            <w:r>
              <w:rPr>
                <w:bCs/>
              </w:rPr>
              <w:t>。</w:t>
            </w:r>
          </w:p>
          <w:p w14:paraId="606909A7">
            <w:pPr>
              <w:adjustRightInd w:val="0"/>
              <w:snapToGrid w:val="0"/>
              <w:spacing w:line="520" w:lineRule="exact"/>
              <w:ind w:firstLine="480"/>
              <w:rPr>
                <w:bCs/>
              </w:rPr>
            </w:pPr>
            <w:r>
              <w:t>评价建议建设单位在厂区内新建</w:t>
            </w:r>
            <w:r>
              <w:rPr>
                <w:rFonts w:hint="eastAsia"/>
              </w:rPr>
              <w:t>1</w:t>
            </w:r>
            <w:r>
              <w:t>座一般工业固废暂存间，一般固废暂存间面积为</w:t>
            </w:r>
            <w:r>
              <w:rPr>
                <w:rFonts w:hint="eastAsia"/>
              </w:rPr>
              <w:t>10</w:t>
            </w:r>
            <w:r>
              <w:t>m</w:t>
            </w:r>
            <w:r>
              <w:rPr>
                <w:vertAlign w:val="superscript"/>
              </w:rPr>
              <w:t>2</w:t>
            </w:r>
            <w:r>
              <w:rPr>
                <w:rFonts w:hint="eastAsia"/>
              </w:rPr>
              <w:t>。项目一般固废场所建设应满足《</w:t>
            </w:r>
            <w:r>
              <w:t>一般工业固体废物贮存和填埋污染控制标准</w:t>
            </w:r>
            <w:r>
              <w:rPr>
                <w:rFonts w:hint="eastAsia"/>
              </w:rPr>
              <w:t>》</w:t>
            </w:r>
            <w:r>
              <w:t>（GB 18599-2020）</w:t>
            </w:r>
            <w:r>
              <w:rPr>
                <w:rFonts w:hint="eastAsia"/>
              </w:rPr>
              <w:t>中</w:t>
            </w:r>
            <w:r>
              <w:rPr>
                <w:bCs/>
                <w:szCs w:val="21"/>
              </w:rPr>
              <w:t>防渗漏、防雨淋、防扬尘等环境保护要求</w:t>
            </w:r>
            <w:r>
              <w:rPr>
                <w:rFonts w:hint="eastAsia"/>
                <w:bCs/>
                <w:szCs w:val="21"/>
              </w:rPr>
              <w:t>。</w:t>
            </w:r>
            <w:r>
              <w:t>本项目一般固废处置应满足《中华人民共和国固体废物污染环境防治法（2020修订）》第三十七条</w:t>
            </w:r>
            <w:r>
              <w:rPr>
                <w:rFonts w:hint="eastAsia"/>
              </w:rPr>
              <w:t>“</w:t>
            </w:r>
            <w:r>
              <w:t>产生工业固体废物的单位委托他人运输、利用、处置工业固体废物的，应当对受托方的主体资格和技术能力进行核实，依法签订书面合同，在合同中约定污染防治要求</w:t>
            </w:r>
            <w:r>
              <w:rPr>
                <w:rFonts w:hint="eastAsia"/>
              </w:rPr>
              <w:t>”</w:t>
            </w:r>
            <w:r>
              <w:t>。</w:t>
            </w:r>
          </w:p>
          <w:p w14:paraId="729109DB">
            <w:pPr>
              <w:adjustRightInd w:val="0"/>
              <w:snapToGrid w:val="0"/>
              <w:spacing w:line="520" w:lineRule="exact"/>
              <w:ind w:firstLine="480"/>
            </w:pPr>
            <w:r>
              <w:t>评价认为，建设项目固体废物全部妥善处置，能够避免固体废物排放对环境的二次污染，不会对当地的景观环境和生态环境产生不利影响。</w:t>
            </w:r>
          </w:p>
          <w:p w14:paraId="3B0B086F">
            <w:pPr>
              <w:adjustRightInd w:val="0"/>
              <w:snapToGrid w:val="0"/>
              <w:spacing w:line="520" w:lineRule="exact"/>
              <w:ind w:firstLine="1200" w:firstLineChars="500"/>
              <w:rPr>
                <w:rFonts w:eastAsia="黑体"/>
              </w:rPr>
            </w:pPr>
            <w:r>
              <w:rPr>
                <w:rFonts w:eastAsia="黑体"/>
              </w:rPr>
              <w:t>表</w:t>
            </w:r>
            <w:r>
              <w:rPr>
                <w:rFonts w:hint="eastAsia" w:eastAsia="黑体"/>
              </w:rPr>
              <w:t>4-16</w:t>
            </w:r>
            <w:r>
              <w:rPr>
                <w:rFonts w:eastAsia="黑体"/>
              </w:rPr>
              <w:t xml:space="preserve">              </w:t>
            </w:r>
            <w:r>
              <w:rPr>
                <w:rFonts w:hint="eastAsia" w:eastAsia="黑体"/>
              </w:rPr>
              <w:t>一般</w:t>
            </w:r>
            <w:r>
              <w:rPr>
                <w:rFonts w:eastAsia="黑体"/>
              </w:rPr>
              <w:t>固体废物详情一览表</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2128"/>
              <w:gridCol w:w="1307"/>
              <w:gridCol w:w="1359"/>
              <w:gridCol w:w="1718"/>
            </w:tblGrid>
            <w:tr w14:paraId="14F2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Align w:val="center"/>
                </w:tcPr>
                <w:p w14:paraId="2DDA00F8">
                  <w:pPr>
                    <w:spacing w:line="240" w:lineRule="auto"/>
                    <w:ind w:firstLine="0" w:firstLineChars="0"/>
                    <w:jc w:val="center"/>
                    <w:rPr>
                      <w:b/>
                      <w:sz w:val="21"/>
                      <w:szCs w:val="21"/>
                    </w:rPr>
                  </w:pPr>
                  <w:r>
                    <w:rPr>
                      <w:b/>
                      <w:sz w:val="21"/>
                      <w:szCs w:val="21"/>
                    </w:rPr>
                    <w:t>排放源</w:t>
                  </w:r>
                </w:p>
              </w:tc>
              <w:tc>
                <w:tcPr>
                  <w:tcW w:w="2128" w:type="dxa"/>
                  <w:vAlign w:val="center"/>
                </w:tcPr>
                <w:p w14:paraId="517F0EA8">
                  <w:pPr>
                    <w:spacing w:line="240" w:lineRule="auto"/>
                    <w:ind w:firstLine="0" w:firstLineChars="0"/>
                    <w:jc w:val="center"/>
                    <w:rPr>
                      <w:b/>
                      <w:sz w:val="21"/>
                      <w:szCs w:val="21"/>
                    </w:rPr>
                  </w:pPr>
                  <w:r>
                    <w:rPr>
                      <w:b/>
                      <w:sz w:val="21"/>
                      <w:szCs w:val="21"/>
                    </w:rPr>
                    <w:t>固废名称</w:t>
                  </w:r>
                </w:p>
              </w:tc>
              <w:tc>
                <w:tcPr>
                  <w:tcW w:w="1307" w:type="dxa"/>
                  <w:vAlign w:val="center"/>
                </w:tcPr>
                <w:p w14:paraId="4126927F">
                  <w:pPr>
                    <w:spacing w:line="240" w:lineRule="auto"/>
                    <w:ind w:firstLine="0" w:firstLineChars="0"/>
                    <w:jc w:val="center"/>
                    <w:rPr>
                      <w:b/>
                      <w:sz w:val="21"/>
                      <w:szCs w:val="21"/>
                    </w:rPr>
                  </w:pPr>
                  <w:r>
                    <w:rPr>
                      <w:b/>
                      <w:sz w:val="21"/>
                      <w:szCs w:val="21"/>
                    </w:rPr>
                    <w:t>固废性质</w:t>
                  </w:r>
                </w:p>
              </w:tc>
              <w:tc>
                <w:tcPr>
                  <w:tcW w:w="1359" w:type="dxa"/>
                  <w:vAlign w:val="center"/>
                </w:tcPr>
                <w:p w14:paraId="4B5252C5">
                  <w:pPr>
                    <w:spacing w:line="240" w:lineRule="auto"/>
                    <w:ind w:firstLine="0" w:firstLineChars="0"/>
                    <w:jc w:val="center"/>
                    <w:rPr>
                      <w:b/>
                      <w:sz w:val="21"/>
                      <w:szCs w:val="21"/>
                    </w:rPr>
                  </w:pPr>
                  <w:r>
                    <w:rPr>
                      <w:b/>
                      <w:sz w:val="21"/>
                      <w:szCs w:val="21"/>
                    </w:rPr>
                    <w:t>产生量（t/a）</w:t>
                  </w:r>
                </w:p>
              </w:tc>
              <w:tc>
                <w:tcPr>
                  <w:tcW w:w="1718" w:type="dxa"/>
                  <w:vAlign w:val="center"/>
                </w:tcPr>
                <w:p w14:paraId="2CC8A7FC">
                  <w:pPr>
                    <w:spacing w:line="240" w:lineRule="auto"/>
                    <w:ind w:firstLine="0" w:firstLineChars="0"/>
                    <w:jc w:val="center"/>
                    <w:rPr>
                      <w:b/>
                      <w:sz w:val="21"/>
                      <w:szCs w:val="21"/>
                    </w:rPr>
                  </w:pPr>
                  <w:r>
                    <w:rPr>
                      <w:b/>
                      <w:sz w:val="21"/>
                      <w:szCs w:val="21"/>
                    </w:rPr>
                    <w:t>处理措施</w:t>
                  </w:r>
                </w:p>
              </w:tc>
            </w:tr>
            <w:tr w14:paraId="47D4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Align w:val="center"/>
                </w:tcPr>
                <w:p w14:paraId="5E014587">
                  <w:pPr>
                    <w:pStyle w:val="89"/>
                    <w:ind w:firstLine="0" w:firstLineChars="0"/>
                  </w:pPr>
                  <w:r>
                    <w:rPr>
                      <w:rFonts w:hint="eastAsia"/>
                    </w:rPr>
                    <w:t>修整工序</w:t>
                  </w:r>
                </w:p>
              </w:tc>
              <w:tc>
                <w:tcPr>
                  <w:tcW w:w="2128" w:type="dxa"/>
                  <w:vAlign w:val="center"/>
                </w:tcPr>
                <w:p w14:paraId="2A756496">
                  <w:pPr>
                    <w:pStyle w:val="89"/>
                    <w:ind w:firstLine="0" w:firstLineChars="0"/>
                  </w:pPr>
                  <w:r>
                    <w:rPr>
                      <w:rFonts w:hint="eastAsia"/>
                    </w:rPr>
                    <w:t>废边角料</w:t>
                  </w:r>
                </w:p>
              </w:tc>
              <w:tc>
                <w:tcPr>
                  <w:tcW w:w="1307" w:type="dxa"/>
                  <w:vAlign w:val="center"/>
                </w:tcPr>
                <w:p w14:paraId="6AB00747">
                  <w:pPr>
                    <w:spacing w:line="240" w:lineRule="auto"/>
                    <w:ind w:firstLine="0" w:firstLineChars="0"/>
                    <w:jc w:val="center"/>
                    <w:rPr>
                      <w:sz w:val="21"/>
                      <w:szCs w:val="21"/>
                    </w:rPr>
                  </w:pPr>
                  <w:r>
                    <w:rPr>
                      <w:rFonts w:hint="eastAsia"/>
                      <w:sz w:val="21"/>
                      <w:szCs w:val="21"/>
                    </w:rPr>
                    <w:t>一般固废</w:t>
                  </w:r>
                </w:p>
              </w:tc>
              <w:tc>
                <w:tcPr>
                  <w:tcW w:w="1359" w:type="dxa"/>
                  <w:vAlign w:val="center"/>
                </w:tcPr>
                <w:p w14:paraId="680FB3FC">
                  <w:pPr>
                    <w:spacing w:line="240" w:lineRule="auto"/>
                    <w:ind w:firstLine="0" w:firstLineChars="0"/>
                    <w:jc w:val="center"/>
                    <w:rPr>
                      <w:rFonts w:hint="eastAsia" w:eastAsia="宋体"/>
                      <w:b/>
                      <w:bCs/>
                      <w:sz w:val="21"/>
                      <w:szCs w:val="21"/>
                      <w:u w:val="single"/>
                      <w:lang w:eastAsia="zh-CN"/>
                    </w:rPr>
                  </w:pPr>
                  <w:r>
                    <w:rPr>
                      <w:rFonts w:hint="eastAsia"/>
                      <w:sz w:val="21"/>
                      <w:szCs w:val="21"/>
                    </w:rPr>
                    <w:t>1.</w:t>
                  </w:r>
                  <w:r>
                    <w:rPr>
                      <w:rFonts w:hint="eastAsia"/>
                      <w:sz w:val="21"/>
                      <w:szCs w:val="21"/>
                      <w:lang w:val="en-US" w:eastAsia="zh-CN"/>
                    </w:rPr>
                    <w:t>2</w:t>
                  </w:r>
                </w:p>
              </w:tc>
              <w:tc>
                <w:tcPr>
                  <w:tcW w:w="1718" w:type="dxa"/>
                  <w:vMerge w:val="restart"/>
                  <w:vAlign w:val="center"/>
                </w:tcPr>
                <w:p w14:paraId="4106C78B">
                  <w:pPr>
                    <w:spacing w:line="240" w:lineRule="auto"/>
                    <w:ind w:firstLine="0" w:firstLineChars="0"/>
                    <w:jc w:val="center"/>
                    <w:rPr>
                      <w:sz w:val="21"/>
                      <w:szCs w:val="21"/>
                    </w:rPr>
                  </w:pPr>
                  <w:r>
                    <w:rPr>
                      <w:rFonts w:hint="eastAsia"/>
                      <w:sz w:val="21"/>
                      <w:szCs w:val="21"/>
                    </w:rPr>
                    <w:t>集中收集后出售</w:t>
                  </w:r>
                </w:p>
              </w:tc>
            </w:tr>
            <w:tr w14:paraId="4EE8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shd w:val="clear" w:color="auto" w:fill="auto"/>
                  <w:vAlign w:val="center"/>
                </w:tcPr>
                <w:p w14:paraId="4BED82B1">
                  <w:pPr>
                    <w:pStyle w:val="89"/>
                    <w:ind w:firstLine="0" w:firstLineChars="0"/>
                  </w:pPr>
                  <w:r>
                    <w:rPr>
                      <w:rFonts w:hint="eastAsia"/>
                    </w:rPr>
                    <w:t>废气治理设施</w:t>
                  </w:r>
                </w:p>
              </w:tc>
              <w:tc>
                <w:tcPr>
                  <w:tcW w:w="2128" w:type="dxa"/>
                  <w:shd w:val="clear" w:color="auto" w:fill="auto"/>
                  <w:vAlign w:val="center"/>
                </w:tcPr>
                <w:p w14:paraId="3C86C1D2">
                  <w:pPr>
                    <w:pStyle w:val="89"/>
                    <w:ind w:firstLine="0" w:firstLineChars="0"/>
                  </w:pPr>
                  <w:r>
                    <w:rPr>
                      <w:rFonts w:hint="eastAsia"/>
                      <w:lang w:eastAsia="zh-CN"/>
                    </w:rPr>
                    <w:t>袋式除尘器</w:t>
                  </w:r>
                  <w:r>
                    <w:rPr>
                      <w:rFonts w:hint="eastAsia"/>
                    </w:rPr>
                    <w:t>收集粉尘</w:t>
                  </w:r>
                </w:p>
              </w:tc>
              <w:tc>
                <w:tcPr>
                  <w:tcW w:w="1307" w:type="dxa"/>
                  <w:shd w:val="clear" w:color="auto" w:fill="auto"/>
                  <w:vAlign w:val="center"/>
                </w:tcPr>
                <w:p w14:paraId="6A955454">
                  <w:pPr>
                    <w:spacing w:line="240" w:lineRule="auto"/>
                    <w:ind w:firstLine="0" w:firstLineChars="0"/>
                    <w:jc w:val="center"/>
                    <w:rPr>
                      <w:sz w:val="21"/>
                      <w:szCs w:val="21"/>
                    </w:rPr>
                  </w:pPr>
                  <w:r>
                    <w:rPr>
                      <w:rFonts w:hint="eastAsia"/>
                      <w:sz w:val="21"/>
                      <w:szCs w:val="21"/>
                    </w:rPr>
                    <w:t>一般固废</w:t>
                  </w:r>
                </w:p>
              </w:tc>
              <w:tc>
                <w:tcPr>
                  <w:tcW w:w="1359" w:type="dxa"/>
                  <w:shd w:val="clear" w:color="auto" w:fill="auto"/>
                  <w:vAlign w:val="center"/>
                </w:tcPr>
                <w:p w14:paraId="1A15F93E">
                  <w:pPr>
                    <w:spacing w:line="240" w:lineRule="auto"/>
                    <w:ind w:firstLine="0" w:firstLineChars="0"/>
                    <w:jc w:val="center"/>
                    <w:rPr>
                      <w:rFonts w:hint="eastAsia" w:eastAsia="宋体"/>
                      <w:b/>
                      <w:bCs/>
                      <w:sz w:val="21"/>
                      <w:szCs w:val="21"/>
                      <w:u w:val="single"/>
                      <w:lang w:eastAsia="zh-CN"/>
                    </w:rPr>
                  </w:pPr>
                  <w:r>
                    <w:rPr>
                      <w:rFonts w:hint="eastAsia"/>
                      <w:sz w:val="21"/>
                      <w:szCs w:val="21"/>
                      <w:lang w:eastAsia="zh-CN"/>
                    </w:rPr>
                    <w:t>0.28</w:t>
                  </w:r>
                </w:p>
              </w:tc>
              <w:tc>
                <w:tcPr>
                  <w:tcW w:w="1718" w:type="dxa"/>
                  <w:vMerge w:val="continue"/>
                  <w:vAlign w:val="center"/>
                </w:tcPr>
                <w:p w14:paraId="2FD9AEEC">
                  <w:pPr>
                    <w:spacing w:line="240" w:lineRule="auto"/>
                    <w:ind w:firstLine="0" w:firstLineChars="0"/>
                    <w:jc w:val="center"/>
                    <w:rPr>
                      <w:sz w:val="21"/>
                      <w:szCs w:val="21"/>
                    </w:rPr>
                  </w:pPr>
                </w:p>
              </w:tc>
            </w:tr>
          </w:tbl>
          <w:p w14:paraId="3A78FD63">
            <w:pPr>
              <w:snapToGrid w:val="0"/>
              <w:spacing w:line="520" w:lineRule="exact"/>
              <w:ind w:firstLine="482"/>
              <w:rPr>
                <w:b/>
                <w:snapToGrid w:val="0"/>
              </w:rPr>
            </w:pPr>
            <w:r>
              <w:rPr>
                <w:b/>
                <w:snapToGrid w:val="0"/>
              </w:rPr>
              <w:t>4</w:t>
            </w:r>
            <w:r>
              <w:rPr>
                <w:rFonts w:hint="eastAsia"/>
                <w:b/>
                <w:snapToGrid w:val="0"/>
              </w:rPr>
              <w:t>.3</w:t>
            </w:r>
            <w:r>
              <w:rPr>
                <w:b/>
                <w:snapToGrid w:val="0"/>
              </w:rPr>
              <w:t>危险废物</w:t>
            </w:r>
          </w:p>
          <w:p w14:paraId="04120AFB">
            <w:pPr>
              <w:snapToGrid w:val="0"/>
              <w:spacing w:line="520" w:lineRule="exact"/>
              <w:ind w:firstLine="480"/>
              <w:rPr>
                <w:bCs/>
                <w:snapToGrid w:val="0"/>
              </w:rPr>
            </w:pPr>
            <w:r>
              <w:rPr>
                <w:rFonts w:hint="eastAsia"/>
                <w:bCs/>
                <w:snapToGrid w:val="0"/>
              </w:rPr>
              <w:t>（1）</w:t>
            </w:r>
            <w:r>
              <w:rPr>
                <w:rFonts w:hint="eastAsia"/>
                <w:snapToGrid w:val="0"/>
              </w:rPr>
              <w:t>废催化剂</w:t>
            </w:r>
          </w:p>
          <w:p w14:paraId="64D9A464">
            <w:pPr>
              <w:autoSpaceDE w:val="0"/>
              <w:autoSpaceDN w:val="0"/>
              <w:adjustRightInd w:val="0"/>
              <w:snapToGrid w:val="0"/>
              <w:spacing w:line="520" w:lineRule="exact"/>
              <w:ind w:firstLine="480"/>
            </w:pPr>
            <w:r>
              <w:rPr>
                <w:rFonts w:hint="eastAsia"/>
              </w:rPr>
              <w:t>项目产生的有机废气经</w:t>
            </w:r>
            <w:r>
              <w:rPr>
                <w:rFonts w:hint="eastAsia"/>
                <w:bCs/>
                <w:snapToGrid w:val="0"/>
              </w:rPr>
              <w:t>活性炭吸附/脱附-催化燃烧装置</w:t>
            </w:r>
            <w:r>
              <w:rPr>
                <w:rFonts w:hint="eastAsia"/>
              </w:rPr>
              <w:t>治理，催化燃烧装置采用贵金属作为催化剂，涂在装置内陶瓷体表面，每套催化燃烧装置催化剂的用量为100kg。催化剂平均每年更换一次，则废催化剂产生量约为0.1t/a，根据《国家危险废物名录》（2025年版），废催化剂属于危废“HW50废催化剂”（环境治理业772-007-50：烟气脱硝过程中产生的废钒钛系催化剂）。更换的废催化剂收集后在危废暂存间暂存，定期委托有资质单位进行处置。</w:t>
            </w:r>
          </w:p>
          <w:p w14:paraId="4A220382">
            <w:pPr>
              <w:snapToGrid w:val="0"/>
              <w:spacing w:line="520" w:lineRule="exact"/>
              <w:ind w:firstLine="480"/>
              <w:rPr>
                <w:bCs/>
                <w:snapToGrid w:val="0"/>
              </w:rPr>
            </w:pPr>
            <w:r>
              <w:rPr>
                <w:rFonts w:hint="eastAsia"/>
                <w:bCs/>
                <w:snapToGrid w:val="0"/>
              </w:rPr>
              <w:t>（2）废活性炭</w:t>
            </w:r>
          </w:p>
          <w:p w14:paraId="60842150">
            <w:pPr>
              <w:snapToGrid w:val="0"/>
              <w:spacing w:line="520" w:lineRule="exact"/>
              <w:ind w:firstLine="480"/>
              <w:rPr>
                <w:bCs/>
                <w:snapToGrid w:val="0"/>
              </w:rPr>
            </w:pPr>
            <w:r>
              <w:rPr>
                <w:rFonts w:hint="eastAsia"/>
                <w:bCs/>
                <w:snapToGrid w:val="0"/>
              </w:rPr>
              <w:t>活性炭吸附/脱附-催化燃烧装置活性炭经过多次吸附脱附后，</w:t>
            </w:r>
            <w:r>
              <w:rPr>
                <w:rFonts w:hint="eastAsia"/>
                <w:kern w:val="0"/>
              </w:rPr>
              <w:t>吸附能力下降，需定期更换。</w:t>
            </w:r>
            <w:r>
              <w:rPr>
                <w:rFonts w:hint="eastAsia"/>
                <w:bCs/>
                <w:snapToGrid w:val="0"/>
              </w:rPr>
              <w:t>参考《浙江省分散吸附-集中再生活性炭法挥发性有机物治理体系建设技术指南》中附录A，</w:t>
            </w:r>
            <w:r>
              <w:rPr>
                <w:rFonts w:hint="eastAsia"/>
                <w:bCs/>
                <w:snapToGrid w:val="0"/>
                <w:lang w:eastAsia="zh-CN"/>
              </w:rPr>
              <w:t>风量10000≤</w:t>
            </w:r>
            <w:r>
              <w:rPr>
                <w:rFonts w:hint="eastAsia"/>
                <w:bCs/>
                <w:snapToGrid w:val="0"/>
                <w:lang w:val="en-US" w:eastAsia="zh-CN"/>
              </w:rPr>
              <w:t>Q</w:t>
            </w:r>
            <w:r>
              <w:rPr>
                <w:rFonts w:hint="eastAsia"/>
                <w:bCs/>
                <w:snapToGrid w:val="0"/>
                <w:lang w:eastAsia="zh-CN"/>
              </w:rPr>
              <w:t>≤20000</w:t>
            </w:r>
            <w:r>
              <w:rPr>
                <w:rFonts w:hint="eastAsia"/>
                <w:bCs/>
                <w:snapToGrid w:val="0"/>
                <w:lang w:val="en-US" w:eastAsia="zh-CN"/>
              </w:rPr>
              <w:t>,</w:t>
            </w:r>
            <w:r>
              <w:rPr>
                <w:rFonts w:hint="eastAsia"/>
                <w:bCs/>
                <w:snapToGrid w:val="0"/>
              </w:rPr>
              <w:t>初始浓度0~200mg/m</w:t>
            </w:r>
            <w:r>
              <w:rPr>
                <w:rFonts w:hint="eastAsia"/>
                <w:bCs/>
                <w:snapToGrid w:val="0"/>
                <w:vertAlign w:val="superscript"/>
              </w:rPr>
              <w:t>3</w:t>
            </w:r>
            <w:r>
              <w:rPr>
                <w:rFonts w:hint="eastAsia"/>
                <w:bCs/>
                <w:snapToGrid w:val="0"/>
              </w:rPr>
              <w:t>时活性炭最少填装量为1</w:t>
            </w:r>
            <w:r>
              <w:rPr>
                <w:rFonts w:hint="eastAsia"/>
                <w:bCs/>
                <w:snapToGrid w:val="0"/>
                <w:lang w:val="en-US" w:eastAsia="zh-CN"/>
              </w:rPr>
              <w:t>.5</w:t>
            </w:r>
            <w:r>
              <w:rPr>
                <w:rFonts w:hint="eastAsia"/>
                <w:bCs/>
                <w:snapToGrid w:val="0"/>
              </w:rPr>
              <w:t>t。为保证废气治理效率，活性炭每年更换一次，每次更换量为1</w:t>
            </w:r>
            <w:r>
              <w:rPr>
                <w:rFonts w:hint="eastAsia"/>
                <w:bCs/>
                <w:snapToGrid w:val="0"/>
                <w:lang w:val="en-US" w:eastAsia="zh-CN"/>
              </w:rPr>
              <w:t>.5</w:t>
            </w:r>
            <w:r>
              <w:rPr>
                <w:rFonts w:hint="eastAsia"/>
                <w:bCs/>
                <w:snapToGrid w:val="0"/>
              </w:rPr>
              <w:t>t，即项目废活性炭产生量为1</w:t>
            </w:r>
            <w:r>
              <w:rPr>
                <w:rFonts w:hint="eastAsia"/>
                <w:bCs/>
                <w:snapToGrid w:val="0"/>
                <w:lang w:val="en-US" w:eastAsia="zh-CN"/>
              </w:rPr>
              <w:t>.5</w:t>
            </w:r>
            <w:r>
              <w:rPr>
                <w:rFonts w:hint="eastAsia"/>
                <w:bCs/>
                <w:snapToGrid w:val="0"/>
              </w:rPr>
              <w:t>t/a。根据《国家危险废物名录》（2025年版），废活性炭属于危废“HW49其他废物”（非特定行业900-039-49：烟气、VOCs治理过程（不包括餐饮行业油烟治理过程）产生的废活性炭，化学原料和化学制品脱色（不包括有机合成食品添加剂脱色）、除杂、净化过程产生的废活性炭（不包括900-405-06、772-005-18、261-053-29、265-002-29、384-003-29、387-001-29类危险废物））。本项目废活性炭经专用容器收集后，暂存于危废暂存间，定期交由有资质单位进行处置。</w:t>
            </w:r>
          </w:p>
          <w:p w14:paraId="560C7777">
            <w:pPr>
              <w:adjustRightInd w:val="0"/>
              <w:snapToGrid w:val="0"/>
              <w:spacing w:line="520" w:lineRule="exact"/>
              <w:ind w:firstLine="480"/>
              <w:rPr>
                <w:bCs/>
              </w:rPr>
            </w:pPr>
            <w:r>
              <w:rPr>
                <w:rFonts w:hint="eastAsia"/>
                <w:bCs/>
                <w:snapToGrid w:val="0"/>
              </w:rPr>
              <w:t>（3）</w:t>
            </w:r>
            <w:r>
              <w:rPr>
                <w:rFonts w:hint="eastAsia"/>
              </w:rPr>
              <w:t>废</w:t>
            </w:r>
            <w:r>
              <w:rPr>
                <w:rFonts w:hint="eastAsia"/>
                <w:bCs/>
              </w:rPr>
              <w:t>包装桶</w:t>
            </w:r>
          </w:p>
          <w:p w14:paraId="5822A3E9">
            <w:pPr>
              <w:snapToGrid w:val="0"/>
              <w:spacing w:line="520" w:lineRule="exact"/>
              <w:ind w:firstLine="480"/>
              <w:rPr>
                <w:rFonts w:hint="eastAsia"/>
                <w:bCs/>
              </w:rPr>
            </w:pPr>
            <w:r>
              <w:rPr>
                <w:rFonts w:hint="eastAsia"/>
                <w:bCs/>
              </w:rPr>
              <w:t>项目水性丙烯酸油墨、水性丙烯酸胶浆使用过程中产生废包装桶，</w:t>
            </w:r>
            <w:r>
              <w:rPr>
                <w:rFonts w:hint="eastAsia"/>
                <w:bCs/>
                <w:lang w:eastAsia="zh-CN"/>
              </w:rPr>
              <w:t>废包装桶产生量为</w:t>
            </w:r>
            <w:r>
              <w:rPr>
                <w:rFonts w:hint="eastAsia"/>
                <w:bCs/>
                <w:lang w:val="en-US" w:eastAsia="zh-CN"/>
              </w:rPr>
              <w:t>2000个，每个桶重量为0.1kg，</w:t>
            </w:r>
            <w:r>
              <w:rPr>
                <w:rFonts w:hint="eastAsia"/>
                <w:bCs/>
              </w:rPr>
              <w:t>废包装桶产生量为</w:t>
            </w:r>
            <w:r>
              <w:rPr>
                <w:rFonts w:hint="eastAsia"/>
                <w:bCs/>
                <w:lang w:val="en-US" w:eastAsia="zh-CN"/>
              </w:rPr>
              <w:t>0.</w:t>
            </w:r>
            <w:r>
              <w:rPr>
                <w:rFonts w:hint="eastAsia"/>
                <w:bCs/>
              </w:rPr>
              <w:t>2t/a，根据《国家危险废物名录（2025年版）》，废包装桶</w:t>
            </w:r>
            <w:r>
              <w:rPr>
                <w:rFonts w:hint="eastAsia"/>
                <w:bCs/>
                <w:snapToGrid w:val="0"/>
              </w:rPr>
              <w:t>属于危废</w:t>
            </w:r>
            <w:r>
              <w:rPr>
                <w:rFonts w:hint="eastAsia"/>
                <w:bCs/>
              </w:rPr>
              <w:t>“其他废物”，编号为HW49，废物代码：900-041-49（含有或直接沾染危险废物的废弃包装物、容器、清洗杂物）。分区存放于危险废物贮存车间内，按要求设置台账，定期委托具有危废资质的单位处理。</w:t>
            </w:r>
          </w:p>
          <w:p w14:paraId="3736E431">
            <w:pPr>
              <w:snapToGrid w:val="0"/>
              <w:spacing w:line="520" w:lineRule="exact"/>
              <w:ind w:firstLine="480"/>
              <w:rPr>
                <w:rFonts w:hint="eastAsia" w:eastAsia="宋体"/>
                <w:bCs/>
                <w:lang w:eastAsia="zh-CN"/>
              </w:rPr>
            </w:pPr>
            <w:r>
              <w:rPr>
                <w:rFonts w:hint="eastAsia"/>
                <w:bCs/>
              </w:rPr>
              <w:t>（</w:t>
            </w:r>
            <w:r>
              <w:rPr>
                <w:rFonts w:hint="eastAsia"/>
                <w:bCs/>
                <w:lang w:val="en-US" w:eastAsia="zh-CN"/>
              </w:rPr>
              <w:t>4</w:t>
            </w:r>
            <w:r>
              <w:rPr>
                <w:rFonts w:hint="eastAsia"/>
                <w:bCs/>
              </w:rPr>
              <w:t>）废</w:t>
            </w:r>
            <w:r>
              <w:rPr>
                <w:rFonts w:hint="eastAsia"/>
                <w:bCs/>
                <w:lang w:eastAsia="zh-CN"/>
              </w:rPr>
              <w:t>抹布</w:t>
            </w:r>
          </w:p>
          <w:p w14:paraId="08033CFF">
            <w:pPr>
              <w:snapToGrid w:val="0"/>
              <w:spacing w:line="520" w:lineRule="exact"/>
              <w:ind w:firstLine="480"/>
              <w:rPr>
                <w:rFonts w:hint="eastAsia"/>
                <w:bCs/>
              </w:rPr>
            </w:pPr>
            <w:r>
              <w:rPr>
                <w:rFonts w:hint="eastAsia"/>
                <w:bCs/>
              </w:rPr>
              <w:t>项目</w:t>
            </w:r>
            <w:r>
              <w:rPr>
                <w:rFonts w:hint="eastAsia"/>
                <w:bCs/>
                <w:lang w:eastAsia="zh-CN"/>
              </w:rPr>
              <w:t>油墨槽擦洗</w:t>
            </w:r>
            <w:r>
              <w:rPr>
                <w:rFonts w:hint="eastAsia"/>
                <w:bCs/>
              </w:rPr>
              <w:t>过程中产生废</w:t>
            </w:r>
            <w:r>
              <w:rPr>
                <w:rFonts w:hint="eastAsia"/>
                <w:bCs/>
                <w:lang w:eastAsia="zh-CN"/>
              </w:rPr>
              <w:t>抹布</w:t>
            </w:r>
            <w:r>
              <w:rPr>
                <w:rFonts w:hint="eastAsia"/>
                <w:bCs/>
              </w:rPr>
              <w:t>，产生量为</w:t>
            </w:r>
            <w:r>
              <w:rPr>
                <w:rFonts w:hint="eastAsia"/>
                <w:bCs/>
                <w:lang w:val="en-US" w:eastAsia="zh-CN"/>
              </w:rPr>
              <w:t>0.05</w:t>
            </w:r>
            <w:r>
              <w:rPr>
                <w:rFonts w:hint="eastAsia"/>
                <w:bCs/>
              </w:rPr>
              <w:t>t/a，根据《国家危险废物名录（2025年版）》，废</w:t>
            </w:r>
            <w:r>
              <w:rPr>
                <w:rFonts w:hint="eastAsia"/>
                <w:bCs/>
                <w:lang w:eastAsia="zh-CN"/>
              </w:rPr>
              <w:t>抹布</w:t>
            </w:r>
            <w:r>
              <w:rPr>
                <w:rFonts w:hint="eastAsia"/>
                <w:bCs/>
              </w:rPr>
              <w:t>属于危废“其他废物”，编号为HW49，废物代码：900-041-49（含有或直接沾染危险废物的废弃包装物、容器、清洗杂物）。分区存放于危险废物贮存车间内，按要求设置台账，定期委托具有危废资质的单位处理。</w:t>
            </w:r>
          </w:p>
          <w:p w14:paraId="5F5C698D">
            <w:pPr>
              <w:adjustRightInd w:val="0"/>
              <w:snapToGrid w:val="0"/>
              <w:spacing w:line="520" w:lineRule="exact"/>
              <w:ind w:firstLine="480"/>
            </w:pPr>
            <w:r>
              <w:t>评价建议建设单位设置一座专门的危废暂存间，建筑面积</w:t>
            </w:r>
            <w:r>
              <w:rPr>
                <w:rFonts w:hint="eastAsia"/>
              </w:rPr>
              <w:t>10</w:t>
            </w:r>
            <w:r>
              <w:t>m</w:t>
            </w:r>
            <w:r>
              <w:rPr>
                <w:vertAlign w:val="superscript"/>
              </w:rPr>
              <w:t>2</w:t>
            </w:r>
            <w:r>
              <w:t>，并进行地面硬化、防渗等措施，内置危废暂存桶，用于危废暂存，并委托有危险废物处理资质的单位处理。</w:t>
            </w:r>
          </w:p>
          <w:p w14:paraId="0A873557">
            <w:pPr>
              <w:adjustRightInd w:val="0"/>
              <w:snapToGrid w:val="0"/>
              <w:spacing w:line="520" w:lineRule="exact"/>
              <w:ind w:firstLine="1200" w:firstLineChars="500"/>
              <w:rPr>
                <w:rFonts w:eastAsia="黑体"/>
              </w:rPr>
            </w:pPr>
            <w:r>
              <w:rPr>
                <w:rFonts w:eastAsia="黑体"/>
              </w:rPr>
              <w:t>表</w:t>
            </w:r>
            <w:r>
              <w:rPr>
                <w:rFonts w:hint="eastAsia" w:eastAsia="黑体"/>
              </w:rPr>
              <w:t>4-17</w:t>
            </w:r>
            <w:r>
              <w:rPr>
                <w:rFonts w:eastAsia="黑体"/>
              </w:rPr>
              <w:t xml:space="preserve">                </w:t>
            </w:r>
            <w:r>
              <w:rPr>
                <w:rFonts w:eastAsia="黑体"/>
                <w:snapToGrid w:val="0"/>
                <w:kern w:val="44"/>
              </w:rPr>
              <w:t>本项目危险废物汇总表</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552"/>
              <w:gridCol w:w="1176"/>
              <w:gridCol w:w="922"/>
              <w:gridCol w:w="1064"/>
              <w:gridCol w:w="750"/>
              <w:gridCol w:w="673"/>
              <w:gridCol w:w="1058"/>
            </w:tblGrid>
            <w:tr w14:paraId="7984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5" w:type="pct"/>
                  <w:tcBorders>
                    <w:tl2br w:val="nil"/>
                    <w:tr2bl w:val="nil"/>
                  </w:tcBorders>
                  <w:vAlign w:val="center"/>
                </w:tcPr>
                <w:p w14:paraId="635DEBD6">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危险废物名称</w:t>
                  </w:r>
                </w:p>
              </w:tc>
              <w:tc>
                <w:tcPr>
                  <w:tcW w:w="956" w:type="pct"/>
                  <w:tcBorders>
                    <w:tl2br w:val="nil"/>
                    <w:tr2bl w:val="nil"/>
                  </w:tcBorders>
                  <w:vAlign w:val="center"/>
                </w:tcPr>
                <w:p w14:paraId="36A626F4">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危险废物类别</w:t>
                  </w:r>
                </w:p>
              </w:tc>
              <w:tc>
                <w:tcPr>
                  <w:tcW w:w="724" w:type="pct"/>
                  <w:tcBorders>
                    <w:tl2br w:val="nil"/>
                    <w:tr2bl w:val="nil"/>
                  </w:tcBorders>
                  <w:vAlign w:val="center"/>
                </w:tcPr>
                <w:p w14:paraId="3150E4AE">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危险废物代码</w:t>
                  </w:r>
                </w:p>
              </w:tc>
              <w:tc>
                <w:tcPr>
                  <w:tcW w:w="568" w:type="pct"/>
                  <w:tcBorders>
                    <w:tl2br w:val="nil"/>
                    <w:tr2bl w:val="nil"/>
                  </w:tcBorders>
                  <w:vAlign w:val="center"/>
                </w:tcPr>
                <w:p w14:paraId="5FFF8061">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产生量</w:t>
                  </w:r>
                </w:p>
              </w:tc>
              <w:tc>
                <w:tcPr>
                  <w:tcW w:w="655" w:type="pct"/>
                  <w:tcBorders>
                    <w:tl2br w:val="nil"/>
                    <w:tr2bl w:val="nil"/>
                  </w:tcBorders>
                  <w:vAlign w:val="center"/>
                </w:tcPr>
                <w:p w14:paraId="38B08656">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产生工序</w:t>
                  </w:r>
                </w:p>
              </w:tc>
              <w:tc>
                <w:tcPr>
                  <w:tcW w:w="462" w:type="pct"/>
                  <w:tcBorders>
                    <w:tl2br w:val="nil"/>
                    <w:tr2bl w:val="nil"/>
                  </w:tcBorders>
                  <w:vAlign w:val="center"/>
                </w:tcPr>
                <w:p w14:paraId="72041466">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产废周期</w:t>
                  </w:r>
                </w:p>
              </w:tc>
              <w:tc>
                <w:tcPr>
                  <w:tcW w:w="414" w:type="pct"/>
                  <w:tcBorders>
                    <w:tl2br w:val="nil"/>
                    <w:tr2bl w:val="nil"/>
                  </w:tcBorders>
                  <w:vAlign w:val="center"/>
                </w:tcPr>
                <w:p w14:paraId="796F8A79">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危险特性</w:t>
                  </w:r>
                </w:p>
              </w:tc>
              <w:tc>
                <w:tcPr>
                  <w:tcW w:w="652" w:type="pct"/>
                  <w:tcBorders>
                    <w:tl2br w:val="nil"/>
                    <w:tr2bl w:val="nil"/>
                  </w:tcBorders>
                  <w:vAlign w:val="center"/>
                </w:tcPr>
                <w:p w14:paraId="6014B21E">
                  <w:pPr>
                    <w:autoSpaceDE w:val="0"/>
                    <w:autoSpaceDN w:val="0"/>
                    <w:adjustRightInd w:val="0"/>
                    <w:snapToGrid w:val="0"/>
                    <w:spacing w:line="240" w:lineRule="auto"/>
                    <w:ind w:firstLine="0" w:firstLineChars="0"/>
                    <w:jc w:val="center"/>
                    <w:rPr>
                      <w:b/>
                      <w:bCs/>
                      <w:snapToGrid w:val="0"/>
                      <w:sz w:val="21"/>
                      <w:szCs w:val="21"/>
                    </w:rPr>
                  </w:pPr>
                  <w:r>
                    <w:rPr>
                      <w:b/>
                      <w:bCs/>
                      <w:snapToGrid w:val="0"/>
                      <w:sz w:val="21"/>
                      <w:szCs w:val="21"/>
                    </w:rPr>
                    <w:t>污染防治措施</w:t>
                  </w:r>
                </w:p>
              </w:tc>
            </w:tr>
            <w:tr w14:paraId="410F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5" w:type="pct"/>
                  <w:tcBorders>
                    <w:tl2br w:val="nil"/>
                    <w:tr2bl w:val="nil"/>
                  </w:tcBorders>
                  <w:vAlign w:val="center"/>
                </w:tcPr>
                <w:p w14:paraId="20E906BA">
                  <w:pPr>
                    <w:autoSpaceDE w:val="0"/>
                    <w:autoSpaceDN w:val="0"/>
                    <w:adjustRightInd w:val="0"/>
                    <w:snapToGrid w:val="0"/>
                    <w:spacing w:line="240" w:lineRule="auto"/>
                    <w:ind w:firstLine="0" w:firstLineChars="0"/>
                    <w:jc w:val="center"/>
                    <w:rPr>
                      <w:snapToGrid w:val="0"/>
                      <w:sz w:val="21"/>
                      <w:szCs w:val="21"/>
                    </w:rPr>
                  </w:pPr>
                  <w:r>
                    <w:rPr>
                      <w:snapToGrid w:val="0"/>
                      <w:sz w:val="21"/>
                      <w:szCs w:val="21"/>
                    </w:rPr>
                    <w:t>废活性炭</w:t>
                  </w:r>
                </w:p>
              </w:tc>
              <w:tc>
                <w:tcPr>
                  <w:tcW w:w="956" w:type="pct"/>
                  <w:tcBorders>
                    <w:tl2br w:val="nil"/>
                    <w:tr2bl w:val="nil"/>
                  </w:tcBorders>
                  <w:vAlign w:val="center"/>
                </w:tcPr>
                <w:p w14:paraId="661A0186">
                  <w:pPr>
                    <w:autoSpaceDE w:val="0"/>
                    <w:autoSpaceDN w:val="0"/>
                    <w:adjustRightInd w:val="0"/>
                    <w:snapToGrid w:val="0"/>
                    <w:spacing w:line="240" w:lineRule="auto"/>
                    <w:ind w:firstLine="0" w:firstLineChars="0"/>
                    <w:jc w:val="center"/>
                    <w:rPr>
                      <w:snapToGrid w:val="0"/>
                      <w:sz w:val="21"/>
                      <w:szCs w:val="21"/>
                    </w:rPr>
                  </w:pPr>
                  <w:r>
                    <w:rPr>
                      <w:snapToGrid w:val="0"/>
                      <w:sz w:val="21"/>
                      <w:szCs w:val="21"/>
                    </w:rPr>
                    <w:t>HW49其他废物</w:t>
                  </w:r>
                </w:p>
              </w:tc>
              <w:tc>
                <w:tcPr>
                  <w:tcW w:w="724" w:type="pct"/>
                  <w:tcBorders>
                    <w:tl2br w:val="nil"/>
                    <w:tr2bl w:val="nil"/>
                  </w:tcBorders>
                  <w:vAlign w:val="center"/>
                </w:tcPr>
                <w:p w14:paraId="527516EA">
                  <w:pPr>
                    <w:autoSpaceDE w:val="0"/>
                    <w:autoSpaceDN w:val="0"/>
                    <w:adjustRightInd w:val="0"/>
                    <w:snapToGrid w:val="0"/>
                    <w:spacing w:line="240" w:lineRule="auto"/>
                    <w:ind w:firstLine="0" w:firstLineChars="0"/>
                    <w:jc w:val="center"/>
                    <w:rPr>
                      <w:snapToGrid w:val="0"/>
                      <w:sz w:val="21"/>
                      <w:szCs w:val="21"/>
                    </w:rPr>
                  </w:pPr>
                  <w:r>
                    <w:rPr>
                      <w:snapToGrid w:val="0"/>
                      <w:sz w:val="21"/>
                      <w:szCs w:val="21"/>
                    </w:rPr>
                    <w:t>900-039-49</w:t>
                  </w:r>
                </w:p>
              </w:tc>
              <w:tc>
                <w:tcPr>
                  <w:tcW w:w="568" w:type="pct"/>
                  <w:tcBorders>
                    <w:tl2br w:val="nil"/>
                    <w:tr2bl w:val="nil"/>
                  </w:tcBorders>
                  <w:vAlign w:val="center"/>
                </w:tcPr>
                <w:p w14:paraId="768AC590">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1</w:t>
                  </w:r>
                  <w:r>
                    <w:rPr>
                      <w:rFonts w:hint="eastAsia"/>
                      <w:snapToGrid w:val="0"/>
                      <w:sz w:val="21"/>
                      <w:szCs w:val="21"/>
                      <w:lang w:val="en-US" w:eastAsia="zh-CN"/>
                    </w:rPr>
                    <w:t>.5</w:t>
                  </w:r>
                  <w:r>
                    <w:rPr>
                      <w:snapToGrid w:val="0"/>
                      <w:sz w:val="21"/>
                      <w:szCs w:val="21"/>
                    </w:rPr>
                    <w:t>t/a</w:t>
                  </w:r>
                </w:p>
              </w:tc>
              <w:tc>
                <w:tcPr>
                  <w:tcW w:w="655" w:type="pct"/>
                  <w:vMerge w:val="restart"/>
                  <w:tcBorders>
                    <w:tl2br w:val="nil"/>
                    <w:tr2bl w:val="nil"/>
                  </w:tcBorders>
                  <w:vAlign w:val="center"/>
                </w:tcPr>
                <w:p w14:paraId="61598144">
                  <w:pPr>
                    <w:autoSpaceDE w:val="0"/>
                    <w:autoSpaceDN w:val="0"/>
                    <w:adjustRightInd w:val="0"/>
                    <w:snapToGrid w:val="0"/>
                    <w:spacing w:line="240" w:lineRule="auto"/>
                    <w:ind w:firstLine="0" w:firstLineChars="0"/>
                    <w:jc w:val="center"/>
                    <w:rPr>
                      <w:snapToGrid w:val="0"/>
                      <w:sz w:val="21"/>
                      <w:szCs w:val="21"/>
                    </w:rPr>
                  </w:pPr>
                  <w:r>
                    <w:rPr>
                      <w:snapToGrid w:val="0"/>
                      <w:sz w:val="21"/>
                      <w:szCs w:val="21"/>
                    </w:rPr>
                    <w:t>废气</w:t>
                  </w:r>
                  <w:r>
                    <w:rPr>
                      <w:rFonts w:hint="eastAsia"/>
                      <w:snapToGrid w:val="0"/>
                      <w:sz w:val="21"/>
                      <w:szCs w:val="21"/>
                    </w:rPr>
                    <w:t>治理</w:t>
                  </w:r>
                  <w:r>
                    <w:rPr>
                      <w:snapToGrid w:val="0"/>
                      <w:sz w:val="21"/>
                      <w:szCs w:val="21"/>
                    </w:rPr>
                    <w:t>过程</w:t>
                  </w:r>
                </w:p>
              </w:tc>
              <w:tc>
                <w:tcPr>
                  <w:tcW w:w="462" w:type="pct"/>
                  <w:tcBorders>
                    <w:tl2br w:val="nil"/>
                    <w:tr2bl w:val="nil"/>
                  </w:tcBorders>
                  <w:vAlign w:val="center"/>
                </w:tcPr>
                <w:p w14:paraId="4CB28547">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每</w:t>
                  </w:r>
                  <w:r>
                    <w:rPr>
                      <w:snapToGrid w:val="0"/>
                      <w:sz w:val="21"/>
                      <w:szCs w:val="21"/>
                    </w:rPr>
                    <w:t>年</w:t>
                  </w:r>
                </w:p>
              </w:tc>
              <w:tc>
                <w:tcPr>
                  <w:tcW w:w="414" w:type="pct"/>
                  <w:tcBorders>
                    <w:tl2br w:val="nil"/>
                    <w:tr2bl w:val="nil"/>
                  </w:tcBorders>
                  <w:vAlign w:val="center"/>
                </w:tcPr>
                <w:p w14:paraId="61E7A1B6">
                  <w:pPr>
                    <w:autoSpaceDE w:val="0"/>
                    <w:autoSpaceDN w:val="0"/>
                    <w:adjustRightInd w:val="0"/>
                    <w:snapToGrid w:val="0"/>
                    <w:spacing w:line="240" w:lineRule="auto"/>
                    <w:ind w:firstLine="0" w:firstLineChars="0"/>
                    <w:jc w:val="center"/>
                    <w:rPr>
                      <w:snapToGrid w:val="0"/>
                      <w:sz w:val="21"/>
                      <w:szCs w:val="21"/>
                    </w:rPr>
                  </w:pPr>
                  <w:r>
                    <w:rPr>
                      <w:snapToGrid w:val="0"/>
                      <w:sz w:val="21"/>
                      <w:szCs w:val="21"/>
                    </w:rPr>
                    <w:t>T</w:t>
                  </w:r>
                </w:p>
              </w:tc>
              <w:tc>
                <w:tcPr>
                  <w:tcW w:w="652" w:type="pct"/>
                  <w:vMerge w:val="restart"/>
                  <w:tcBorders>
                    <w:tl2br w:val="nil"/>
                    <w:tr2bl w:val="nil"/>
                  </w:tcBorders>
                  <w:vAlign w:val="center"/>
                </w:tcPr>
                <w:p w14:paraId="140478E0">
                  <w:pPr>
                    <w:autoSpaceDE w:val="0"/>
                    <w:autoSpaceDN w:val="0"/>
                    <w:adjustRightInd w:val="0"/>
                    <w:snapToGrid w:val="0"/>
                    <w:spacing w:line="240" w:lineRule="auto"/>
                    <w:ind w:firstLine="0" w:firstLineChars="0"/>
                    <w:jc w:val="center"/>
                    <w:rPr>
                      <w:snapToGrid w:val="0"/>
                      <w:sz w:val="21"/>
                      <w:szCs w:val="21"/>
                    </w:rPr>
                  </w:pPr>
                  <w:r>
                    <w:rPr>
                      <w:snapToGrid w:val="0"/>
                      <w:sz w:val="21"/>
                      <w:szCs w:val="21"/>
                    </w:rPr>
                    <w:t>收集后暂存于危废间，定期委托有资质的危废单位处置</w:t>
                  </w:r>
                </w:p>
              </w:tc>
            </w:tr>
            <w:tr w14:paraId="3776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5" w:type="pct"/>
                  <w:tcBorders>
                    <w:tl2br w:val="nil"/>
                    <w:tr2bl w:val="nil"/>
                  </w:tcBorders>
                  <w:vAlign w:val="center"/>
                </w:tcPr>
                <w:p w14:paraId="2C545C4F">
                  <w:pPr>
                    <w:autoSpaceDE w:val="0"/>
                    <w:autoSpaceDN w:val="0"/>
                    <w:adjustRightInd w:val="0"/>
                    <w:snapToGrid w:val="0"/>
                    <w:spacing w:line="240" w:lineRule="auto"/>
                    <w:ind w:firstLine="0" w:firstLineChars="0"/>
                    <w:jc w:val="center"/>
                    <w:rPr>
                      <w:snapToGrid w:val="0"/>
                      <w:sz w:val="21"/>
                      <w:szCs w:val="21"/>
                    </w:rPr>
                  </w:pPr>
                  <w:r>
                    <w:rPr>
                      <w:snapToGrid w:val="0"/>
                      <w:sz w:val="21"/>
                      <w:szCs w:val="21"/>
                    </w:rPr>
                    <w:t>废催化剂</w:t>
                  </w:r>
                </w:p>
              </w:tc>
              <w:tc>
                <w:tcPr>
                  <w:tcW w:w="956" w:type="pct"/>
                  <w:tcBorders>
                    <w:tl2br w:val="nil"/>
                    <w:tr2bl w:val="nil"/>
                  </w:tcBorders>
                  <w:vAlign w:val="center"/>
                </w:tcPr>
                <w:p w14:paraId="276B2437">
                  <w:pPr>
                    <w:autoSpaceDE w:val="0"/>
                    <w:autoSpaceDN w:val="0"/>
                    <w:adjustRightInd w:val="0"/>
                    <w:snapToGrid w:val="0"/>
                    <w:spacing w:line="240" w:lineRule="auto"/>
                    <w:ind w:firstLine="0" w:firstLineChars="0"/>
                    <w:jc w:val="center"/>
                    <w:rPr>
                      <w:snapToGrid w:val="0"/>
                      <w:sz w:val="21"/>
                      <w:szCs w:val="21"/>
                    </w:rPr>
                  </w:pPr>
                  <w:r>
                    <w:rPr>
                      <w:snapToGrid w:val="0"/>
                      <w:sz w:val="21"/>
                      <w:szCs w:val="21"/>
                    </w:rPr>
                    <w:t>HW50废催化剂</w:t>
                  </w:r>
                </w:p>
              </w:tc>
              <w:tc>
                <w:tcPr>
                  <w:tcW w:w="724" w:type="pct"/>
                  <w:tcBorders>
                    <w:tl2br w:val="nil"/>
                    <w:tr2bl w:val="nil"/>
                  </w:tcBorders>
                  <w:vAlign w:val="center"/>
                </w:tcPr>
                <w:p w14:paraId="46B1A0F5">
                  <w:pPr>
                    <w:autoSpaceDE w:val="0"/>
                    <w:autoSpaceDN w:val="0"/>
                    <w:adjustRightInd w:val="0"/>
                    <w:snapToGrid w:val="0"/>
                    <w:spacing w:line="240" w:lineRule="auto"/>
                    <w:ind w:firstLine="0" w:firstLineChars="0"/>
                    <w:jc w:val="center"/>
                    <w:rPr>
                      <w:snapToGrid w:val="0"/>
                      <w:sz w:val="21"/>
                      <w:szCs w:val="21"/>
                    </w:rPr>
                  </w:pPr>
                  <w:r>
                    <w:rPr>
                      <w:snapToGrid w:val="0"/>
                      <w:sz w:val="21"/>
                      <w:szCs w:val="21"/>
                    </w:rPr>
                    <w:t>772-007-50</w:t>
                  </w:r>
                </w:p>
              </w:tc>
              <w:tc>
                <w:tcPr>
                  <w:tcW w:w="568" w:type="pct"/>
                  <w:tcBorders>
                    <w:tl2br w:val="nil"/>
                    <w:tr2bl w:val="nil"/>
                  </w:tcBorders>
                  <w:vAlign w:val="center"/>
                </w:tcPr>
                <w:p w14:paraId="44C3D8FA">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0.1</w:t>
                  </w:r>
                  <w:r>
                    <w:rPr>
                      <w:snapToGrid w:val="0"/>
                      <w:sz w:val="21"/>
                      <w:szCs w:val="21"/>
                    </w:rPr>
                    <w:t>t/a</w:t>
                  </w:r>
                </w:p>
              </w:tc>
              <w:tc>
                <w:tcPr>
                  <w:tcW w:w="655" w:type="pct"/>
                  <w:vMerge w:val="continue"/>
                  <w:tcBorders>
                    <w:tl2br w:val="nil"/>
                    <w:tr2bl w:val="nil"/>
                  </w:tcBorders>
                  <w:vAlign w:val="center"/>
                </w:tcPr>
                <w:p w14:paraId="708920D1">
                  <w:pPr>
                    <w:autoSpaceDE w:val="0"/>
                    <w:autoSpaceDN w:val="0"/>
                    <w:adjustRightInd w:val="0"/>
                    <w:snapToGrid w:val="0"/>
                    <w:spacing w:line="240" w:lineRule="auto"/>
                    <w:ind w:firstLine="0" w:firstLineChars="0"/>
                    <w:jc w:val="center"/>
                    <w:rPr>
                      <w:snapToGrid w:val="0"/>
                      <w:sz w:val="21"/>
                      <w:szCs w:val="21"/>
                    </w:rPr>
                  </w:pPr>
                </w:p>
              </w:tc>
              <w:tc>
                <w:tcPr>
                  <w:tcW w:w="462" w:type="pct"/>
                  <w:tcBorders>
                    <w:tl2br w:val="nil"/>
                    <w:tr2bl w:val="nil"/>
                  </w:tcBorders>
                  <w:vAlign w:val="center"/>
                </w:tcPr>
                <w:p w14:paraId="3882A6CD">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每</w:t>
                  </w:r>
                  <w:r>
                    <w:rPr>
                      <w:snapToGrid w:val="0"/>
                      <w:sz w:val="21"/>
                      <w:szCs w:val="21"/>
                    </w:rPr>
                    <w:t>年</w:t>
                  </w:r>
                </w:p>
              </w:tc>
              <w:tc>
                <w:tcPr>
                  <w:tcW w:w="414" w:type="pct"/>
                  <w:tcBorders>
                    <w:tl2br w:val="nil"/>
                    <w:tr2bl w:val="nil"/>
                  </w:tcBorders>
                  <w:vAlign w:val="center"/>
                </w:tcPr>
                <w:p w14:paraId="2FA9B2ED">
                  <w:pPr>
                    <w:autoSpaceDE w:val="0"/>
                    <w:autoSpaceDN w:val="0"/>
                    <w:adjustRightInd w:val="0"/>
                    <w:snapToGrid w:val="0"/>
                    <w:spacing w:line="240" w:lineRule="auto"/>
                    <w:ind w:firstLine="0" w:firstLineChars="0"/>
                    <w:jc w:val="center"/>
                    <w:rPr>
                      <w:snapToGrid w:val="0"/>
                      <w:sz w:val="21"/>
                      <w:szCs w:val="21"/>
                    </w:rPr>
                  </w:pPr>
                  <w:r>
                    <w:rPr>
                      <w:snapToGrid w:val="0"/>
                      <w:sz w:val="21"/>
                      <w:szCs w:val="21"/>
                    </w:rPr>
                    <w:t>T</w:t>
                  </w:r>
                </w:p>
              </w:tc>
              <w:tc>
                <w:tcPr>
                  <w:tcW w:w="652" w:type="pct"/>
                  <w:vMerge w:val="continue"/>
                  <w:tcBorders>
                    <w:tl2br w:val="nil"/>
                    <w:tr2bl w:val="nil"/>
                  </w:tcBorders>
                  <w:vAlign w:val="center"/>
                </w:tcPr>
                <w:p w14:paraId="55F910A6">
                  <w:pPr>
                    <w:autoSpaceDE w:val="0"/>
                    <w:autoSpaceDN w:val="0"/>
                    <w:adjustRightInd w:val="0"/>
                    <w:snapToGrid w:val="0"/>
                    <w:spacing w:line="240" w:lineRule="auto"/>
                    <w:ind w:firstLine="0" w:firstLineChars="0"/>
                    <w:jc w:val="center"/>
                    <w:rPr>
                      <w:snapToGrid w:val="0"/>
                      <w:sz w:val="21"/>
                      <w:szCs w:val="21"/>
                    </w:rPr>
                  </w:pPr>
                </w:p>
              </w:tc>
            </w:tr>
            <w:tr w14:paraId="3A4C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5" w:type="pct"/>
                  <w:tcBorders>
                    <w:tl2br w:val="nil"/>
                    <w:tr2bl w:val="nil"/>
                  </w:tcBorders>
                  <w:vAlign w:val="center"/>
                </w:tcPr>
                <w:p w14:paraId="5E80E22A">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废包装桶</w:t>
                  </w:r>
                </w:p>
              </w:tc>
              <w:tc>
                <w:tcPr>
                  <w:tcW w:w="956" w:type="pct"/>
                  <w:tcBorders>
                    <w:tl2br w:val="nil"/>
                    <w:tr2bl w:val="nil"/>
                  </w:tcBorders>
                  <w:vAlign w:val="center"/>
                </w:tcPr>
                <w:p w14:paraId="40BC6E28">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HW49其他废物</w:t>
                  </w:r>
                </w:p>
              </w:tc>
              <w:tc>
                <w:tcPr>
                  <w:tcW w:w="724" w:type="pct"/>
                  <w:tcBorders>
                    <w:tl2br w:val="nil"/>
                    <w:tr2bl w:val="nil"/>
                  </w:tcBorders>
                  <w:vAlign w:val="center"/>
                </w:tcPr>
                <w:p w14:paraId="7AAE39D3">
                  <w:pPr>
                    <w:autoSpaceDE w:val="0"/>
                    <w:autoSpaceDN w:val="0"/>
                    <w:adjustRightInd w:val="0"/>
                    <w:snapToGrid w:val="0"/>
                    <w:spacing w:line="240" w:lineRule="auto"/>
                    <w:ind w:firstLine="0" w:firstLineChars="0"/>
                    <w:jc w:val="center"/>
                    <w:rPr>
                      <w:snapToGrid w:val="0"/>
                      <w:sz w:val="21"/>
                      <w:szCs w:val="21"/>
                    </w:rPr>
                  </w:pPr>
                  <w:r>
                    <w:rPr>
                      <w:snapToGrid w:val="0"/>
                      <w:sz w:val="21"/>
                      <w:szCs w:val="21"/>
                    </w:rPr>
                    <w:t>900-041-49</w:t>
                  </w:r>
                </w:p>
              </w:tc>
              <w:tc>
                <w:tcPr>
                  <w:tcW w:w="568" w:type="pct"/>
                  <w:tcBorders>
                    <w:tl2br w:val="nil"/>
                    <w:tr2bl w:val="nil"/>
                  </w:tcBorders>
                  <w:vAlign w:val="center"/>
                </w:tcPr>
                <w:p w14:paraId="76B5CA87">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lang w:val="en-US" w:eastAsia="zh-CN"/>
                    </w:rPr>
                    <w:t>0.2</w:t>
                  </w:r>
                  <w:r>
                    <w:rPr>
                      <w:snapToGrid w:val="0"/>
                      <w:sz w:val="21"/>
                      <w:szCs w:val="21"/>
                    </w:rPr>
                    <w:t>t/a</w:t>
                  </w:r>
                </w:p>
              </w:tc>
              <w:tc>
                <w:tcPr>
                  <w:tcW w:w="655" w:type="pct"/>
                  <w:tcBorders>
                    <w:tl2br w:val="nil"/>
                    <w:tr2bl w:val="nil"/>
                  </w:tcBorders>
                  <w:vAlign w:val="center"/>
                </w:tcPr>
                <w:p w14:paraId="1348E989">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原料使用</w:t>
                  </w:r>
                </w:p>
              </w:tc>
              <w:tc>
                <w:tcPr>
                  <w:tcW w:w="462" w:type="pct"/>
                  <w:tcBorders>
                    <w:tl2br w:val="nil"/>
                    <w:tr2bl w:val="nil"/>
                  </w:tcBorders>
                  <w:vAlign w:val="center"/>
                </w:tcPr>
                <w:p w14:paraId="5BFD17FD">
                  <w:pPr>
                    <w:autoSpaceDE w:val="0"/>
                    <w:autoSpaceDN w:val="0"/>
                    <w:adjustRightInd w:val="0"/>
                    <w:snapToGrid w:val="0"/>
                    <w:spacing w:line="240" w:lineRule="auto"/>
                    <w:ind w:firstLine="0" w:firstLineChars="0"/>
                    <w:jc w:val="center"/>
                    <w:rPr>
                      <w:rFonts w:hint="default"/>
                      <w:snapToGrid w:val="0"/>
                      <w:sz w:val="21"/>
                      <w:szCs w:val="21"/>
                      <w:lang w:val="en-US"/>
                    </w:rPr>
                  </w:pPr>
                  <w:r>
                    <w:rPr>
                      <w:rFonts w:hint="eastAsia"/>
                      <w:snapToGrid w:val="0"/>
                      <w:sz w:val="21"/>
                      <w:szCs w:val="21"/>
                    </w:rPr>
                    <w:t>每</w:t>
                  </w:r>
                  <w:r>
                    <w:rPr>
                      <w:rFonts w:hint="eastAsia"/>
                      <w:lang w:eastAsia="zh-CN"/>
                    </w:rPr>
                    <w:t>天</w:t>
                  </w:r>
                  <w:r>
                    <w:rPr>
                      <w:rFonts w:hint="eastAsia"/>
                      <w:snapToGrid w:val="0"/>
                      <w:sz w:val="21"/>
                      <w:szCs w:val="21"/>
                      <w:lang w:val="en-US" w:eastAsia="zh-CN"/>
                    </w:rPr>
                    <w:t xml:space="preserve"> </w:t>
                  </w:r>
                </w:p>
              </w:tc>
              <w:tc>
                <w:tcPr>
                  <w:tcW w:w="414" w:type="pct"/>
                  <w:tcBorders>
                    <w:tl2br w:val="nil"/>
                    <w:tr2bl w:val="nil"/>
                  </w:tcBorders>
                  <w:vAlign w:val="center"/>
                </w:tcPr>
                <w:p w14:paraId="6C033285">
                  <w:pPr>
                    <w:autoSpaceDE w:val="0"/>
                    <w:autoSpaceDN w:val="0"/>
                    <w:adjustRightInd w:val="0"/>
                    <w:snapToGrid w:val="0"/>
                    <w:spacing w:line="240" w:lineRule="auto"/>
                    <w:ind w:firstLine="0" w:firstLineChars="0"/>
                    <w:jc w:val="center"/>
                    <w:rPr>
                      <w:snapToGrid w:val="0"/>
                      <w:sz w:val="21"/>
                      <w:szCs w:val="21"/>
                    </w:rPr>
                  </w:pPr>
                  <w:r>
                    <w:rPr>
                      <w:snapToGrid w:val="0"/>
                      <w:sz w:val="21"/>
                      <w:szCs w:val="21"/>
                    </w:rPr>
                    <w:t>T，I</w:t>
                  </w:r>
                </w:p>
              </w:tc>
              <w:tc>
                <w:tcPr>
                  <w:tcW w:w="652" w:type="pct"/>
                  <w:vMerge w:val="continue"/>
                  <w:tcBorders>
                    <w:tl2br w:val="nil"/>
                    <w:tr2bl w:val="nil"/>
                  </w:tcBorders>
                  <w:vAlign w:val="center"/>
                </w:tcPr>
                <w:p w14:paraId="3D6151C0">
                  <w:pPr>
                    <w:autoSpaceDE w:val="0"/>
                    <w:autoSpaceDN w:val="0"/>
                    <w:adjustRightInd w:val="0"/>
                    <w:snapToGrid w:val="0"/>
                    <w:spacing w:line="240" w:lineRule="auto"/>
                    <w:ind w:firstLine="0" w:firstLineChars="0"/>
                    <w:jc w:val="center"/>
                    <w:rPr>
                      <w:snapToGrid w:val="0"/>
                      <w:sz w:val="21"/>
                      <w:szCs w:val="21"/>
                    </w:rPr>
                  </w:pPr>
                </w:p>
              </w:tc>
            </w:tr>
            <w:tr w14:paraId="5356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5" w:type="pct"/>
                  <w:tcBorders>
                    <w:tl2br w:val="nil"/>
                    <w:tr2bl w:val="nil"/>
                  </w:tcBorders>
                  <w:vAlign w:val="center"/>
                </w:tcPr>
                <w:p w14:paraId="36A6F788">
                  <w:pPr>
                    <w:autoSpaceDE w:val="0"/>
                    <w:autoSpaceDN w:val="0"/>
                    <w:adjustRightInd w:val="0"/>
                    <w:snapToGrid w:val="0"/>
                    <w:spacing w:line="240" w:lineRule="auto"/>
                    <w:ind w:firstLine="0" w:firstLineChars="0"/>
                    <w:jc w:val="center"/>
                    <w:rPr>
                      <w:rFonts w:hint="eastAsia" w:eastAsia="宋体"/>
                      <w:snapToGrid w:val="0"/>
                      <w:sz w:val="21"/>
                      <w:szCs w:val="21"/>
                      <w:lang w:eastAsia="zh-CN"/>
                    </w:rPr>
                  </w:pPr>
                  <w:r>
                    <w:rPr>
                      <w:rFonts w:hint="eastAsia"/>
                      <w:snapToGrid w:val="0"/>
                      <w:sz w:val="21"/>
                      <w:szCs w:val="21"/>
                      <w:lang w:eastAsia="zh-CN"/>
                    </w:rPr>
                    <w:t>废抹布</w:t>
                  </w:r>
                </w:p>
              </w:tc>
              <w:tc>
                <w:tcPr>
                  <w:tcW w:w="956" w:type="pct"/>
                  <w:tcBorders>
                    <w:tl2br w:val="nil"/>
                    <w:tr2bl w:val="nil"/>
                  </w:tcBorders>
                  <w:vAlign w:val="center"/>
                </w:tcPr>
                <w:p w14:paraId="20CD890B">
                  <w:pPr>
                    <w:autoSpaceDE w:val="0"/>
                    <w:autoSpaceDN w:val="0"/>
                    <w:adjustRightInd w:val="0"/>
                    <w:snapToGrid w:val="0"/>
                    <w:spacing w:line="240" w:lineRule="auto"/>
                    <w:ind w:firstLine="0" w:firstLineChars="0"/>
                    <w:jc w:val="center"/>
                    <w:rPr>
                      <w:rFonts w:hint="eastAsia"/>
                      <w:snapToGrid w:val="0"/>
                      <w:sz w:val="21"/>
                      <w:szCs w:val="21"/>
                    </w:rPr>
                  </w:pPr>
                  <w:r>
                    <w:rPr>
                      <w:rFonts w:hint="eastAsia"/>
                      <w:snapToGrid w:val="0"/>
                      <w:sz w:val="21"/>
                      <w:szCs w:val="21"/>
                    </w:rPr>
                    <w:t>HW49其他废物</w:t>
                  </w:r>
                </w:p>
              </w:tc>
              <w:tc>
                <w:tcPr>
                  <w:tcW w:w="724" w:type="pct"/>
                  <w:tcBorders>
                    <w:tl2br w:val="nil"/>
                    <w:tr2bl w:val="nil"/>
                  </w:tcBorders>
                  <w:vAlign w:val="center"/>
                </w:tcPr>
                <w:p w14:paraId="723F8FF3">
                  <w:pPr>
                    <w:autoSpaceDE w:val="0"/>
                    <w:autoSpaceDN w:val="0"/>
                    <w:adjustRightInd w:val="0"/>
                    <w:snapToGrid w:val="0"/>
                    <w:spacing w:line="240" w:lineRule="auto"/>
                    <w:ind w:firstLine="0" w:firstLineChars="0"/>
                    <w:jc w:val="center"/>
                    <w:rPr>
                      <w:snapToGrid w:val="0"/>
                      <w:sz w:val="21"/>
                      <w:szCs w:val="21"/>
                    </w:rPr>
                  </w:pPr>
                  <w:r>
                    <w:rPr>
                      <w:snapToGrid w:val="0"/>
                      <w:sz w:val="21"/>
                      <w:szCs w:val="21"/>
                    </w:rPr>
                    <w:t>900-041-49</w:t>
                  </w:r>
                </w:p>
              </w:tc>
              <w:tc>
                <w:tcPr>
                  <w:tcW w:w="568" w:type="pct"/>
                  <w:tcBorders>
                    <w:tl2br w:val="nil"/>
                    <w:tr2bl w:val="nil"/>
                  </w:tcBorders>
                  <w:vAlign w:val="center"/>
                </w:tcPr>
                <w:p w14:paraId="01F2239E">
                  <w:pPr>
                    <w:autoSpaceDE w:val="0"/>
                    <w:autoSpaceDN w:val="0"/>
                    <w:adjustRightInd w:val="0"/>
                    <w:snapToGrid w:val="0"/>
                    <w:spacing w:line="240" w:lineRule="auto"/>
                    <w:ind w:firstLine="0" w:firstLineChars="0"/>
                    <w:jc w:val="center"/>
                    <w:rPr>
                      <w:rFonts w:hint="eastAsia"/>
                      <w:snapToGrid w:val="0"/>
                      <w:sz w:val="21"/>
                      <w:szCs w:val="21"/>
                    </w:rPr>
                  </w:pPr>
                  <w:r>
                    <w:rPr>
                      <w:rFonts w:hint="eastAsia"/>
                      <w:snapToGrid w:val="0"/>
                      <w:sz w:val="21"/>
                      <w:szCs w:val="21"/>
                      <w:lang w:val="en-US" w:eastAsia="zh-CN"/>
                    </w:rPr>
                    <w:t>0.05</w:t>
                  </w:r>
                  <w:r>
                    <w:rPr>
                      <w:snapToGrid w:val="0"/>
                      <w:sz w:val="21"/>
                      <w:szCs w:val="21"/>
                    </w:rPr>
                    <w:t>t/a</w:t>
                  </w:r>
                </w:p>
              </w:tc>
              <w:tc>
                <w:tcPr>
                  <w:tcW w:w="655" w:type="pct"/>
                  <w:tcBorders>
                    <w:tl2br w:val="nil"/>
                    <w:tr2bl w:val="nil"/>
                  </w:tcBorders>
                  <w:vAlign w:val="center"/>
                </w:tcPr>
                <w:p w14:paraId="1B664E97">
                  <w:pPr>
                    <w:autoSpaceDE w:val="0"/>
                    <w:autoSpaceDN w:val="0"/>
                    <w:adjustRightInd w:val="0"/>
                    <w:snapToGrid w:val="0"/>
                    <w:spacing w:line="240" w:lineRule="auto"/>
                    <w:ind w:firstLine="0" w:firstLineChars="0"/>
                    <w:jc w:val="center"/>
                    <w:rPr>
                      <w:rFonts w:hint="eastAsia" w:eastAsia="宋体"/>
                      <w:snapToGrid w:val="0"/>
                      <w:sz w:val="21"/>
                      <w:szCs w:val="21"/>
                      <w:lang w:eastAsia="zh-CN"/>
                    </w:rPr>
                  </w:pPr>
                  <w:r>
                    <w:rPr>
                      <w:rFonts w:hint="eastAsia"/>
                      <w:snapToGrid w:val="0"/>
                      <w:sz w:val="21"/>
                      <w:szCs w:val="21"/>
                      <w:lang w:eastAsia="zh-CN"/>
                    </w:rPr>
                    <w:t>擦洗工序</w:t>
                  </w:r>
                </w:p>
              </w:tc>
              <w:tc>
                <w:tcPr>
                  <w:tcW w:w="462" w:type="pct"/>
                  <w:tcBorders>
                    <w:tl2br w:val="nil"/>
                    <w:tr2bl w:val="nil"/>
                  </w:tcBorders>
                  <w:vAlign w:val="center"/>
                </w:tcPr>
                <w:p w14:paraId="7237FA16">
                  <w:pPr>
                    <w:autoSpaceDE w:val="0"/>
                    <w:autoSpaceDN w:val="0"/>
                    <w:adjustRightInd w:val="0"/>
                    <w:snapToGrid w:val="0"/>
                    <w:spacing w:line="240" w:lineRule="auto"/>
                    <w:ind w:firstLine="0" w:firstLineChars="0"/>
                    <w:jc w:val="center"/>
                    <w:rPr>
                      <w:rFonts w:hint="eastAsia"/>
                      <w:snapToGrid w:val="0"/>
                      <w:sz w:val="21"/>
                      <w:szCs w:val="21"/>
                    </w:rPr>
                  </w:pPr>
                  <w:r>
                    <w:rPr>
                      <w:rFonts w:hint="eastAsia"/>
                      <w:snapToGrid w:val="0"/>
                      <w:sz w:val="21"/>
                      <w:szCs w:val="21"/>
                    </w:rPr>
                    <w:t>每</w:t>
                  </w:r>
                  <w:r>
                    <w:rPr>
                      <w:rFonts w:hint="eastAsia"/>
                      <w:lang w:eastAsia="zh-CN"/>
                    </w:rPr>
                    <w:t>天</w:t>
                  </w:r>
                  <w:r>
                    <w:rPr>
                      <w:rFonts w:hint="eastAsia"/>
                      <w:snapToGrid w:val="0"/>
                      <w:sz w:val="21"/>
                      <w:szCs w:val="21"/>
                      <w:lang w:val="en-US" w:eastAsia="zh-CN"/>
                    </w:rPr>
                    <w:t xml:space="preserve"> </w:t>
                  </w:r>
                </w:p>
              </w:tc>
              <w:tc>
                <w:tcPr>
                  <w:tcW w:w="414" w:type="pct"/>
                  <w:tcBorders>
                    <w:tl2br w:val="nil"/>
                    <w:tr2bl w:val="nil"/>
                  </w:tcBorders>
                  <w:vAlign w:val="center"/>
                </w:tcPr>
                <w:p w14:paraId="43196E47">
                  <w:pPr>
                    <w:autoSpaceDE w:val="0"/>
                    <w:autoSpaceDN w:val="0"/>
                    <w:adjustRightInd w:val="0"/>
                    <w:snapToGrid w:val="0"/>
                    <w:spacing w:line="240" w:lineRule="auto"/>
                    <w:ind w:firstLine="0" w:firstLineChars="0"/>
                    <w:jc w:val="center"/>
                    <w:rPr>
                      <w:snapToGrid w:val="0"/>
                      <w:sz w:val="21"/>
                      <w:szCs w:val="21"/>
                    </w:rPr>
                  </w:pPr>
                  <w:r>
                    <w:rPr>
                      <w:snapToGrid w:val="0"/>
                      <w:sz w:val="21"/>
                      <w:szCs w:val="21"/>
                    </w:rPr>
                    <w:t>T，I</w:t>
                  </w:r>
                </w:p>
              </w:tc>
              <w:tc>
                <w:tcPr>
                  <w:tcW w:w="652" w:type="pct"/>
                  <w:vMerge w:val="continue"/>
                  <w:tcBorders>
                    <w:tl2br w:val="nil"/>
                    <w:tr2bl w:val="nil"/>
                  </w:tcBorders>
                  <w:vAlign w:val="center"/>
                </w:tcPr>
                <w:p w14:paraId="3E9D5B07">
                  <w:pPr>
                    <w:autoSpaceDE w:val="0"/>
                    <w:autoSpaceDN w:val="0"/>
                    <w:adjustRightInd w:val="0"/>
                    <w:snapToGrid w:val="0"/>
                    <w:spacing w:line="240" w:lineRule="auto"/>
                    <w:ind w:firstLine="0" w:firstLineChars="0"/>
                    <w:jc w:val="center"/>
                    <w:rPr>
                      <w:snapToGrid w:val="0"/>
                      <w:sz w:val="21"/>
                      <w:szCs w:val="21"/>
                    </w:rPr>
                  </w:pPr>
                </w:p>
              </w:tc>
            </w:tr>
          </w:tbl>
          <w:p w14:paraId="171E5E18">
            <w:pPr>
              <w:autoSpaceDE w:val="0"/>
              <w:autoSpaceDN w:val="0"/>
              <w:adjustRightInd w:val="0"/>
              <w:snapToGrid w:val="0"/>
              <w:spacing w:line="520" w:lineRule="exact"/>
              <w:ind w:firstLine="480"/>
              <w:rPr>
                <w:snapToGrid w:val="0"/>
              </w:rPr>
            </w:pPr>
            <w:r>
              <w:rPr>
                <w:snapToGrid w:val="0"/>
              </w:rPr>
              <w:t>危废暂存间内危险废物装入暂存桶内，并分区、分层整齐堆放，粘贴危废标签。建立严格管理制度，定期对危废贮存容器及危废储存间进行检查，若发现容器破裂或地面出现裂痕应及时采取措施，避免危废泄露或下渗，污染区域水环境；库房内采取全面通风的措施，设安全照明设施，设置干粉灭火器，并建立严格管理制度，定期检查。危险废物的转运严格按照有关规定，实行联单制度。</w:t>
            </w:r>
          </w:p>
          <w:p w14:paraId="06D1068C">
            <w:pPr>
              <w:autoSpaceDE w:val="0"/>
              <w:autoSpaceDN w:val="0"/>
              <w:adjustRightInd w:val="0"/>
              <w:snapToGrid w:val="0"/>
              <w:spacing w:line="520" w:lineRule="exact"/>
              <w:ind w:firstLine="480"/>
            </w:pPr>
            <w:r>
              <w:t>危险废物暂存间及危险废物管理应严格按照《危险废物贮存污染控制标准》（GB18597-20</w:t>
            </w:r>
            <w:r>
              <w:rPr>
                <w:rFonts w:hint="eastAsia"/>
              </w:rPr>
              <w:t>23</w:t>
            </w:r>
            <w:r>
              <w:t>）和《河南省环境保护厅关于印发河南省危险废物规范化管理工作指南（试行）的通知》（豫环文[2012]18号）要求设置，具体贮存、运输及管理措施如下：</w:t>
            </w:r>
          </w:p>
          <w:p w14:paraId="61D23FB5">
            <w:pPr>
              <w:autoSpaceDE w:val="0"/>
              <w:autoSpaceDN w:val="0"/>
              <w:adjustRightInd w:val="0"/>
              <w:snapToGrid w:val="0"/>
              <w:spacing w:line="520" w:lineRule="exact"/>
              <w:ind w:firstLine="480"/>
              <w:rPr>
                <w:snapToGrid w:val="0"/>
              </w:rPr>
            </w:pPr>
            <w:r>
              <w:rPr>
                <w:snapToGrid w:val="0"/>
              </w:rPr>
              <w:t>①产生危险废物的车间，必须向公司质量安全环保部门申报危险废物的种类、产生量、流向、贮存、处置等有关资料，制定危险废物管理计划，并报公司质量安全环保部门审批。管理计划应当包括减少危险废物产生量和危害性的措施，以及危险废物贮存、利用、处置措施。公司质量安全环保部门负责编制公司危险废物管理计划，危险废物管理计划每年编制一次。</w:t>
            </w:r>
          </w:p>
          <w:p w14:paraId="731BCB36">
            <w:pPr>
              <w:autoSpaceDE w:val="0"/>
              <w:autoSpaceDN w:val="0"/>
              <w:adjustRightInd w:val="0"/>
              <w:snapToGrid w:val="0"/>
              <w:spacing w:line="520" w:lineRule="exact"/>
              <w:ind w:firstLine="480"/>
              <w:rPr>
                <w:snapToGrid w:val="0"/>
              </w:rPr>
            </w:pPr>
            <w:r>
              <w:rPr>
                <w:snapToGrid w:val="0"/>
              </w:rPr>
              <w:t>②危险废物的容器和包装物以及收集、贮存、运输、处置危险废物的设施、场所，必须设置危险废物识别标志，危废临时储存室地面与墙面需涂刷防渗漆，墙面涂刷高度不低于0.5m，表层无裂痕，保证渗透系数≤10</w:t>
            </w:r>
            <w:r>
              <w:rPr>
                <w:snapToGrid w:val="0"/>
                <w:vertAlign w:val="superscript"/>
              </w:rPr>
              <w:t>-10</w:t>
            </w:r>
            <w:r>
              <w:rPr>
                <w:snapToGrid w:val="0"/>
              </w:rPr>
              <w:t>cm/s；存放区四周设有围挡，以免危废容器破裂，导致危险废物泄露蔓延污染土壤和地下水。</w:t>
            </w:r>
          </w:p>
          <w:p w14:paraId="7F974714">
            <w:pPr>
              <w:autoSpaceDE w:val="0"/>
              <w:autoSpaceDN w:val="0"/>
              <w:adjustRightInd w:val="0"/>
              <w:snapToGrid w:val="0"/>
              <w:spacing w:line="520" w:lineRule="exact"/>
              <w:ind w:firstLine="480"/>
              <w:rPr>
                <w:snapToGrid w:val="0"/>
              </w:rPr>
            </w:pPr>
            <w:r>
              <w:rPr>
                <w:snapToGrid w:val="0"/>
              </w:rPr>
              <w:t>③收集、贮存危险废物，必须按照危险废物特性分类进行。禁止混合收集、贮存、运输、处置性质不相容而未经安全性处置的危险废物。</w:t>
            </w:r>
          </w:p>
          <w:p w14:paraId="7B1E6367">
            <w:pPr>
              <w:autoSpaceDE w:val="0"/>
              <w:autoSpaceDN w:val="0"/>
              <w:adjustRightInd w:val="0"/>
              <w:snapToGrid w:val="0"/>
              <w:spacing w:line="520" w:lineRule="exact"/>
              <w:ind w:firstLine="480"/>
              <w:rPr>
                <w:snapToGrid w:val="0"/>
              </w:rPr>
            </w:pPr>
            <w:r>
              <w:rPr>
                <w:snapToGrid w:val="0"/>
              </w:rPr>
              <w:t>④禁止将危险废物混入一般固体废物中贮存。</w:t>
            </w:r>
          </w:p>
          <w:p w14:paraId="0C2D5F4E">
            <w:pPr>
              <w:autoSpaceDE w:val="0"/>
              <w:autoSpaceDN w:val="0"/>
              <w:adjustRightInd w:val="0"/>
              <w:snapToGrid w:val="0"/>
              <w:spacing w:line="520" w:lineRule="exact"/>
              <w:ind w:firstLine="480"/>
              <w:rPr>
                <w:snapToGrid w:val="0"/>
              </w:rPr>
            </w:pPr>
            <w:r>
              <w:rPr>
                <w:snapToGrid w:val="0"/>
              </w:rPr>
              <w:t>⑤贮存危险废物必须采取符合国家环境保护标准的防护措施，并不得超过一年；确需延长期限的，必须提前一个月报</w:t>
            </w:r>
            <w:r>
              <w:rPr>
                <w:rFonts w:hint="eastAsia"/>
                <w:snapToGrid w:val="0"/>
                <w:lang w:eastAsia="zh-CN"/>
              </w:rPr>
              <w:t>颁发排污许可证的生态环境主管部门</w:t>
            </w:r>
            <w:r>
              <w:rPr>
                <w:snapToGrid w:val="0"/>
              </w:rPr>
              <w:t>批准。</w:t>
            </w:r>
          </w:p>
          <w:p w14:paraId="5FFF2B13">
            <w:pPr>
              <w:autoSpaceDE w:val="0"/>
              <w:autoSpaceDN w:val="0"/>
              <w:adjustRightInd w:val="0"/>
              <w:snapToGrid w:val="0"/>
              <w:spacing w:line="520" w:lineRule="exact"/>
              <w:ind w:firstLine="480"/>
              <w:rPr>
                <w:snapToGrid w:val="0"/>
              </w:rPr>
            </w:pPr>
            <w:r>
              <w:rPr>
                <w:snapToGrid w:val="0"/>
              </w:rPr>
              <w:t>⑥收集、贮存、运输、处置危险废物的场所、设施、设备和容器、包装物及其他物品转作他用时，必须经过消除污染的处理，方可使用。</w:t>
            </w:r>
          </w:p>
          <w:p w14:paraId="482289AF">
            <w:pPr>
              <w:autoSpaceDE w:val="0"/>
              <w:autoSpaceDN w:val="0"/>
              <w:adjustRightInd w:val="0"/>
              <w:snapToGrid w:val="0"/>
              <w:spacing w:line="520" w:lineRule="exact"/>
              <w:ind w:firstLine="480"/>
              <w:rPr>
                <w:snapToGrid w:val="0"/>
              </w:rPr>
            </w:pPr>
            <w:r>
              <w:rPr>
                <w:snapToGrid w:val="0"/>
              </w:rPr>
              <w:t>⑦发生或者有证据证明可能发生危险废物严重污染环境、威胁居民生命财产安全时，公司质量安全环保部根据需要可责令停止导致或者可能导致环境污染事故的作业，采取防止或者减轻危害的有效措施。</w:t>
            </w:r>
          </w:p>
          <w:p w14:paraId="29777062">
            <w:pPr>
              <w:autoSpaceDE w:val="0"/>
              <w:autoSpaceDN w:val="0"/>
              <w:adjustRightInd w:val="0"/>
              <w:snapToGrid w:val="0"/>
              <w:spacing w:line="520" w:lineRule="exact"/>
              <w:ind w:firstLine="480"/>
              <w:rPr>
                <w:snapToGrid w:val="0"/>
              </w:rPr>
            </w:pPr>
            <w:r>
              <w:rPr>
                <w:snapToGrid w:val="0"/>
              </w:rPr>
              <w:t>⑧转移危险废物的，必须按照国家有关规定填写危险废物转移联单。</w:t>
            </w:r>
          </w:p>
          <w:p w14:paraId="1F046E27">
            <w:pPr>
              <w:autoSpaceDE w:val="0"/>
              <w:autoSpaceDN w:val="0"/>
              <w:adjustRightInd w:val="0"/>
              <w:snapToGrid w:val="0"/>
              <w:spacing w:line="520" w:lineRule="exact"/>
              <w:ind w:firstLine="480"/>
              <w:rPr>
                <w:snapToGrid w:val="0"/>
              </w:rPr>
            </w:pPr>
            <w:r>
              <w:rPr>
                <w:snapToGrid w:val="0"/>
              </w:rPr>
              <w:t>⑨公司环保部负责办理危险废物转移和接受地</w:t>
            </w:r>
            <w:r>
              <w:rPr>
                <w:rFonts w:hint="eastAsia"/>
                <w:snapToGrid w:val="0"/>
              </w:rPr>
              <w:t>环</w:t>
            </w:r>
            <w:r>
              <w:rPr>
                <w:snapToGrid w:val="0"/>
              </w:rPr>
              <w:t>境保护行政审批手续。</w:t>
            </w:r>
          </w:p>
          <w:p w14:paraId="60A4D641">
            <w:pPr>
              <w:autoSpaceDE w:val="0"/>
              <w:autoSpaceDN w:val="0"/>
              <w:adjustRightInd w:val="0"/>
              <w:snapToGrid w:val="0"/>
              <w:spacing w:line="520" w:lineRule="exact"/>
              <w:ind w:firstLine="480"/>
              <w:rPr>
                <w:snapToGrid w:val="0"/>
              </w:rPr>
            </w:pPr>
            <w:r>
              <w:rPr>
                <w:snapToGrid w:val="0"/>
              </w:rPr>
              <w:t>本项目危废贮存场所基本信息见下表。</w:t>
            </w:r>
          </w:p>
          <w:p w14:paraId="78C06CD6">
            <w:pPr>
              <w:autoSpaceDE w:val="0"/>
              <w:autoSpaceDN w:val="0"/>
              <w:adjustRightInd w:val="0"/>
              <w:snapToGrid w:val="0"/>
              <w:spacing w:line="520" w:lineRule="exact"/>
              <w:ind w:firstLine="960" w:firstLineChars="400"/>
              <w:rPr>
                <w:rFonts w:eastAsia="黑体"/>
                <w:snapToGrid w:val="0"/>
                <w:kern w:val="44"/>
              </w:rPr>
            </w:pPr>
            <w:r>
              <w:rPr>
                <w:rFonts w:eastAsia="黑体"/>
                <w:snapToGrid w:val="0"/>
                <w:kern w:val="44"/>
              </w:rPr>
              <w:t>表4-</w:t>
            </w:r>
            <w:r>
              <w:rPr>
                <w:rFonts w:hint="eastAsia" w:eastAsia="黑体"/>
                <w:snapToGrid w:val="0"/>
                <w:kern w:val="44"/>
              </w:rPr>
              <w:t>18</w:t>
            </w:r>
            <w:r>
              <w:rPr>
                <w:rFonts w:eastAsia="黑体"/>
                <w:snapToGrid w:val="0"/>
                <w:kern w:val="44"/>
              </w:rPr>
              <w:t xml:space="preserve">              危险废物贮存场所基本情况</w:t>
            </w:r>
          </w:p>
          <w:tbl>
            <w:tblPr>
              <w:tblStyle w:val="26"/>
              <w:tblW w:w="8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29"/>
              <w:gridCol w:w="1666"/>
              <w:gridCol w:w="1280"/>
              <w:gridCol w:w="419"/>
              <w:gridCol w:w="840"/>
              <w:gridCol w:w="734"/>
              <w:gridCol w:w="821"/>
              <w:gridCol w:w="640"/>
            </w:tblGrid>
            <w:tr w14:paraId="3106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1" w:type="pct"/>
                  <w:tcBorders>
                    <w:tl2br w:val="nil"/>
                    <w:tr2bl w:val="nil"/>
                  </w:tcBorders>
                  <w:vAlign w:val="center"/>
                </w:tcPr>
                <w:p w14:paraId="3F0CABBD">
                  <w:pPr>
                    <w:autoSpaceDE w:val="0"/>
                    <w:autoSpaceDN w:val="0"/>
                    <w:adjustRightInd w:val="0"/>
                    <w:snapToGrid w:val="0"/>
                    <w:spacing w:line="240" w:lineRule="auto"/>
                    <w:ind w:firstLine="0" w:firstLineChars="0"/>
                    <w:jc w:val="center"/>
                    <w:rPr>
                      <w:b/>
                      <w:bCs/>
                      <w:sz w:val="21"/>
                      <w:szCs w:val="21"/>
                    </w:rPr>
                  </w:pPr>
                  <w:r>
                    <w:rPr>
                      <w:b/>
                      <w:bCs/>
                      <w:sz w:val="21"/>
                      <w:szCs w:val="21"/>
                    </w:rPr>
                    <w:t>贮存场所</w:t>
                  </w:r>
                </w:p>
              </w:tc>
              <w:tc>
                <w:tcPr>
                  <w:tcW w:w="691" w:type="pct"/>
                  <w:tcBorders>
                    <w:tl2br w:val="nil"/>
                    <w:tr2bl w:val="nil"/>
                  </w:tcBorders>
                  <w:vAlign w:val="center"/>
                </w:tcPr>
                <w:p w14:paraId="70B06324">
                  <w:pPr>
                    <w:autoSpaceDE w:val="0"/>
                    <w:autoSpaceDN w:val="0"/>
                    <w:adjustRightInd w:val="0"/>
                    <w:snapToGrid w:val="0"/>
                    <w:spacing w:line="240" w:lineRule="auto"/>
                    <w:ind w:firstLine="0" w:firstLineChars="0"/>
                    <w:jc w:val="center"/>
                    <w:rPr>
                      <w:b/>
                      <w:bCs/>
                      <w:sz w:val="21"/>
                      <w:szCs w:val="21"/>
                    </w:rPr>
                  </w:pPr>
                  <w:r>
                    <w:rPr>
                      <w:b/>
                      <w:bCs/>
                      <w:sz w:val="21"/>
                      <w:szCs w:val="21"/>
                    </w:rPr>
                    <w:t>危险废物名称</w:t>
                  </w:r>
                </w:p>
              </w:tc>
              <w:tc>
                <w:tcPr>
                  <w:tcW w:w="1019" w:type="pct"/>
                  <w:tcBorders>
                    <w:tl2br w:val="nil"/>
                    <w:tr2bl w:val="nil"/>
                  </w:tcBorders>
                  <w:vAlign w:val="center"/>
                </w:tcPr>
                <w:p w14:paraId="69E7A7BF">
                  <w:pPr>
                    <w:autoSpaceDE w:val="0"/>
                    <w:autoSpaceDN w:val="0"/>
                    <w:adjustRightInd w:val="0"/>
                    <w:snapToGrid w:val="0"/>
                    <w:spacing w:line="240" w:lineRule="auto"/>
                    <w:ind w:firstLine="0" w:firstLineChars="0"/>
                    <w:jc w:val="center"/>
                    <w:rPr>
                      <w:b/>
                      <w:bCs/>
                      <w:sz w:val="21"/>
                      <w:szCs w:val="21"/>
                    </w:rPr>
                  </w:pPr>
                  <w:r>
                    <w:rPr>
                      <w:b/>
                      <w:bCs/>
                      <w:sz w:val="21"/>
                      <w:szCs w:val="21"/>
                    </w:rPr>
                    <w:t>危险废物类别</w:t>
                  </w:r>
                </w:p>
              </w:tc>
              <w:tc>
                <w:tcPr>
                  <w:tcW w:w="783" w:type="pct"/>
                  <w:tcBorders>
                    <w:tl2br w:val="nil"/>
                    <w:tr2bl w:val="nil"/>
                  </w:tcBorders>
                  <w:vAlign w:val="center"/>
                </w:tcPr>
                <w:p w14:paraId="100741D8">
                  <w:pPr>
                    <w:autoSpaceDE w:val="0"/>
                    <w:autoSpaceDN w:val="0"/>
                    <w:adjustRightInd w:val="0"/>
                    <w:snapToGrid w:val="0"/>
                    <w:spacing w:line="240" w:lineRule="auto"/>
                    <w:ind w:firstLine="0" w:firstLineChars="0"/>
                    <w:jc w:val="center"/>
                    <w:rPr>
                      <w:b/>
                      <w:bCs/>
                      <w:sz w:val="21"/>
                      <w:szCs w:val="21"/>
                    </w:rPr>
                  </w:pPr>
                  <w:r>
                    <w:rPr>
                      <w:b/>
                      <w:bCs/>
                      <w:sz w:val="21"/>
                      <w:szCs w:val="21"/>
                    </w:rPr>
                    <w:t>危险废物</w:t>
                  </w:r>
                </w:p>
                <w:p w14:paraId="52F98593">
                  <w:pPr>
                    <w:autoSpaceDE w:val="0"/>
                    <w:autoSpaceDN w:val="0"/>
                    <w:adjustRightInd w:val="0"/>
                    <w:snapToGrid w:val="0"/>
                    <w:spacing w:line="240" w:lineRule="auto"/>
                    <w:ind w:firstLine="0" w:firstLineChars="0"/>
                    <w:jc w:val="center"/>
                    <w:rPr>
                      <w:b/>
                      <w:bCs/>
                      <w:sz w:val="21"/>
                      <w:szCs w:val="21"/>
                    </w:rPr>
                  </w:pPr>
                  <w:r>
                    <w:rPr>
                      <w:b/>
                      <w:bCs/>
                      <w:sz w:val="21"/>
                      <w:szCs w:val="21"/>
                    </w:rPr>
                    <w:t>代码</w:t>
                  </w:r>
                </w:p>
              </w:tc>
              <w:tc>
                <w:tcPr>
                  <w:tcW w:w="256" w:type="pct"/>
                  <w:tcBorders>
                    <w:tl2br w:val="nil"/>
                    <w:tr2bl w:val="nil"/>
                  </w:tcBorders>
                  <w:vAlign w:val="center"/>
                </w:tcPr>
                <w:p w14:paraId="42E995B7">
                  <w:pPr>
                    <w:autoSpaceDE w:val="0"/>
                    <w:autoSpaceDN w:val="0"/>
                    <w:adjustRightInd w:val="0"/>
                    <w:snapToGrid w:val="0"/>
                    <w:spacing w:line="240" w:lineRule="auto"/>
                    <w:ind w:firstLine="0" w:firstLineChars="0"/>
                    <w:jc w:val="center"/>
                    <w:rPr>
                      <w:b/>
                      <w:bCs/>
                      <w:sz w:val="21"/>
                      <w:szCs w:val="21"/>
                    </w:rPr>
                  </w:pPr>
                  <w:r>
                    <w:rPr>
                      <w:b/>
                      <w:bCs/>
                      <w:sz w:val="21"/>
                      <w:szCs w:val="21"/>
                    </w:rPr>
                    <w:t>位置</w:t>
                  </w:r>
                </w:p>
              </w:tc>
              <w:tc>
                <w:tcPr>
                  <w:tcW w:w="514" w:type="pct"/>
                  <w:tcBorders>
                    <w:tl2br w:val="nil"/>
                    <w:tr2bl w:val="nil"/>
                  </w:tcBorders>
                  <w:vAlign w:val="center"/>
                </w:tcPr>
                <w:p w14:paraId="6E1CDD0D">
                  <w:pPr>
                    <w:autoSpaceDE w:val="0"/>
                    <w:autoSpaceDN w:val="0"/>
                    <w:adjustRightInd w:val="0"/>
                    <w:snapToGrid w:val="0"/>
                    <w:spacing w:line="240" w:lineRule="auto"/>
                    <w:ind w:firstLine="0" w:firstLineChars="0"/>
                    <w:jc w:val="center"/>
                    <w:rPr>
                      <w:b/>
                      <w:bCs/>
                      <w:sz w:val="21"/>
                      <w:szCs w:val="21"/>
                    </w:rPr>
                  </w:pPr>
                  <w:r>
                    <w:rPr>
                      <w:b/>
                      <w:bCs/>
                      <w:sz w:val="21"/>
                      <w:szCs w:val="21"/>
                    </w:rPr>
                    <w:t>占地</w:t>
                  </w:r>
                </w:p>
                <w:p w14:paraId="079446FB">
                  <w:pPr>
                    <w:autoSpaceDE w:val="0"/>
                    <w:autoSpaceDN w:val="0"/>
                    <w:adjustRightInd w:val="0"/>
                    <w:snapToGrid w:val="0"/>
                    <w:spacing w:line="240" w:lineRule="auto"/>
                    <w:ind w:firstLine="0" w:firstLineChars="0"/>
                    <w:jc w:val="center"/>
                    <w:rPr>
                      <w:b/>
                      <w:bCs/>
                      <w:sz w:val="21"/>
                      <w:szCs w:val="21"/>
                    </w:rPr>
                  </w:pPr>
                  <w:r>
                    <w:rPr>
                      <w:b/>
                      <w:bCs/>
                      <w:sz w:val="21"/>
                      <w:szCs w:val="21"/>
                    </w:rPr>
                    <w:t>面积（m</w:t>
                  </w:r>
                  <w:r>
                    <w:rPr>
                      <w:b/>
                      <w:bCs/>
                      <w:sz w:val="21"/>
                      <w:szCs w:val="21"/>
                      <w:vertAlign w:val="superscript"/>
                    </w:rPr>
                    <w:t>2</w:t>
                  </w:r>
                  <w:r>
                    <w:rPr>
                      <w:b/>
                      <w:bCs/>
                      <w:sz w:val="21"/>
                      <w:szCs w:val="21"/>
                    </w:rPr>
                    <w:t>）</w:t>
                  </w:r>
                </w:p>
              </w:tc>
              <w:tc>
                <w:tcPr>
                  <w:tcW w:w="449" w:type="pct"/>
                  <w:tcBorders>
                    <w:tl2br w:val="nil"/>
                    <w:tr2bl w:val="nil"/>
                  </w:tcBorders>
                  <w:vAlign w:val="center"/>
                </w:tcPr>
                <w:p w14:paraId="4DE5F43A">
                  <w:pPr>
                    <w:autoSpaceDE w:val="0"/>
                    <w:autoSpaceDN w:val="0"/>
                    <w:adjustRightInd w:val="0"/>
                    <w:snapToGrid w:val="0"/>
                    <w:spacing w:line="240" w:lineRule="auto"/>
                    <w:ind w:firstLine="0" w:firstLineChars="0"/>
                    <w:jc w:val="center"/>
                    <w:rPr>
                      <w:b/>
                      <w:bCs/>
                      <w:sz w:val="21"/>
                      <w:szCs w:val="21"/>
                    </w:rPr>
                  </w:pPr>
                  <w:r>
                    <w:rPr>
                      <w:b/>
                      <w:bCs/>
                      <w:sz w:val="21"/>
                      <w:szCs w:val="21"/>
                    </w:rPr>
                    <w:t>贮存方式</w:t>
                  </w:r>
                </w:p>
              </w:tc>
              <w:tc>
                <w:tcPr>
                  <w:tcW w:w="502" w:type="pct"/>
                  <w:tcBorders>
                    <w:tl2br w:val="nil"/>
                    <w:tr2bl w:val="nil"/>
                  </w:tcBorders>
                  <w:vAlign w:val="center"/>
                </w:tcPr>
                <w:p w14:paraId="32478EDA">
                  <w:pPr>
                    <w:autoSpaceDE w:val="0"/>
                    <w:autoSpaceDN w:val="0"/>
                    <w:adjustRightInd w:val="0"/>
                    <w:snapToGrid w:val="0"/>
                    <w:spacing w:line="240" w:lineRule="auto"/>
                    <w:ind w:firstLine="0" w:firstLineChars="0"/>
                    <w:jc w:val="center"/>
                    <w:rPr>
                      <w:b/>
                      <w:bCs/>
                      <w:sz w:val="21"/>
                      <w:szCs w:val="21"/>
                    </w:rPr>
                  </w:pPr>
                  <w:r>
                    <w:rPr>
                      <w:b/>
                      <w:bCs/>
                      <w:sz w:val="21"/>
                      <w:szCs w:val="21"/>
                    </w:rPr>
                    <w:t>贮存能力</w:t>
                  </w:r>
                </w:p>
              </w:tc>
              <w:tc>
                <w:tcPr>
                  <w:tcW w:w="391" w:type="pct"/>
                  <w:tcBorders>
                    <w:tl2br w:val="nil"/>
                    <w:tr2bl w:val="nil"/>
                  </w:tcBorders>
                  <w:vAlign w:val="center"/>
                </w:tcPr>
                <w:p w14:paraId="7D7AE18B">
                  <w:pPr>
                    <w:autoSpaceDE w:val="0"/>
                    <w:autoSpaceDN w:val="0"/>
                    <w:adjustRightInd w:val="0"/>
                    <w:snapToGrid w:val="0"/>
                    <w:spacing w:line="240" w:lineRule="auto"/>
                    <w:ind w:firstLine="0" w:firstLineChars="0"/>
                    <w:jc w:val="center"/>
                    <w:rPr>
                      <w:b/>
                      <w:bCs/>
                      <w:sz w:val="21"/>
                      <w:szCs w:val="21"/>
                    </w:rPr>
                  </w:pPr>
                  <w:r>
                    <w:rPr>
                      <w:b/>
                      <w:bCs/>
                      <w:sz w:val="21"/>
                      <w:szCs w:val="21"/>
                    </w:rPr>
                    <w:t>贮存周期</w:t>
                  </w:r>
                </w:p>
              </w:tc>
            </w:tr>
            <w:tr w14:paraId="373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1" w:type="pct"/>
                  <w:vMerge w:val="restart"/>
                  <w:tcBorders>
                    <w:tl2br w:val="nil"/>
                    <w:tr2bl w:val="nil"/>
                  </w:tcBorders>
                  <w:vAlign w:val="center"/>
                </w:tcPr>
                <w:p w14:paraId="324BAE28">
                  <w:pPr>
                    <w:autoSpaceDE w:val="0"/>
                    <w:autoSpaceDN w:val="0"/>
                    <w:adjustRightInd w:val="0"/>
                    <w:snapToGrid w:val="0"/>
                    <w:spacing w:line="240" w:lineRule="auto"/>
                    <w:ind w:firstLine="0" w:firstLineChars="0"/>
                    <w:jc w:val="center"/>
                    <w:rPr>
                      <w:sz w:val="21"/>
                      <w:szCs w:val="21"/>
                    </w:rPr>
                  </w:pPr>
                  <w:r>
                    <w:rPr>
                      <w:sz w:val="21"/>
                      <w:szCs w:val="21"/>
                    </w:rPr>
                    <w:t>危废暂存间</w:t>
                  </w:r>
                </w:p>
              </w:tc>
              <w:tc>
                <w:tcPr>
                  <w:tcW w:w="691" w:type="pct"/>
                  <w:tcBorders>
                    <w:tl2br w:val="nil"/>
                    <w:tr2bl w:val="nil"/>
                  </w:tcBorders>
                  <w:vAlign w:val="center"/>
                </w:tcPr>
                <w:p w14:paraId="47C5305F">
                  <w:pPr>
                    <w:autoSpaceDE w:val="0"/>
                    <w:autoSpaceDN w:val="0"/>
                    <w:adjustRightInd w:val="0"/>
                    <w:snapToGrid w:val="0"/>
                    <w:spacing w:line="240" w:lineRule="auto"/>
                    <w:ind w:firstLine="0" w:firstLineChars="0"/>
                    <w:jc w:val="center"/>
                    <w:rPr>
                      <w:sz w:val="21"/>
                      <w:szCs w:val="21"/>
                    </w:rPr>
                  </w:pPr>
                  <w:r>
                    <w:rPr>
                      <w:snapToGrid w:val="0"/>
                      <w:sz w:val="21"/>
                      <w:szCs w:val="21"/>
                    </w:rPr>
                    <w:t>废活性炭</w:t>
                  </w:r>
                </w:p>
              </w:tc>
              <w:tc>
                <w:tcPr>
                  <w:tcW w:w="1019" w:type="pct"/>
                  <w:tcBorders>
                    <w:tl2br w:val="nil"/>
                    <w:tr2bl w:val="nil"/>
                  </w:tcBorders>
                  <w:vAlign w:val="center"/>
                </w:tcPr>
                <w:p w14:paraId="145FB66B">
                  <w:pPr>
                    <w:autoSpaceDE w:val="0"/>
                    <w:autoSpaceDN w:val="0"/>
                    <w:adjustRightInd w:val="0"/>
                    <w:snapToGrid w:val="0"/>
                    <w:spacing w:line="240" w:lineRule="auto"/>
                    <w:ind w:firstLine="0" w:firstLineChars="0"/>
                    <w:jc w:val="center"/>
                    <w:rPr>
                      <w:sz w:val="21"/>
                      <w:szCs w:val="21"/>
                    </w:rPr>
                  </w:pPr>
                  <w:r>
                    <w:rPr>
                      <w:snapToGrid w:val="0"/>
                      <w:sz w:val="21"/>
                      <w:szCs w:val="21"/>
                    </w:rPr>
                    <w:t>HW49其他废物</w:t>
                  </w:r>
                </w:p>
              </w:tc>
              <w:tc>
                <w:tcPr>
                  <w:tcW w:w="783" w:type="pct"/>
                  <w:tcBorders>
                    <w:tl2br w:val="nil"/>
                    <w:tr2bl w:val="nil"/>
                  </w:tcBorders>
                  <w:vAlign w:val="center"/>
                </w:tcPr>
                <w:p w14:paraId="5526F9AA">
                  <w:pPr>
                    <w:autoSpaceDE w:val="0"/>
                    <w:autoSpaceDN w:val="0"/>
                    <w:adjustRightInd w:val="0"/>
                    <w:snapToGrid w:val="0"/>
                    <w:spacing w:line="240" w:lineRule="auto"/>
                    <w:ind w:firstLine="0" w:firstLineChars="0"/>
                    <w:jc w:val="center"/>
                    <w:rPr>
                      <w:sz w:val="21"/>
                      <w:szCs w:val="21"/>
                    </w:rPr>
                  </w:pPr>
                  <w:r>
                    <w:rPr>
                      <w:snapToGrid w:val="0"/>
                      <w:sz w:val="21"/>
                      <w:szCs w:val="21"/>
                    </w:rPr>
                    <w:t>900-039-49</w:t>
                  </w:r>
                </w:p>
              </w:tc>
              <w:tc>
                <w:tcPr>
                  <w:tcW w:w="256" w:type="pct"/>
                  <w:vMerge w:val="restart"/>
                  <w:tcBorders>
                    <w:tl2br w:val="nil"/>
                    <w:tr2bl w:val="nil"/>
                  </w:tcBorders>
                  <w:vAlign w:val="center"/>
                </w:tcPr>
                <w:p w14:paraId="01AD2A61">
                  <w:pPr>
                    <w:autoSpaceDE w:val="0"/>
                    <w:autoSpaceDN w:val="0"/>
                    <w:adjustRightInd w:val="0"/>
                    <w:snapToGrid w:val="0"/>
                    <w:spacing w:line="240" w:lineRule="auto"/>
                    <w:ind w:firstLine="0" w:firstLineChars="0"/>
                    <w:jc w:val="center"/>
                    <w:rPr>
                      <w:rFonts w:hint="eastAsia" w:eastAsia="宋体"/>
                      <w:sz w:val="21"/>
                      <w:szCs w:val="21"/>
                      <w:lang w:eastAsia="zh-CN"/>
                    </w:rPr>
                  </w:pPr>
                  <w:r>
                    <w:rPr>
                      <w:rFonts w:hint="eastAsia"/>
                      <w:sz w:val="21"/>
                      <w:szCs w:val="21"/>
                      <w:lang w:eastAsia="zh-CN"/>
                    </w:rPr>
                    <w:t>二层</w:t>
                  </w:r>
                </w:p>
              </w:tc>
              <w:tc>
                <w:tcPr>
                  <w:tcW w:w="514" w:type="pct"/>
                  <w:vMerge w:val="restart"/>
                  <w:tcBorders>
                    <w:tl2br w:val="nil"/>
                    <w:tr2bl w:val="nil"/>
                  </w:tcBorders>
                  <w:vAlign w:val="center"/>
                </w:tcPr>
                <w:p w14:paraId="089093A7">
                  <w:pPr>
                    <w:autoSpaceDE w:val="0"/>
                    <w:autoSpaceDN w:val="0"/>
                    <w:adjustRightInd w:val="0"/>
                    <w:snapToGrid w:val="0"/>
                    <w:spacing w:line="240" w:lineRule="auto"/>
                    <w:ind w:firstLine="0" w:firstLineChars="0"/>
                    <w:jc w:val="center"/>
                    <w:rPr>
                      <w:sz w:val="21"/>
                      <w:szCs w:val="21"/>
                    </w:rPr>
                  </w:pPr>
                  <w:r>
                    <w:rPr>
                      <w:rFonts w:hint="eastAsia"/>
                      <w:sz w:val="21"/>
                      <w:szCs w:val="21"/>
                    </w:rPr>
                    <w:t>10</w:t>
                  </w:r>
                </w:p>
              </w:tc>
              <w:tc>
                <w:tcPr>
                  <w:tcW w:w="449" w:type="pct"/>
                  <w:tcBorders>
                    <w:tl2br w:val="nil"/>
                    <w:tr2bl w:val="nil"/>
                  </w:tcBorders>
                  <w:vAlign w:val="center"/>
                </w:tcPr>
                <w:p w14:paraId="264F8F08">
                  <w:pPr>
                    <w:autoSpaceDE w:val="0"/>
                    <w:autoSpaceDN w:val="0"/>
                    <w:adjustRightInd w:val="0"/>
                    <w:snapToGrid w:val="0"/>
                    <w:spacing w:line="240" w:lineRule="auto"/>
                    <w:ind w:firstLine="0" w:firstLineChars="0"/>
                    <w:jc w:val="center"/>
                    <w:rPr>
                      <w:sz w:val="21"/>
                      <w:szCs w:val="21"/>
                    </w:rPr>
                  </w:pPr>
                  <w:r>
                    <w:rPr>
                      <w:rFonts w:hint="eastAsia"/>
                      <w:sz w:val="21"/>
                      <w:szCs w:val="21"/>
                    </w:rPr>
                    <w:t>桶装</w:t>
                  </w:r>
                </w:p>
              </w:tc>
              <w:tc>
                <w:tcPr>
                  <w:tcW w:w="502" w:type="pct"/>
                  <w:tcBorders>
                    <w:tl2br w:val="nil"/>
                    <w:tr2bl w:val="nil"/>
                  </w:tcBorders>
                  <w:vAlign w:val="center"/>
                </w:tcPr>
                <w:p w14:paraId="4437FF0E">
                  <w:pPr>
                    <w:autoSpaceDE w:val="0"/>
                    <w:autoSpaceDN w:val="0"/>
                    <w:adjustRightInd w:val="0"/>
                    <w:snapToGrid w:val="0"/>
                    <w:spacing w:line="240" w:lineRule="auto"/>
                    <w:ind w:firstLine="0" w:firstLineChars="0"/>
                    <w:jc w:val="center"/>
                    <w:rPr>
                      <w:sz w:val="21"/>
                      <w:szCs w:val="21"/>
                    </w:rPr>
                  </w:pPr>
                  <w:r>
                    <w:rPr>
                      <w:rFonts w:hint="eastAsia"/>
                      <w:snapToGrid w:val="0"/>
                      <w:sz w:val="21"/>
                      <w:szCs w:val="21"/>
                    </w:rPr>
                    <w:t>1</w:t>
                  </w:r>
                  <w:r>
                    <w:rPr>
                      <w:rFonts w:hint="eastAsia"/>
                      <w:snapToGrid w:val="0"/>
                      <w:sz w:val="21"/>
                      <w:szCs w:val="21"/>
                      <w:lang w:val="en-US" w:eastAsia="zh-CN"/>
                    </w:rPr>
                    <w:t>.5</w:t>
                  </w:r>
                  <w:r>
                    <w:rPr>
                      <w:snapToGrid w:val="0"/>
                      <w:sz w:val="21"/>
                      <w:szCs w:val="21"/>
                    </w:rPr>
                    <w:t>t/a</w:t>
                  </w:r>
                </w:p>
              </w:tc>
              <w:tc>
                <w:tcPr>
                  <w:tcW w:w="391" w:type="pct"/>
                  <w:tcBorders>
                    <w:tl2br w:val="nil"/>
                    <w:tr2bl w:val="nil"/>
                  </w:tcBorders>
                  <w:vAlign w:val="center"/>
                </w:tcPr>
                <w:p w14:paraId="27FBE7B6">
                  <w:pPr>
                    <w:autoSpaceDE w:val="0"/>
                    <w:autoSpaceDN w:val="0"/>
                    <w:adjustRightInd w:val="0"/>
                    <w:snapToGrid w:val="0"/>
                    <w:spacing w:line="240" w:lineRule="auto"/>
                    <w:ind w:firstLine="0" w:firstLineChars="0"/>
                    <w:jc w:val="center"/>
                    <w:rPr>
                      <w:sz w:val="21"/>
                      <w:szCs w:val="21"/>
                    </w:rPr>
                  </w:pPr>
                  <w:r>
                    <w:rPr>
                      <w:rFonts w:hint="eastAsia"/>
                      <w:sz w:val="21"/>
                      <w:szCs w:val="21"/>
                    </w:rPr>
                    <w:t>一年</w:t>
                  </w:r>
                </w:p>
              </w:tc>
            </w:tr>
            <w:tr w14:paraId="59C8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1" w:type="pct"/>
                  <w:vMerge w:val="continue"/>
                  <w:tcBorders>
                    <w:tl2br w:val="nil"/>
                    <w:tr2bl w:val="nil"/>
                  </w:tcBorders>
                  <w:vAlign w:val="center"/>
                </w:tcPr>
                <w:p w14:paraId="473C0CD9">
                  <w:pPr>
                    <w:autoSpaceDE w:val="0"/>
                    <w:autoSpaceDN w:val="0"/>
                    <w:adjustRightInd w:val="0"/>
                    <w:snapToGrid w:val="0"/>
                    <w:spacing w:line="240" w:lineRule="auto"/>
                    <w:ind w:firstLine="0" w:firstLineChars="0"/>
                    <w:jc w:val="center"/>
                    <w:rPr>
                      <w:sz w:val="21"/>
                      <w:szCs w:val="21"/>
                    </w:rPr>
                  </w:pPr>
                </w:p>
              </w:tc>
              <w:tc>
                <w:tcPr>
                  <w:tcW w:w="691" w:type="pct"/>
                  <w:tcBorders>
                    <w:tl2br w:val="nil"/>
                    <w:tr2bl w:val="nil"/>
                  </w:tcBorders>
                  <w:vAlign w:val="center"/>
                </w:tcPr>
                <w:p w14:paraId="6C73AB4E">
                  <w:pPr>
                    <w:autoSpaceDE w:val="0"/>
                    <w:autoSpaceDN w:val="0"/>
                    <w:adjustRightInd w:val="0"/>
                    <w:snapToGrid w:val="0"/>
                    <w:spacing w:line="240" w:lineRule="auto"/>
                    <w:ind w:firstLine="0" w:firstLineChars="0"/>
                    <w:jc w:val="center"/>
                    <w:rPr>
                      <w:sz w:val="21"/>
                      <w:szCs w:val="21"/>
                    </w:rPr>
                  </w:pPr>
                  <w:r>
                    <w:rPr>
                      <w:snapToGrid w:val="0"/>
                      <w:sz w:val="21"/>
                      <w:szCs w:val="21"/>
                    </w:rPr>
                    <w:t>废催化剂</w:t>
                  </w:r>
                </w:p>
              </w:tc>
              <w:tc>
                <w:tcPr>
                  <w:tcW w:w="1019" w:type="pct"/>
                  <w:tcBorders>
                    <w:tl2br w:val="nil"/>
                    <w:tr2bl w:val="nil"/>
                  </w:tcBorders>
                  <w:vAlign w:val="center"/>
                </w:tcPr>
                <w:p w14:paraId="3BF70CA8">
                  <w:pPr>
                    <w:autoSpaceDE w:val="0"/>
                    <w:autoSpaceDN w:val="0"/>
                    <w:adjustRightInd w:val="0"/>
                    <w:snapToGrid w:val="0"/>
                    <w:spacing w:line="240" w:lineRule="auto"/>
                    <w:ind w:firstLine="0" w:firstLineChars="0"/>
                    <w:jc w:val="center"/>
                    <w:rPr>
                      <w:sz w:val="21"/>
                      <w:szCs w:val="21"/>
                    </w:rPr>
                  </w:pPr>
                  <w:r>
                    <w:rPr>
                      <w:snapToGrid w:val="0"/>
                      <w:sz w:val="21"/>
                      <w:szCs w:val="21"/>
                    </w:rPr>
                    <w:t>HW50废催化剂</w:t>
                  </w:r>
                </w:p>
              </w:tc>
              <w:tc>
                <w:tcPr>
                  <w:tcW w:w="783" w:type="pct"/>
                  <w:tcBorders>
                    <w:tl2br w:val="nil"/>
                    <w:tr2bl w:val="nil"/>
                  </w:tcBorders>
                  <w:vAlign w:val="center"/>
                </w:tcPr>
                <w:p w14:paraId="4C28CCEE">
                  <w:pPr>
                    <w:autoSpaceDE w:val="0"/>
                    <w:autoSpaceDN w:val="0"/>
                    <w:adjustRightInd w:val="0"/>
                    <w:snapToGrid w:val="0"/>
                    <w:spacing w:line="240" w:lineRule="auto"/>
                    <w:ind w:firstLine="0" w:firstLineChars="0"/>
                    <w:jc w:val="center"/>
                    <w:rPr>
                      <w:sz w:val="21"/>
                      <w:szCs w:val="21"/>
                    </w:rPr>
                  </w:pPr>
                  <w:r>
                    <w:rPr>
                      <w:snapToGrid w:val="0"/>
                      <w:sz w:val="21"/>
                      <w:szCs w:val="21"/>
                    </w:rPr>
                    <w:t>772-007-50</w:t>
                  </w:r>
                </w:p>
              </w:tc>
              <w:tc>
                <w:tcPr>
                  <w:tcW w:w="256" w:type="pct"/>
                  <w:vMerge w:val="continue"/>
                  <w:tcBorders>
                    <w:tl2br w:val="nil"/>
                    <w:tr2bl w:val="nil"/>
                  </w:tcBorders>
                  <w:vAlign w:val="center"/>
                </w:tcPr>
                <w:p w14:paraId="20025917">
                  <w:pPr>
                    <w:autoSpaceDE w:val="0"/>
                    <w:autoSpaceDN w:val="0"/>
                    <w:adjustRightInd w:val="0"/>
                    <w:snapToGrid w:val="0"/>
                    <w:spacing w:line="240" w:lineRule="auto"/>
                    <w:ind w:firstLine="0" w:firstLineChars="0"/>
                    <w:jc w:val="center"/>
                    <w:rPr>
                      <w:sz w:val="21"/>
                      <w:szCs w:val="21"/>
                    </w:rPr>
                  </w:pPr>
                </w:p>
              </w:tc>
              <w:tc>
                <w:tcPr>
                  <w:tcW w:w="514" w:type="pct"/>
                  <w:vMerge w:val="continue"/>
                  <w:tcBorders>
                    <w:tl2br w:val="nil"/>
                    <w:tr2bl w:val="nil"/>
                  </w:tcBorders>
                  <w:vAlign w:val="center"/>
                </w:tcPr>
                <w:p w14:paraId="08EFE774">
                  <w:pPr>
                    <w:autoSpaceDE w:val="0"/>
                    <w:autoSpaceDN w:val="0"/>
                    <w:adjustRightInd w:val="0"/>
                    <w:snapToGrid w:val="0"/>
                    <w:spacing w:line="240" w:lineRule="auto"/>
                    <w:ind w:firstLine="0" w:firstLineChars="0"/>
                    <w:jc w:val="center"/>
                    <w:rPr>
                      <w:sz w:val="21"/>
                      <w:szCs w:val="21"/>
                    </w:rPr>
                  </w:pPr>
                </w:p>
              </w:tc>
              <w:tc>
                <w:tcPr>
                  <w:tcW w:w="449" w:type="pct"/>
                  <w:tcBorders>
                    <w:tl2br w:val="nil"/>
                    <w:tr2bl w:val="nil"/>
                  </w:tcBorders>
                  <w:vAlign w:val="center"/>
                </w:tcPr>
                <w:p w14:paraId="10E155AD">
                  <w:pPr>
                    <w:autoSpaceDE w:val="0"/>
                    <w:autoSpaceDN w:val="0"/>
                    <w:adjustRightInd w:val="0"/>
                    <w:snapToGrid w:val="0"/>
                    <w:spacing w:line="240" w:lineRule="auto"/>
                    <w:ind w:firstLine="0" w:firstLineChars="0"/>
                    <w:jc w:val="center"/>
                    <w:rPr>
                      <w:sz w:val="21"/>
                      <w:szCs w:val="21"/>
                    </w:rPr>
                  </w:pPr>
                  <w:r>
                    <w:rPr>
                      <w:rFonts w:hint="eastAsia"/>
                      <w:sz w:val="21"/>
                      <w:szCs w:val="21"/>
                    </w:rPr>
                    <w:t>桶装</w:t>
                  </w:r>
                </w:p>
              </w:tc>
              <w:tc>
                <w:tcPr>
                  <w:tcW w:w="502" w:type="pct"/>
                  <w:tcBorders>
                    <w:tl2br w:val="nil"/>
                    <w:tr2bl w:val="nil"/>
                  </w:tcBorders>
                  <w:vAlign w:val="center"/>
                </w:tcPr>
                <w:p w14:paraId="173DE692">
                  <w:pPr>
                    <w:autoSpaceDE w:val="0"/>
                    <w:autoSpaceDN w:val="0"/>
                    <w:adjustRightInd w:val="0"/>
                    <w:snapToGrid w:val="0"/>
                    <w:spacing w:line="240" w:lineRule="auto"/>
                    <w:ind w:firstLine="0" w:firstLineChars="0"/>
                    <w:jc w:val="center"/>
                    <w:rPr>
                      <w:sz w:val="21"/>
                      <w:szCs w:val="21"/>
                    </w:rPr>
                  </w:pPr>
                  <w:r>
                    <w:rPr>
                      <w:rFonts w:hint="eastAsia"/>
                      <w:snapToGrid w:val="0"/>
                      <w:sz w:val="21"/>
                      <w:szCs w:val="21"/>
                    </w:rPr>
                    <w:t>0.1</w:t>
                  </w:r>
                  <w:r>
                    <w:rPr>
                      <w:snapToGrid w:val="0"/>
                      <w:sz w:val="21"/>
                      <w:szCs w:val="21"/>
                    </w:rPr>
                    <w:t>t/a</w:t>
                  </w:r>
                </w:p>
              </w:tc>
              <w:tc>
                <w:tcPr>
                  <w:tcW w:w="391" w:type="pct"/>
                  <w:tcBorders>
                    <w:tl2br w:val="nil"/>
                    <w:tr2bl w:val="nil"/>
                  </w:tcBorders>
                  <w:vAlign w:val="center"/>
                </w:tcPr>
                <w:p w14:paraId="27E33533">
                  <w:pPr>
                    <w:autoSpaceDE w:val="0"/>
                    <w:autoSpaceDN w:val="0"/>
                    <w:adjustRightInd w:val="0"/>
                    <w:snapToGrid w:val="0"/>
                    <w:spacing w:line="240" w:lineRule="auto"/>
                    <w:ind w:firstLine="0" w:firstLineChars="0"/>
                    <w:jc w:val="center"/>
                    <w:rPr>
                      <w:sz w:val="21"/>
                      <w:szCs w:val="21"/>
                    </w:rPr>
                  </w:pPr>
                  <w:r>
                    <w:rPr>
                      <w:rFonts w:hint="eastAsia"/>
                      <w:sz w:val="21"/>
                      <w:szCs w:val="21"/>
                    </w:rPr>
                    <w:t>一年</w:t>
                  </w:r>
                </w:p>
              </w:tc>
            </w:tr>
            <w:tr w14:paraId="347C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1" w:type="pct"/>
                  <w:vMerge w:val="continue"/>
                  <w:tcBorders>
                    <w:tl2br w:val="nil"/>
                    <w:tr2bl w:val="nil"/>
                  </w:tcBorders>
                  <w:vAlign w:val="center"/>
                </w:tcPr>
                <w:p w14:paraId="3802E5CC">
                  <w:pPr>
                    <w:autoSpaceDE w:val="0"/>
                    <w:autoSpaceDN w:val="0"/>
                    <w:adjustRightInd w:val="0"/>
                    <w:snapToGrid w:val="0"/>
                    <w:spacing w:line="240" w:lineRule="auto"/>
                    <w:ind w:firstLine="0" w:firstLineChars="0"/>
                    <w:jc w:val="center"/>
                    <w:rPr>
                      <w:sz w:val="21"/>
                      <w:szCs w:val="21"/>
                    </w:rPr>
                  </w:pPr>
                </w:p>
              </w:tc>
              <w:tc>
                <w:tcPr>
                  <w:tcW w:w="691" w:type="pct"/>
                  <w:tcBorders>
                    <w:tl2br w:val="nil"/>
                    <w:tr2bl w:val="nil"/>
                  </w:tcBorders>
                  <w:vAlign w:val="center"/>
                </w:tcPr>
                <w:p w14:paraId="659066F6">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废包装桶</w:t>
                  </w:r>
                </w:p>
              </w:tc>
              <w:tc>
                <w:tcPr>
                  <w:tcW w:w="1019" w:type="pct"/>
                  <w:tcBorders>
                    <w:tl2br w:val="nil"/>
                    <w:tr2bl w:val="nil"/>
                  </w:tcBorders>
                  <w:vAlign w:val="center"/>
                </w:tcPr>
                <w:p w14:paraId="31197DED">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HW49其他废物</w:t>
                  </w:r>
                </w:p>
              </w:tc>
              <w:tc>
                <w:tcPr>
                  <w:tcW w:w="783" w:type="pct"/>
                  <w:tcBorders>
                    <w:tl2br w:val="nil"/>
                    <w:tr2bl w:val="nil"/>
                  </w:tcBorders>
                  <w:vAlign w:val="center"/>
                </w:tcPr>
                <w:p w14:paraId="281A2D73">
                  <w:pPr>
                    <w:autoSpaceDE w:val="0"/>
                    <w:autoSpaceDN w:val="0"/>
                    <w:adjustRightInd w:val="0"/>
                    <w:snapToGrid w:val="0"/>
                    <w:spacing w:line="240" w:lineRule="auto"/>
                    <w:ind w:firstLine="0" w:firstLineChars="0"/>
                    <w:jc w:val="center"/>
                    <w:rPr>
                      <w:snapToGrid w:val="0"/>
                      <w:sz w:val="21"/>
                      <w:szCs w:val="21"/>
                    </w:rPr>
                  </w:pPr>
                  <w:r>
                    <w:rPr>
                      <w:snapToGrid w:val="0"/>
                      <w:sz w:val="21"/>
                      <w:szCs w:val="21"/>
                    </w:rPr>
                    <w:t>900-041-49</w:t>
                  </w:r>
                </w:p>
              </w:tc>
              <w:tc>
                <w:tcPr>
                  <w:tcW w:w="256" w:type="pct"/>
                  <w:vMerge w:val="continue"/>
                  <w:tcBorders>
                    <w:tl2br w:val="nil"/>
                    <w:tr2bl w:val="nil"/>
                  </w:tcBorders>
                  <w:vAlign w:val="center"/>
                </w:tcPr>
                <w:p w14:paraId="22584D47">
                  <w:pPr>
                    <w:autoSpaceDE w:val="0"/>
                    <w:autoSpaceDN w:val="0"/>
                    <w:adjustRightInd w:val="0"/>
                    <w:snapToGrid w:val="0"/>
                    <w:spacing w:line="240" w:lineRule="auto"/>
                    <w:ind w:firstLine="0" w:firstLineChars="0"/>
                    <w:jc w:val="center"/>
                    <w:rPr>
                      <w:sz w:val="21"/>
                      <w:szCs w:val="21"/>
                    </w:rPr>
                  </w:pPr>
                </w:p>
              </w:tc>
              <w:tc>
                <w:tcPr>
                  <w:tcW w:w="514" w:type="pct"/>
                  <w:vMerge w:val="continue"/>
                  <w:tcBorders>
                    <w:tl2br w:val="nil"/>
                    <w:tr2bl w:val="nil"/>
                  </w:tcBorders>
                  <w:vAlign w:val="center"/>
                </w:tcPr>
                <w:p w14:paraId="31B5E644">
                  <w:pPr>
                    <w:autoSpaceDE w:val="0"/>
                    <w:autoSpaceDN w:val="0"/>
                    <w:adjustRightInd w:val="0"/>
                    <w:snapToGrid w:val="0"/>
                    <w:spacing w:line="240" w:lineRule="auto"/>
                    <w:ind w:firstLine="0" w:firstLineChars="0"/>
                    <w:jc w:val="center"/>
                    <w:rPr>
                      <w:sz w:val="21"/>
                      <w:szCs w:val="21"/>
                    </w:rPr>
                  </w:pPr>
                </w:p>
              </w:tc>
              <w:tc>
                <w:tcPr>
                  <w:tcW w:w="449" w:type="pct"/>
                  <w:tcBorders>
                    <w:tl2br w:val="nil"/>
                    <w:tr2bl w:val="nil"/>
                  </w:tcBorders>
                  <w:vAlign w:val="center"/>
                </w:tcPr>
                <w:p w14:paraId="7B9CCB58">
                  <w:pPr>
                    <w:autoSpaceDE w:val="0"/>
                    <w:autoSpaceDN w:val="0"/>
                    <w:adjustRightInd w:val="0"/>
                    <w:snapToGrid w:val="0"/>
                    <w:spacing w:line="240" w:lineRule="auto"/>
                    <w:ind w:firstLine="0" w:firstLineChars="0"/>
                    <w:jc w:val="center"/>
                    <w:rPr>
                      <w:rFonts w:hint="eastAsia"/>
                      <w:sz w:val="21"/>
                      <w:szCs w:val="21"/>
                    </w:rPr>
                  </w:pPr>
                  <w:r>
                    <w:rPr>
                      <w:rFonts w:hint="eastAsia"/>
                      <w:sz w:val="21"/>
                      <w:szCs w:val="21"/>
                    </w:rPr>
                    <w:t>桶装</w:t>
                  </w:r>
                </w:p>
              </w:tc>
              <w:tc>
                <w:tcPr>
                  <w:tcW w:w="502" w:type="pct"/>
                  <w:tcBorders>
                    <w:tl2br w:val="nil"/>
                    <w:tr2bl w:val="nil"/>
                  </w:tcBorders>
                  <w:vAlign w:val="center"/>
                </w:tcPr>
                <w:p w14:paraId="21CBE371">
                  <w:pPr>
                    <w:autoSpaceDE w:val="0"/>
                    <w:autoSpaceDN w:val="0"/>
                    <w:adjustRightInd w:val="0"/>
                    <w:snapToGrid w:val="0"/>
                    <w:spacing w:line="240" w:lineRule="auto"/>
                    <w:ind w:firstLine="0" w:firstLineChars="0"/>
                    <w:jc w:val="center"/>
                    <w:rPr>
                      <w:rFonts w:hint="eastAsia"/>
                      <w:snapToGrid w:val="0"/>
                      <w:sz w:val="21"/>
                      <w:szCs w:val="21"/>
                    </w:rPr>
                  </w:pPr>
                  <w:r>
                    <w:rPr>
                      <w:rFonts w:hint="eastAsia"/>
                      <w:snapToGrid w:val="0"/>
                      <w:sz w:val="21"/>
                      <w:szCs w:val="21"/>
                      <w:lang w:val="en-US" w:eastAsia="zh-CN"/>
                    </w:rPr>
                    <w:t>0.2</w:t>
                  </w:r>
                  <w:r>
                    <w:rPr>
                      <w:snapToGrid w:val="0"/>
                      <w:sz w:val="21"/>
                      <w:szCs w:val="21"/>
                    </w:rPr>
                    <w:t>t/a</w:t>
                  </w:r>
                </w:p>
              </w:tc>
              <w:tc>
                <w:tcPr>
                  <w:tcW w:w="391" w:type="pct"/>
                  <w:tcBorders>
                    <w:tl2br w:val="nil"/>
                    <w:tr2bl w:val="nil"/>
                  </w:tcBorders>
                  <w:vAlign w:val="center"/>
                </w:tcPr>
                <w:p w14:paraId="4D42FDFB">
                  <w:pPr>
                    <w:autoSpaceDE w:val="0"/>
                    <w:autoSpaceDN w:val="0"/>
                    <w:adjustRightInd w:val="0"/>
                    <w:snapToGrid w:val="0"/>
                    <w:spacing w:line="240" w:lineRule="auto"/>
                    <w:ind w:firstLine="0" w:firstLineChars="0"/>
                    <w:jc w:val="center"/>
                    <w:rPr>
                      <w:rFonts w:hint="eastAsia"/>
                      <w:sz w:val="21"/>
                      <w:szCs w:val="21"/>
                    </w:rPr>
                  </w:pPr>
                  <w:r>
                    <w:rPr>
                      <w:rFonts w:hint="eastAsia"/>
                      <w:sz w:val="21"/>
                      <w:szCs w:val="21"/>
                    </w:rPr>
                    <w:t>一年</w:t>
                  </w:r>
                </w:p>
              </w:tc>
            </w:tr>
            <w:tr w14:paraId="7966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1" w:type="pct"/>
                  <w:vMerge w:val="continue"/>
                  <w:tcBorders>
                    <w:tl2br w:val="nil"/>
                    <w:tr2bl w:val="nil"/>
                  </w:tcBorders>
                  <w:vAlign w:val="center"/>
                </w:tcPr>
                <w:p w14:paraId="05364EB9">
                  <w:pPr>
                    <w:autoSpaceDE w:val="0"/>
                    <w:autoSpaceDN w:val="0"/>
                    <w:adjustRightInd w:val="0"/>
                    <w:snapToGrid w:val="0"/>
                    <w:spacing w:line="240" w:lineRule="auto"/>
                    <w:ind w:firstLine="0" w:firstLineChars="0"/>
                    <w:jc w:val="center"/>
                    <w:rPr>
                      <w:sz w:val="21"/>
                      <w:szCs w:val="21"/>
                    </w:rPr>
                  </w:pPr>
                </w:p>
              </w:tc>
              <w:tc>
                <w:tcPr>
                  <w:tcW w:w="691" w:type="pct"/>
                  <w:tcBorders>
                    <w:tl2br w:val="nil"/>
                    <w:tr2bl w:val="nil"/>
                  </w:tcBorders>
                  <w:vAlign w:val="center"/>
                </w:tcPr>
                <w:p w14:paraId="4EE207D9">
                  <w:pPr>
                    <w:autoSpaceDE w:val="0"/>
                    <w:autoSpaceDN w:val="0"/>
                    <w:adjustRightInd w:val="0"/>
                    <w:snapToGrid w:val="0"/>
                    <w:spacing w:line="240" w:lineRule="auto"/>
                    <w:ind w:firstLine="0" w:firstLineChars="0"/>
                    <w:jc w:val="center"/>
                    <w:rPr>
                      <w:rFonts w:hint="eastAsia" w:eastAsia="宋体"/>
                      <w:snapToGrid w:val="0"/>
                      <w:sz w:val="21"/>
                      <w:szCs w:val="21"/>
                      <w:lang w:eastAsia="zh-CN"/>
                    </w:rPr>
                  </w:pPr>
                  <w:r>
                    <w:rPr>
                      <w:rFonts w:hint="eastAsia"/>
                      <w:snapToGrid w:val="0"/>
                      <w:sz w:val="21"/>
                      <w:szCs w:val="21"/>
                    </w:rPr>
                    <w:t>废</w:t>
                  </w:r>
                  <w:r>
                    <w:rPr>
                      <w:rFonts w:hint="eastAsia"/>
                      <w:snapToGrid w:val="0"/>
                      <w:sz w:val="21"/>
                      <w:szCs w:val="21"/>
                      <w:lang w:eastAsia="zh-CN"/>
                    </w:rPr>
                    <w:t>抹布</w:t>
                  </w:r>
                </w:p>
              </w:tc>
              <w:tc>
                <w:tcPr>
                  <w:tcW w:w="1019" w:type="pct"/>
                  <w:tcBorders>
                    <w:tl2br w:val="nil"/>
                    <w:tr2bl w:val="nil"/>
                  </w:tcBorders>
                  <w:vAlign w:val="center"/>
                </w:tcPr>
                <w:p w14:paraId="6D1AB6CF">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rPr>
                    <w:t>HW49其他废物</w:t>
                  </w:r>
                </w:p>
              </w:tc>
              <w:tc>
                <w:tcPr>
                  <w:tcW w:w="783" w:type="pct"/>
                  <w:tcBorders>
                    <w:tl2br w:val="nil"/>
                    <w:tr2bl w:val="nil"/>
                  </w:tcBorders>
                  <w:vAlign w:val="center"/>
                </w:tcPr>
                <w:p w14:paraId="6BCBCA81">
                  <w:pPr>
                    <w:autoSpaceDE w:val="0"/>
                    <w:autoSpaceDN w:val="0"/>
                    <w:adjustRightInd w:val="0"/>
                    <w:snapToGrid w:val="0"/>
                    <w:spacing w:line="240" w:lineRule="auto"/>
                    <w:ind w:firstLine="0" w:firstLineChars="0"/>
                    <w:jc w:val="center"/>
                    <w:rPr>
                      <w:snapToGrid w:val="0"/>
                      <w:sz w:val="21"/>
                      <w:szCs w:val="21"/>
                    </w:rPr>
                  </w:pPr>
                  <w:r>
                    <w:rPr>
                      <w:snapToGrid w:val="0"/>
                      <w:sz w:val="21"/>
                      <w:szCs w:val="21"/>
                    </w:rPr>
                    <w:t>900-041-49</w:t>
                  </w:r>
                </w:p>
              </w:tc>
              <w:tc>
                <w:tcPr>
                  <w:tcW w:w="256" w:type="pct"/>
                  <w:vMerge w:val="continue"/>
                  <w:tcBorders>
                    <w:tl2br w:val="nil"/>
                    <w:tr2bl w:val="nil"/>
                  </w:tcBorders>
                  <w:vAlign w:val="center"/>
                </w:tcPr>
                <w:p w14:paraId="1C29DFA4">
                  <w:pPr>
                    <w:autoSpaceDE w:val="0"/>
                    <w:autoSpaceDN w:val="0"/>
                    <w:adjustRightInd w:val="0"/>
                    <w:snapToGrid w:val="0"/>
                    <w:spacing w:line="240" w:lineRule="auto"/>
                    <w:ind w:firstLine="0" w:firstLineChars="0"/>
                    <w:jc w:val="center"/>
                    <w:rPr>
                      <w:sz w:val="21"/>
                      <w:szCs w:val="21"/>
                    </w:rPr>
                  </w:pPr>
                </w:p>
              </w:tc>
              <w:tc>
                <w:tcPr>
                  <w:tcW w:w="514" w:type="pct"/>
                  <w:vMerge w:val="continue"/>
                  <w:tcBorders>
                    <w:tl2br w:val="nil"/>
                    <w:tr2bl w:val="nil"/>
                  </w:tcBorders>
                  <w:vAlign w:val="center"/>
                </w:tcPr>
                <w:p w14:paraId="723B19B0">
                  <w:pPr>
                    <w:autoSpaceDE w:val="0"/>
                    <w:autoSpaceDN w:val="0"/>
                    <w:adjustRightInd w:val="0"/>
                    <w:snapToGrid w:val="0"/>
                    <w:spacing w:line="240" w:lineRule="auto"/>
                    <w:ind w:firstLine="0" w:firstLineChars="0"/>
                    <w:jc w:val="center"/>
                    <w:rPr>
                      <w:sz w:val="21"/>
                      <w:szCs w:val="21"/>
                    </w:rPr>
                  </w:pPr>
                </w:p>
              </w:tc>
              <w:tc>
                <w:tcPr>
                  <w:tcW w:w="449" w:type="pct"/>
                  <w:tcBorders>
                    <w:tl2br w:val="nil"/>
                    <w:tr2bl w:val="nil"/>
                  </w:tcBorders>
                  <w:vAlign w:val="center"/>
                </w:tcPr>
                <w:p w14:paraId="24E4F41F">
                  <w:pPr>
                    <w:autoSpaceDE w:val="0"/>
                    <w:autoSpaceDN w:val="0"/>
                    <w:adjustRightInd w:val="0"/>
                    <w:snapToGrid w:val="0"/>
                    <w:spacing w:line="240" w:lineRule="auto"/>
                    <w:ind w:firstLine="0" w:firstLineChars="0"/>
                    <w:jc w:val="center"/>
                    <w:rPr>
                      <w:sz w:val="21"/>
                      <w:szCs w:val="21"/>
                    </w:rPr>
                  </w:pPr>
                  <w:r>
                    <w:rPr>
                      <w:rFonts w:hint="eastAsia"/>
                      <w:sz w:val="21"/>
                      <w:szCs w:val="21"/>
                    </w:rPr>
                    <w:t>桶装</w:t>
                  </w:r>
                </w:p>
              </w:tc>
              <w:tc>
                <w:tcPr>
                  <w:tcW w:w="502" w:type="pct"/>
                  <w:tcBorders>
                    <w:tl2br w:val="nil"/>
                    <w:tr2bl w:val="nil"/>
                  </w:tcBorders>
                  <w:vAlign w:val="center"/>
                </w:tcPr>
                <w:p w14:paraId="72A99A8B">
                  <w:pPr>
                    <w:autoSpaceDE w:val="0"/>
                    <w:autoSpaceDN w:val="0"/>
                    <w:adjustRightInd w:val="0"/>
                    <w:snapToGrid w:val="0"/>
                    <w:spacing w:line="240" w:lineRule="auto"/>
                    <w:ind w:firstLine="0" w:firstLineChars="0"/>
                    <w:jc w:val="center"/>
                    <w:rPr>
                      <w:snapToGrid w:val="0"/>
                      <w:sz w:val="21"/>
                      <w:szCs w:val="21"/>
                    </w:rPr>
                  </w:pPr>
                  <w:r>
                    <w:rPr>
                      <w:rFonts w:hint="eastAsia"/>
                      <w:snapToGrid w:val="0"/>
                      <w:sz w:val="21"/>
                      <w:szCs w:val="21"/>
                      <w:lang w:val="en-US" w:eastAsia="zh-CN"/>
                    </w:rPr>
                    <w:t>0.05</w:t>
                  </w:r>
                  <w:r>
                    <w:rPr>
                      <w:snapToGrid w:val="0"/>
                      <w:sz w:val="21"/>
                      <w:szCs w:val="21"/>
                    </w:rPr>
                    <w:t>t/a</w:t>
                  </w:r>
                </w:p>
              </w:tc>
              <w:tc>
                <w:tcPr>
                  <w:tcW w:w="391" w:type="pct"/>
                  <w:tcBorders>
                    <w:tl2br w:val="nil"/>
                    <w:tr2bl w:val="nil"/>
                  </w:tcBorders>
                  <w:vAlign w:val="center"/>
                </w:tcPr>
                <w:p w14:paraId="282D31F1">
                  <w:pPr>
                    <w:autoSpaceDE w:val="0"/>
                    <w:autoSpaceDN w:val="0"/>
                    <w:adjustRightInd w:val="0"/>
                    <w:snapToGrid w:val="0"/>
                    <w:spacing w:line="240" w:lineRule="auto"/>
                    <w:ind w:firstLine="0" w:firstLineChars="0"/>
                    <w:jc w:val="center"/>
                    <w:rPr>
                      <w:sz w:val="21"/>
                      <w:szCs w:val="21"/>
                    </w:rPr>
                  </w:pPr>
                  <w:r>
                    <w:rPr>
                      <w:rFonts w:hint="eastAsia"/>
                      <w:sz w:val="21"/>
                      <w:szCs w:val="21"/>
                    </w:rPr>
                    <w:t>一年</w:t>
                  </w:r>
                </w:p>
              </w:tc>
            </w:tr>
          </w:tbl>
          <w:p w14:paraId="5ABE1626">
            <w:pPr>
              <w:keepNext w:val="0"/>
              <w:keepLines w:val="0"/>
              <w:pageBreakBefore w:val="0"/>
              <w:widowControl w:val="0"/>
              <w:kinsoku/>
              <w:wordWrap/>
              <w:overflowPunct/>
              <w:topLinePunct w:val="0"/>
              <w:autoSpaceDE w:val="0"/>
              <w:autoSpaceDN w:val="0"/>
              <w:bidi w:val="0"/>
              <w:adjustRightInd w:val="0"/>
              <w:snapToGrid w:val="0"/>
              <w:spacing w:line="520" w:lineRule="exact"/>
              <w:ind w:firstLine="480"/>
              <w:textAlignment w:val="auto"/>
              <w:rPr>
                <w:snapToGrid w:val="0"/>
              </w:rPr>
            </w:pPr>
            <w:r>
              <w:rPr>
                <w:snapToGrid w:val="0"/>
              </w:rPr>
              <w:t>本项目危废暂存间能够满足危废贮存要求，且贮存能力远大于危废产生量，危废密封在</w:t>
            </w:r>
            <w:r>
              <w:rPr>
                <w:rFonts w:hint="eastAsia"/>
                <w:snapToGrid w:val="0"/>
              </w:rPr>
              <w:t>专用容器</w:t>
            </w:r>
            <w:r>
              <w:rPr>
                <w:snapToGrid w:val="0"/>
              </w:rPr>
              <w:t>中贮存不会对周围环境产生影响。项目危险废物均委托有处理该危废资质的单位代为处理，本项目危险废物处理可行。危废运输过程中避开环境敏感点按照相关规定进行规划运输路线，项目危废在收集、贮存、运输、利用、处置等环节均按照相关规定要求操作，本项目危险固废环境风险较小。</w:t>
            </w:r>
          </w:p>
          <w:p w14:paraId="42626633">
            <w:pPr>
              <w:keepNext w:val="0"/>
              <w:keepLines w:val="0"/>
              <w:pageBreakBefore w:val="0"/>
              <w:widowControl w:val="0"/>
              <w:kinsoku/>
              <w:wordWrap/>
              <w:overflowPunct/>
              <w:topLinePunct w:val="0"/>
              <w:autoSpaceDE w:val="0"/>
              <w:autoSpaceDN w:val="0"/>
              <w:bidi w:val="0"/>
              <w:adjustRightInd w:val="0"/>
              <w:snapToGrid w:val="0"/>
              <w:spacing w:line="520" w:lineRule="exact"/>
              <w:ind w:firstLine="480"/>
              <w:textAlignment w:val="auto"/>
              <w:rPr>
                <w:snapToGrid w:val="0"/>
              </w:rPr>
            </w:pPr>
            <w:r>
              <w:rPr>
                <w:snapToGrid w:val="0"/>
              </w:rPr>
              <w:t>严格落实上述措施后，各类危废储存及处置可以满足《危险废物贮存污染控制标准》和《建设项目危险废物环境影响评价指南》要求，能够做到安全、妥善处置。</w:t>
            </w:r>
          </w:p>
          <w:p w14:paraId="63193550">
            <w:pPr>
              <w:keepNext w:val="0"/>
              <w:keepLines w:val="0"/>
              <w:pageBreakBefore w:val="0"/>
              <w:widowControl w:val="0"/>
              <w:kinsoku/>
              <w:wordWrap/>
              <w:overflowPunct/>
              <w:topLinePunct w:val="0"/>
              <w:bidi w:val="0"/>
              <w:adjustRightInd w:val="0"/>
              <w:snapToGrid w:val="0"/>
              <w:spacing w:line="520" w:lineRule="exact"/>
              <w:ind w:firstLine="480"/>
              <w:textAlignment w:val="auto"/>
            </w:pPr>
            <w:r>
              <w:t>评价认为，建设项目固体废物全部妥善处置，能够避免固体废物排放对环境的二次污染，不会对当地的景观环境和生态环境产生不利影响。</w:t>
            </w:r>
          </w:p>
          <w:p w14:paraId="1D7C00E1">
            <w:pPr>
              <w:keepNext w:val="0"/>
              <w:keepLines w:val="0"/>
              <w:pageBreakBefore w:val="0"/>
              <w:widowControl w:val="0"/>
              <w:kinsoku/>
              <w:wordWrap/>
              <w:overflowPunct/>
              <w:topLinePunct w:val="0"/>
              <w:bidi w:val="0"/>
              <w:adjustRightInd w:val="0"/>
              <w:snapToGrid w:val="0"/>
              <w:spacing w:line="520" w:lineRule="exact"/>
              <w:ind w:firstLine="482"/>
              <w:textAlignment w:val="auto"/>
              <w:rPr>
                <w:b/>
                <w:bCs/>
              </w:rPr>
            </w:pPr>
            <w:r>
              <w:rPr>
                <w:rFonts w:hint="eastAsia"/>
                <w:b/>
                <w:bCs/>
                <w:kern w:val="24"/>
              </w:rPr>
              <w:t>5</w:t>
            </w:r>
            <w:r>
              <w:rPr>
                <w:b/>
                <w:bCs/>
                <w:kern w:val="24"/>
              </w:rPr>
              <w:t>、</w:t>
            </w:r>
            <w:r>
              <w:rPr>
                <w:b/>
                <w:bCs/>
              </w:rPr>
              <w:t>地下水、土壤</w:t>
            </w:r>
          </w:p>
          <w:p w14:paraId="28CE10EE">
            <w:pPr>
              <w:keepNext w:val="0"/>
              <w:keepLines w:val="0"/>
              <w:pageBreakBefore w:val="0"/>
              <w:widowControl w:val="0"/>
              <w:kinsoku/>
              <w:wordWrap/>
              <w:overflowPunct/>
              <w:topLinePunct w:val="0"/>
              <w:bidi w:val="0"/>
              <w:spacing w:line="520" w:lineRule="exact"/>
              <w:ind w:firstLine="480"/>
              <w:textAlignment w:val="auto"/>
              <w:rPr>
                <w:bCs/>
                <w:kern w:val="0"/>
              </w:rPr>
            </w:pPr>
            <w:r>
              <w:rPr>
                <w:bCs/>
                <w:snapToGrid w:val="0"/>
              </w:rPr>
              <w:t>项目废水主要为</w:t>
            </w:r>
            <w:r>
              <w:rPr>
                <w:rFonts w:hint="eastAsia"/>
                <w:bCs/>
              </w:rPr>
              <w:t>生活污水</w:t>
            </w:r>
            <w:r>
              <w:rPr>
                <w:rFonts w:hint="eastAsia"/>
                <w:bCs/>
                <w:snapToGrid w:val="0"/>
              </w:rPr>
              <w:t>，生活污水经化粪池处理后</w:t>
            </w:r>
            <w:r>
              <w:rPr>
                <w:rFonts w:hint="eastAsia"/>
                <w:bCs/>
              </w:rPr>
              <w:t>排入河南新投水务有限公司（小尚庄污水处理厂）进一步处理</w:t>
            </w:r>
            <w:r>
              <w:rPr>
                <w:rFonts w:hint="eastAsia"/>
                <w:bCs/>
                <w:snapToGrid w:val="0"/>
              </w:rPr>
              <w:t>，</w:t>
            </w:r>
            <w:r>
              <w:rPr>
                <w:bCs/>
                <w:snapToGrid w:val="0"/>
              </w:rPr>
              <w:t>项目生产过程中产生的一般固废收集</w:t>
            </w:r>
            <w:r>
              <w:rPr>
                <w:rFonts w:hint="eastAsia"/>
                <w:bCs/>
                <w:snapToGrid w:val="0"/>
              </w:rPr>
              <w:t>后暂存于</w:t>
            </w:r>
            <w:r>
              <w:rPr>
                <w:bCs/>
                <w:snapToGrid w:val="0"/>
              </w:rPr>
              <w:t>一般固废场所，一般固废暂存间按照《</w:t>
            </w:r>
            <w:r>
              <w:rPr>
                <w:snapToGrid w:val="0"/>
              </w:rPr>
              <w:t>一般工业固体废物贮存和填埋污染控制标准</w:t>
            </w:r>
            <w:r>
              <w:rPr>
                <w:bCs/>
                <w:snapToGrid w:val="0"/>
              </w:rPr>
              <w:t>》（GB18599－2020）的要求进行建设。项目产生的危险废物暂存于危废暂存间，定期委托有资质的危废单位处置，危险废物暂存间按照《危险废物贮存污染控制标准》（GB18597-20</w:t>
            </w:r>
            <w:r>
              <w:rPr>
                <w:rFonts w:hint="eastAsia"/>
                <w:bCs/>
                <w:snapToGrid w:val="0"/>
              </w:rPr>
              <w:t>23</w:t>
            </w:r>
            <w:r>
              <w:rPr>
                <w:bCs/>
                <w:snapToGrid w:val="0"/>
              </w:rPr>
              <w:t>）的要求进行控制</w:t>
            </w:r>
            <w:r>
              <w:rPr>
                <w:rFonts w:hint="eastAsia"/>
                <w:bCs/>
                <w:kern w:val="0"/>
              </w:rPr>
              <w:t>。</w:t>
            </w:r>
          </w:p>
          <w:p w14:paraId="075CEB1A">
            <w:pPr>
              <w:keepNext w:val="0"/>
              <w:keepLines w:val="0"/>
              <w:pageBreakBefore w:val="0"/>
              <w:widowControl w:val="0"/>
              <w:kinsoku/>
              <w:wordWrap/>
              <w:overflowPunct/>
              <w:topLinePunct w:val="0"/>
              <w:bidi w:val="0"/>
              <w:spacing w:line="520" w:lineRule="exact"/>
              <w:ind w:firstLine="480"/>
              <w:textAlignment w:val="auto"/>
            </w:pPr>
            <w:r>
              <w:rPr>
                <w:rFonts w:hint="eastAsia"/>
              </w:rPr>
              <w:t>按照“源头控制、分区防治、污染监控、应急响应”原则，</w:t>
            </w:r>
            <w:r>
              <w:t>防止土壤和地下水污染采取的相应防渗、应急措施：</w:t>
            </w:r>
          </w:p>
          <w:p w14:paraId="58DB3CE1">
            <w:pPr>
              <w:keepNext w:val="0"/>
              <w:keepLines w:val="0"/>
              <w:pageBreakBefore w:val="0"/>
              <w:widowControl w:val="0"/>
              <w:kinsoku/>
              <w:wordWrap/>
              <w:overflowPunct/>
              <w:topLinePunct w:val="0"/>
              <w:bidi w:val="0"/>
              <w:spacing w:line="520" w:lineRule="exact"/>
              <w:ind w:firstLine="480"/>
              <w:textAlignment w:val="auto"/>
            </w:pPr>
            <w:r>
              <w:t>对地下水的污染主要是危险废物</w:t>
            </w:r>
            <w:r>
              <w:rPr>
                <w:rFonts w:hint="eastAsia"/>
              </w:rPr>
              <w:t>和</w:t>
            </w:r>
            <w:r>
              <w:rPr>
                <w:rFonts w:hint="eastAsia"/>
                <w:lang w:eastAsia="zh-CN"/>
              </w:rPr>
              <w:t>油墨、胶浆</w:t>
            </w:r>
            <w:r>
              <w:t>暂存或管理不当，造成</w:t>
            </w:r>
            <w:r>
              <w:rPr>
                <w:rFonts w:hint="eastAsia"/>
              </w:rPr>
              <w:t>危险废物</w:t>
            </w:r>
            <w:r>
              <w:t>泄漏，污染土壤并进一步影响地下水体。</w:t>
            </w:r>
          </w:p>
          <w:p w14:paraId="048BC585">
            <w:pPr>
              <w:keepNext w:val="0"/>
              <w:keepLines w:val="0"/>
              <w:pageBreakBefore w:val="0"/>
              <w:widowControl w:val="0"/>
              <w:kinsoku/>
              <w:wordWrap/>
              <w:overflowPunct/>
              <w:topLinePunct w:val="0"/>
              <w:bidi w:val="0"/>
              <w:spacing w:line="520" w:lineRule="exact"/>
              <w:ind w:firstLine="480"/>
              <w:textAlignment w:val="auto"/>
            </w:pPr>
            <w:r>
              <w:t>本项目正常运营过程中不会对所在区域地下水位产生影响，潜在影响主要来自危险废物暂存区等防渗层的破损等导致废水进入地表，进而对地下水水质产生影响。建设单位需加强各生产单元及设备和危险废物暂存间等场所的日常管理，严格防渗防漏，避免对地下水环境产生不利的影响。及时发现地面渗漏状况，避免给土壤和地下水造成污染。</w:t>
            </w:r>
            <w:r>
              <w:rPr>
                <w:rFonts w:hint="eastAsia"/>
              </w:rPr>
              <w:t>公司现有</w:t>
            </w:r>
            <w:r>
              <w:t>危险废物暂存间</w:t>
            </w:r>
            <w:r>
              <w:rPr>
                <w:rFonts w:hint="eastAsia"/>
              </w:rPr>
              <w:t>已</w:t>
            </w:r>
            <w:r>
              <w:t>按照《危险废物贮存污染控制标准》（GB18597-2023）中的相关要求进行了建设，采取的防渗方式为基层10公分混凝土垫层，上面铺设2mm高密度聚乙烯土工膜后浇筑5公分混凝土，渗透系数≤10</w:t>
            </w:r>
            <w:r>
              <w:rPr>
                <w:vertAlign w:val="superscript"/>
              </w:rPr>
              <w:t>-10</w:t>
            </w:r>
            <w:r>
              <w:t>cm/s。因此危废暂存过程中，基本无废油泄漏，且厂区内地面硬化，不会有残留油品渗入地下的情况发生，不会对区域地下水产生显著影响，无需开展地下水、土壤环境质量现状调查。</w:t>
            </w:r>
          </w:p>
          <w:p w14:paraId="0BC88C19">
            <w:pPr>
              <w:keepNext w:val="0"/>
              <w:keepLines w:val="0"/>
              <w:pageBreakBefore w:val="0"/>
              <w:widowControl w:val="0"/>
              <w:kinsoku/>
              <w:wordWrap/>
              <w:overflowPunct/>
              <w:topLinePunct w:val="0"/>
              <w:bidi w:val="0"/>
              <w:spacing w:line="520" w:lineRule="exact"/>
              <w:ind w:firstLine="480"/>
              <w:textAlignment w:val="auto"/>
            </w:pPr>
            <w:r>
              <w:t>防渗工程污染防治区根据工程物料或者污染物泄漏的途径和生产功能单元所处的位置，可划分为非污染防治区、一般污染防治区和重点污染防治区：</w:t>
            </w:r>
          </w:p>
          <w:p w14:paraId="2B6187E9">
            <w:pPr>
              <w:keepNext w:val="0"/>
              <w:keepLines w:val="0"/>
              <w:pageBreakBefore w:val="0"/>
              <w:widowControl w:val="0"/>
              <w:kinsoku/>
              <w:wordWrap/>
              <w:overflowPunct/>
              <w:topLinePunct w:val="0"/>
              <w:bidi w:val="0"/>
              <w:spacing w:line="520" w:lineRule="exact"/>
              <w:ind w:firstLine="480"/>
              <w:textAlignment w:val="auto"/>
            </w:pPr>
            <w:r>
              <w:t>①重点防渗区</w:t>
            </w:r>
          </w:p>
          <w:p w14:paraId="07A5D8E6">
            <w:pPr>
              <w:keepNext w:val="0"/>
              <w:keepLines w:val="0"/>
              <w:pageBreakBefore w:val="0"/>
              <w:widowControl w:val="0"/>
              <w:kinsoku/>
              <w:wordWrap/>
              <w:overflowPunct/>
              <w:topLinePunct w:val="0"/>
              <w:bidi w:val="0"/>
              <w:spacing w:line="520" w:lineRule="exact"/>
              <w:ind w:firstLine="480"/>
              <w:textAlignment w:val="auto"/>
            </w:pPr>
            <w:r>
              <w:t>指可能污染地下水环境的污染物泄露后不容易被及时发现和处理的区域或部位。本项目重点防渗区主要包括危险废物暂存间</w:t>
            </w:r>
            <w:r>
              <w:rPr>
                <w:rFonts w:hint="eastAsia"/>
              </w:rPr>
              <w:t>和</w:t>
            </w:r>
            <w:r>
              <w:rPr>
                <w:rFonts w:hint="eastAsia"/>
                <w:lang w:eastAsia="zh-CN"/>
              </w:rPr>
              <w:t>油墨、胶浆</w:t>
            </w:r>
            <w:r>
              <w:rPr>
                <w:rFonts w:hint="eastAsia"/>
              </w:rPr>
              <w:t>存储区</w:t>
            </w:r>
            <w:r>
              <w:t>。危废暂存间</w:t>
            </w:r>
            <w:r>
              <w:rPr>
                <w:rFonts w:hint="eastAsia"/>
              </w:rPr>
              <w:t>、</w:t>
            </w:r>
            <w:r>
              <w:rPr>
                <w:rFonts w:hint="eastAsia"/>
                <w:lang w:eastAsia="zh-CN"/>
              </w:rPr>
              <w:t>油墨、胶浆</w:t>
            </w:r>
            <w:r>
              <w:rPr>
                <w:rFonts w:hint="eastAsia"/>
              </w:rPr>
              <w:t>存储区</w:t>
            </w:r>
            <w:r>
              <w:t>四周设置导流槽，将泄漏物质导流入应急池，导流槽和应急池相应做好防渗处理。</w:t>
            </w:r>
            <w:r>
              <w:rPr>
                <w:rFonts w:hint="eastAsia"/>
                <w:lang w:eastAsia="zh-CN"/>
              </w:rPr>
              <w:t>油墨、胶浆</w:t>
            </w:r>
            <w:r>
              <w:t>采用桶装，桶下设置托盘。</w:t>
            </w:r>
            <w:r>
              <w:rPr>
                <w:rFonts w:hint="eastAsia"/>
              </w:rPr>
              <w:t>危险废物</w:t>
            </w:r>
            <w:r>
              <w:t>采用专用的存放</w:t>
            </w:r>
            <w:r>
              <w:rPr>
                <w:rFonts w:hint="eastAsia"/>
              </w:rPr>
              <w:t>桶或箱</w:t>
            </w:r>
            <w:r>
              <w:t>存放，严防外泄。危废暂存间采用砖混结构，采取的防渗方式为基层10公分混凝土垫层，上面铺设2mm高密度聚乙烯土工膜后浇筑5公分混凝土，渗透系数≤10</w:t>
            </w:r>
            <w:r>
              <w:rPr>
                <w:vertAlign w:val="superscript"/>
              </w:rPr>
              <w:t>-10</w:t>
            </w:r>
            <w:r>
              <w:t>cm/s，符合等效黏土防渗层 Mb≥6.0m，K≤1×10</w:t>
            </w:r>
            <w:r>
              <w:rPr>
                <w:vertAlign w:val="superscript"/>
              </w:rPr>
              <w:t>-7</w:t>
            </w:r>
            <w:r>
              <w:t>cm/s的要求，并张贴醒目的标识，并张贴醒目的标识。</w:t>
            </w:r>
          </w:p>
          <w:p w14:paraId="7527AE83">
            <w:pPr>
              <w:keepNext w:val="0"/>
              <w:keepLines w:val="0"/>
              <w:pageBreakBefore w:val="0"/>
              <w:widowControl w:val="0"/>
              <w:kinsoku/>
              <w:wordWrap/>
              <w:overflowPunct/>
              <w:topLinePunct w:val="0"/>
              <w:bidi w:val="0"/>
              <w:spacing w:line="520" w:lineRule="exact"/>
              <w:ind w:firstLine="480"/>
              <w:textAlignment w:val="auto"/>
            </w:pPr>
            <w:r>
              <w:t>②一般防渗区</w:t>
            </w:r>
          </w:p>
          <w:p w14:paraId="3E987F62">
            <w:pPr>
              <w:keepNext w:val="0"/>
              <w:keepLines w:val="0"/>
              <w:pageBreakBefore w:val="0"/>
              <w:widowControl w:val="0"/>
              <w:kinsoku/>
              <w:wordWrap/>
              <w:overflowPunct/>
              <w:topLinePunct w:val="0"/>
              <w:bidi w:val="0"/>
              <w:spacing w:line="520" w:lineRule="exact"/>
              <w:ind w:firstLine="480"/>
              <w:textAlignment w:val="auto"/>
            </w:pPr>
            <w:r>
              <w:t>一般防渗区为</w:t>
            </w:r>
            <w:r>
              <w:rPr>
                <w:rFonts w:hint="eastAsia"/>
              </w:rPr>
              <w:t>生产车间</w:t>
            </w:r>
            <w:r>
              <w:t>、一般固废间。地面为厚度不小于200mm的P6抗渗混凝土硬化地面，其防渗技术要求可满足等效黏土防渗层Mb≥1.5m，K≤1×10</w:t>
            </w:r>
            <w:r>
              <w:rPr>
                <w:vertAlign w:val="superscript"/>
              </w:rPr>
              <w:t>-7</w:t>
            </w:r>
            <w:r>
              <w:t>cm/s 的要求，一般固废暂存间，底部厚度大于0.8mm的高密度聚乙烯膜进行防渗处理，等效黏土Mb≥1.5m，K≤1.0×10</w:t>
            </w:r>
            <w:r>
              <w:rPr>
                <w:vertAlign w:val="superscript"/>
              </w:rPr>
              <w:t>-7</w:t>
            </w:r>
            <w:r>
              <w:t>cm/s。</w:t>
            </w:r>
          </w:p>
          <w:p w14:paraId="4C9DBC98">
            <w:pPr>
              <w:keepNext w:val="0"/>
              <w:keepLines w:val="0"/>
              <w:pageBreakBefore w:val="0"/>
              <w:widowControl w:val="0"/>
              <w:kinsoku/>
              <w:wordWrap/>
              <w:overflowPunct/>
              <w:topLinePunct w:val="0"/>
              <w:bidi w:val="0"/>
              <w:spacing w:line="520" w:lineRule="exact"/>
              <w:ind w:firstLine="480"/>
              <w:textAlignment w:val="auto"/>
            </w:pPr>
            <w:r>
              <w:t>③简单防渗区</w:t>
            </w:r>
          </w:p>
          <w:p w14:paraId="5A5E5898">
            <w:pPr>
              <w:keepNext w:val="0"/>
              <w:keepLines w:val="0"/>
              <w:pageBreakBefore w:val="0"/>
              <w:widowControl w:val="0"/>
              <w:kinsoku/>
              <w:wordWrap/>
              <w:overflowPunct/>
              <w:topLinePunct w:val="0"/>
              <w:bidi w:val="0"/>
              <w:spacing w:line="520" w:lineRule="exact"/>
              <w:ind w:firstLine="480"/>
              <w:textAlignment w:val="auto"/>
            </w:pPr>
            <w:r>
              <w:t>厂内办公区、</w:t>
            </w:r>
            <w:r>
              <w:rPr>
                <w:rFonts w:hint="eastAsia"/>
              </w:rPr>
              <w:t>仓库</w:t>
            </w:r>
            <w:r>
              <w:t>属于简单防渗区，地面进行水泥硬化。</w:t>
            </w:r>
          </w:p>
          <w:p w14:paraId="1E3CB75B">
            <w:pPr>
              <w:keepNext w:val="0"/>
              <w:keepLines w:val="0"/>
              <w:pageBreakBefore w:val="0"/>
              <w:widowControl w:val="0"/>
              <w:kinsoku/>
              <w:wordWrap/>
              <w:overflowPunct/>
              <w:topLinePunct w:val="0"/>
              <w:bidi w:val="0"/>
              <w:spacing w:line="520" w:lineRule="exact"/>
              <w:ind w:firstLine="480"/>
              <w:textAlignment w:val="auto"/>
            </w:pPr>
            <w:r>
              <w:t xml:space="preserve">④其他防治措施 </w:t>
            </w:r>
          </w:p>
          <w:p w14:paraId="365F3751">
            <w:pPr>
              <w:keepNext w:val="0"/>
              <w:keepLines w:val="0"/>
              <w:pageBreakBefore w:val="0"/>
              <w:widowControl w:val="0"/>
              <w:kinsoku/>
              <w:wordWrap/>
              <w:overflowPunct/>
              <w:topLinePunct w:val="0"/>
              <w:bidi w:val="0"/>
              <w:spacing w:line="520" w:lineRule="exact"/>
              <w:ind w:firstLine="480"/>
              <w:textAlignment w:val="auto"/>
            </w:pPr>
            <w:r>
              <w:t>加强对人员的培训，制定相应的管理制度，定期对可能造成地下水污染的设施进行检查；同时加强设备维护、检修，防止因设备故障渗漏引起地下水的污染。</w:t>
            </w:r>
          </w:p>
          <w:p w14:paraId="4900ACF7">
            <w:pPr>
              <w:keepNext w:val="0"/>
              <w:keepLines w:val="0"/>
              <w:pageBreakBefore w:val="0"/>
              <w:widowControl w:val="0"/>
              <w:kinsoku/>
              <w:wordWrap/>
              <w:overflowPunct/>
              <w:topLinePunct w:val="0"/>
              <w:bidi w:val="0"/>
              <w:spacing w:line="520" w:lineRule="exact"/>
              <w:ind w:firstLine="480"/>
              <w:textAlignment w:val="auto"/>
              <w:rPr>
                <w:u w:val="single"/>
              </w:rPr>
            </w:pPr>
            <w:r>
              <w:t>在确保上述各项防渗漏措施得以落实，并加强维护和厂区环境管理的前提下，本项目运营后不会对区域地下水和土壤环境产生明显影响。</w:t>
            </w:r>
          </w:p>
          <w:p w14:paraId="4FDBEF75">
            <w:pPr>
              <w:keepNext w:val="0"/>
              <w:keepLines w:val="0"/>
              <w:pageBreakBefore w:val="0"/>
              <w:widowControl w:val="0"/>
              <w:kinsoku/>
              <w:wordWrap/>
              <w:overflowPunct/>
              <w:topLinePunct w:val="0"/>
              <w:bidi w:val="0"/>
              <w:spacing w:line="520" w:lineRule="exact"/>
              <w:ind w:firstLine="482"/>
              <w:textAlignment w:val="auto"/>
            </w:pPr>
            <w:r>
              <w:rPr>
                <w:rFonts w:hint="eastAsia"/>
                <w:b/>
              </w:rPr>
              <w:t>6</w:t>
            </w:r>
            <w:r>
              <w:rPr>
                <w:b/>
              </w:rPr>
              <w:t>、环境风险</w:t>
            </w:r>
          </w:p>
          <w:p w14:paraId="35545CB9">
            <w:pPr>
              <w:keepNext w:val="0"/>
              <w:keepLines w:val="0"/>
              <w:pageBreakBefore w:val="0"/>
              <w:widowControl w:val="0"/>
              <w:kinsoku/>
              <w:wordWrap/>
              <w:overflowPunct/>
              <w:topLinePunct w:val="0"/>
              <w:bidi w:val="0"/>
              <w:adjustRightInd w:val="0"/>
              <w:snapToGrid w:val="0"/>
              <w:spacing w:line="520" w:lineRule="exact"/>
              <w:ind w:firstLine="482"/>
              <w:textAlignment w:val="auto"/>
              <w:rPr>
                <w:rFonts w:hint="eastAsia"/>
                <w:b/>
                <w:bCs/>
              </w:rPr>
            </w:pPr>
            <w:r>
              <w:rPr>
                <w:rFonts w:hint="eastAsia"/>
                <w:b w:val="0"/>
                <w:bCs w:val="0"/>
              </w:rPr>
              <w:t>项目所用原</w:t>
            </w:r>
            <w:r>
              <w:rPr>
                <w:rFonts w:hint="eastAsia"/>
                <w:b w:val="0"/>
                <w:bCs w:val="0"/>
                <w:lang w:val="en-US" w:eastAsia="zh-CN"/>
              </w:rPr>
              <w:t>辅</w:t>
            </w:r>
            <w:r>
              <w:rPr>
                <w:rFonts w:hint="eastAsia"/>
                <w:b w:val="0"/>
                <w:bCs w:val="0"/>
              </w:rPr>
              <w:t>料主要为棉布服装半成品</w:t>
            </w:r>
            <w:r>
              <w:rPr>
                <w:rFonts w:hint="eastAsia"/>
                <w:b w:val="0"/>
                <w:bCs w:val="0"/>
                <w:lang w:val="en-US" w:eastAsia="zh-CN"/>
              </w:rPr>
              <w:t>、棉布服装半成品、水性丙烯酸胶浆、水性丙烯酸油墨、PU膜、刻字膜</w:t>
            </w:r>
            <w:r>
              <w:rPr>
                <w:rFonts w:hint="eastAsia"/>
                <w:b w:val="0"/>
                <w:bCs w:val="0"/>
              </w:rPr>
              <w:t>等，所用资源能源为水和电</w:t>
            </w:r>
            <w:r>
              <w:rPr>
                <w:rFonts w:hint="eastAsia"/>
                <w:b w:val="0"/>
                <w:bCs w:val="0"/>
                <w:lang w:eastAsia="zh-CN"/>
              </w:rPr>
              <w:t>。</w:t>
            </w:r>
            <w:r>
              <w:t>根据《建设项目环境风险评价技术导则》(HJ169-2018)附录B</w:t>
            </w:r>
            <w:r>
              <w:rPr>
                <w:rFonts w:hint="eastAsia"/>
              </w:rPr>
              <w:t>，</w:t>
            </w:r>
            <w:r>
              <w:t xml:space="preserve"> 本项目</w:t>
            </w:r>
            <w:r>
              <w:rPr>
                <w:rFonts w:hint="eastAsia"/>
                <w:lang w:eastAsia="zh-CN"/>
              </w:rPr>
              <w:t>不</w:t>
            </w:r>
            <w:r>
              <w:t>涉及</w:t>
            </w:r>
            <w:r>
              <w:rPr>
                <w:rFonts w:hint="eastAsia"/>
                <w:b w:val="0"/>
                <w:bCs w:val="0"/>
              </w:rPr>
              <w:t>有毒有害和易燃易爆等危险物质，</w:t>
            </w:r>
            <w:r>
              <w:rPr>
                <w:rFonts w:hint="eastAsia"/>
                <w:b w:val="0"/>
                <w:bCs w:val="0"/>
                <w:lang w:val="en-US" w:eastAsia="zh-CN"/>
              </w:rPr>
              <w:t>Q=0，本评价不</w:t>
            </w:r>
            <w:r>
              <w:rPr>
                <w:rFonts w:hint="eastAsia"/>
                <w:b w:val="0"/>
                <w:bCs w:val="0"/>
                <w:lang w:val="en-US"/>
              </w:rPr>
              <w:t>对</w:t>
            </w:r>
            <w:r>
              <w:rPr>
                <w:rFonts w:hint="eastAsia"/>
                <w:b w:val="0"/>
                <w:bCs w:val="0"/>
                <w:lang w:val="en-US" w:eastAsia="zh-CN"/>
              </w:rPr>
              <w:t>环境风险做评价分析。</w:t>
            </w:r>
          </w:p>
          <w:p w14:paraId="23D210EB">
            <w:pPr>
              <w:spacing w:line="520" w:lineRule="exact"/>
              <w:ind w:firstLine="482"/>
              <w:rPr>
                <w:b/>
              </w:rPr>
            </w:pPr>
            <w:r>
              <w:rPr>
                <w:rFonts w:hint="eastAsia"/>
                <w:b/>
              </w:rPr>
              <w:t>7</w:t>
            </w:r>
            <w:r>
              <w:rPr>
                <w:b/>
              </w:rPr>
              <w:t>、生态环境</w:t>
            </w:r>
          </w:p>
          <w:p w14:paraId="48275704">
            <w:pPr>
              <w:autoSpaceDE w:val="0"/>
              <w:autoSpaceDN w:val="0"/>
              <w:spacing w:line="520" w:lineRule="exact"/>
              <w:ind w:firstLine="480"/>
              <w:rPr>
                <w:bCs/>
                <w:kern w:val="0"/>
              </w:rPr>
            </w:pPr>
            <w:r>
              <w:rPr>
                <w:bCs/>
                <w:kern w:val="0"/>
              </w:rPr>
              <w:t>本项目位于</w:t>
            </w:r>
            <w:r>
              <w:rPr>
                <w:rFonts w:hint="eastAsia"/>
                <w:lang w:eastAsia="zh-CN"/>
              </w:rPr>
              <w:t>新乡市新能源电池专业园区标北路11号3A号厂房</w:t>
            </w:r>
            <w:r>
              <w:t>，</w:t>
            </w:r>
            <w:r>
              <w:rPr>
                <w:rFonts w:hint="eastAsia"/>
                <w:bCs/>
                <w:snapToGrid w:val="0"/>
              </w:rPr>
              <w:t>租赁现有厂房进行建设生产</w:t>
            </w:r>
            <w:r>
              <w:rPr>
                <w:bCs/>
                <w:snapToGrid w:val="0"/>
              </w:rPr>
              <w:t>，不新增用地</w:t>
            </w:r>
            <w:r>
              <w:rPr>
                <w:bCs/>
                <w:kern w:val="0"/>
              </w:rPr>
              <w:t>，同时根据调查，目前项目用地范围内无生态环境保护目标，项目建设不会对周边生态环境产生较大影响。</w:t>
            </w:r>
          </w:p>
          <w:p w14:paraId="57E745AE">
            <w:pPr>
              <w:pStyle w:val="70"/>
              <w:adjustRightInd w:val="0"/>
              <w:snapToGrid w:val="0"/>
              <w:spacing w:line="520" w:lineRule="exact"/>
              <w:ind w:firstLine="482"/>
              <w:rPr>
                <w:b/>
                <w:sz w:val="24"/>
              </w:rPr>
            </w:pPr>
            <w:r>
              <w:rPr>
                <w:rFonts w:hint="eastAsia"/>
                <w:b/>
                <w:sz w:val="24"/>
              </w:rPr>
              <w:t>8</w:t>
            </w:r>
            <w:r>
              <w:rPr>
                <w:b/>
                <w:sz w:val="24"/>
              </w:rPr>
              <w:t>、电磁辐射</w:t>
            </w:r>
          </w:p>
          <w:p w14:paraId="6E41A33F">
            <w:pPr>
              <w:spacing w:line="520" w:lineRule="exact"/>
              <w:ind w:firstLine="480"/>
              <w:rPr>
                <w:szCs w:val="32"/>
              </w:rPr>
            </w:pPr>
            <w:r>
              <w:rPr>
                <w:szCs w:val="32"/>
              </w:rPr>
              <w:t>本项目不涉及电磁辐射影响。</w:t>
            </w:r>
          </w:p>
          <w:p w14:paraId="1A29318A">
            <w:pPr>
              <w:adjustRightInd w:val="0"/>
              <w:snapToGrid w:val="0"/>
              <w:spacing w:line="520" w:lineRule="exact"/>
              <w:ind w:firstLine="0" w:firstLineChars="0"/>
            </w:pPr>
          </w:p>
          <w:p w14:paraId="4C700B88"/>
          <w:p w14:paraId="4DF42555">
            <w:pPr>
              <w:pStyle w:val="2"/>
            </w:pPr>
          </w:p>
          <w:p w14:paraId="1272979B"/>
          <w:p w14:paraId="5C03D925">
            <w:pPr>
              <w:adjustRightInd w:val="0"/>
              <w:snapToGrid w:val="0"/>
              <w:spacing w:line="520" w:lineRule="exact"/>
              <w:ind w:firstLine="0" w:firstLineChars="0"/>
            </w:pPr>
          </w:p>
          <w:p w14:paraId="7757E967">
            <w:pPr>
              <w:pStyle w:val="2"/>
            </w:pPr>
          </w:p>
          <w:p w14:paraId="55358B1A">
            <w:pPr>
              <w:adjustRightInd w:val="0"/>
              <w:snapToGrid w:val="0"/>
              <w:spacing w:line="520" w:lineRule="exact"/>
              <w:ind w:firstLine="0" w:firstLineChars="0"/>
            </w:pPr>
          </w:p>
          <w:p w14:paraId="32A287E2">
            <w:pPr>
              <w:adjustRightInd w:val="0"/>
              <w:snapToGrid w:val="0"/>
              <w:spacing w:line="520" w:lineRule="exact"/>
              <w:ind w:firstLine="0" w:firstLineChars="0"/>
            </w:pPr>
          </w:p>
        </w:tc>
      </w:tr>
    </w:tbl>
    <w:p w14:paraId="1A475240">
      <w:pPr>
        <w:adjustRightInd w:val="0"/>
        <w:snapToGrid w:val="0"/>
        <w:ind w:firstLine="562"/>
        <w:rPr>
          <w:b/>
          <w:kern w:val="0"/>
          <w:sz w:val="28"/>
          <w:szCs w:val="28"/>
        </w:rPr>
        <w:sectPr>
          <w:pgSz w:w="11907" w:h="16840"/>
          <w:pgMar w:top="1701" w:right="1531" w:bottom="1701" w:left="1531" w:header="851" w:footer="851" w:gutter="0"/>
          <w:pgNumType w:fmt="decimal"/>
          <w:cols w:space="720" w:num="1"/>
          <w:docGrid w:linePitch="312" w:charSpace="0"/>
        </w:sectPr>
      </w:pPr>
    </w:p>
    <w:p w14:paraId="4F7053FD">
      <w:pPr>
        <w:pStyle w:val="2"/>
      </w:pPr>
      <w:r>
        <w:t>五、</w:t>
      </w:r>
      <w:bookmarkStart w:id="4" w:name="_Hlk54167917"/>
      <w:r>
        <w:t>环境保护措施监督检查清单</w:t>
      </w:r>
      <w:bookmarkEnd w:id="4"/>
    </w:p>
    <w:tbl>
      <w:tblPr>
        <w:tblStyle w:val="26"/>
        <w:tblW w:w="513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1780"/>
        <w:gridCol w:w="1328"/>
        <w:gridCol w:w="803"/>
        <w:gridCol w:w="803"/>
        <w:gridCol w:w="3240"/>
      </w:tblGrid>
      <w:tr w14:paraId="5E02E2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347" w:type="dxa"/>
            <w:tcBorders>
              <w:tl2br w:val="single" w:color="auto" w:sz="4" w:space="0"/>
            </w:tcBorders>
          </w:tcPr>
          <w:p w14:paraId="0423705B">
            <w:pPr>
              <w:adjustRightInd w:val="0"/>
              <w:snapToGrid w:val="0"/>
              <w:spacing w:line="240" w:lineRule="auto"/>
              <w:ind w:firstLine="482"/>
              <w:rPr>
                <w:rFonts w:ascii="宋体" w:hAnsi="宋体" w:cs="宋体"/>
                <w:b/>
                <w:bCs/>
              </w:rPr>
            </w:pPr>
            <w:r>
              <w:rPr>
                <w:rFonts w:hint="eastAsia" w:ascii="宋体" w:hAnsi="宋体" w:cs="宋体"/>
                <w:b/>
                <w:bCs/>
              </w:rPr>
              <w:t>内容</w:t>
            </w:r>
          </w:p>
          <w:p w14:paraId="65A39022">
            <w:pPr>
              <w:adjustRightInd w:val="0"/>
              <w:snapToGrid w:val="0"/>
              <w:spacing w:line="240" w:lineRule="auto"/>
              <w:ind w:firstLine="0" w:firstLineChars="0"/>
              <w:rPr>
                <w:rFonts w:ascii="宋体" w:hAnsi="宋体" w:cs="宋体"/>
                <w:b/>
                <w:bCs/>
              </w:rPr>
            </w:pPr>
          </w:p>
          <w:p w14:paraId="5D081468">
            <w:pPr>
              <w:adjustRightInd w:val="0"/>
              <w:snapToGrid w:val="0"/>
              <w:spacing w:line="240" w:lineRule="auto"/>
              <w:ind w:firstLine="0" w:firstLineChars="0"/>
              <w:rPr>
                <w:rFonts w:ascii="宋体" w:hAnsi="宋体" w:cs="宋体"/>
                <w:b/>
                <w:bCs/>
              </w:rPr>
            </w:pPr>
            <w:r>
              <w:rPr>
                <w:rFonts w:hint="eastAsia" w:ascii="宋体" w:hAnsi="宋体" w:cs="宋体"/>
                <w:b/>
                <w:bCs/>
              </w:rPr>
              <w:t>要素</w:t>
            </w:r>
          </w:p>
        </w:tc>
        <w:tc>
          <w:tcPr>
            <w:tcW w:w="1780" w:type="dxa"/>
            <w:vAlign w:val="center"/>
          </w:tcPr>
          <w:p w14:paraId="2C655C4C">
            <w:pPr>
              <w:adjustRightInd w:val="0"/>
              <w:snapToGrid w:val="0"/>
              <w:spacing w:line="240" w:lineRule="auto"/>
              <w:ind w:firstLine="0" w:firstLineChars="0"/>
              <w:jc w:val="center"/>
              <w:rPr>
                <w:rFonts w:ascii="宋体" w:hAnsi="宋体" w:cs="宋体"/>
                <w:b/>
                <w:bCs/>
              </w:rPr>
            </w:pPr>
            <w:r>
              <w:rPr>
                <w:rFonts w:hint="eastAsia" w:ascii="宋体" w:hAnsi="宋体" w:cs="宋体"/>
                <w:b/>
                <w:bCs/>
              </w:rPr>
              <w:t>排放口(编号、</w:t>
            </w:r>
          </w:p>
          <w:p w14:paraId="7DF0CEE9">
            <w:pPr>
              <w:adjustRightInd w:val="0"/>
              <w:snapToGrid w:val="0"/>
              <w:spacing w:line="240" w:lineRule="auto"/>
              <w:ind w:firstLine="0" w:firstLineChars="0"/>
              <w:jc w:val="center"/>
              <w:rPr>
                <w:rFonts w:ascii="宋体" w:hAnsi="宋体" w:cs="宋体"/>
                <w:b/>
                <w:bCs/>
              </w:rPr>
            </w:pPr>
            <w:r>
              <w:rPr>
                <w:rFonts w:hint="eastAsia" w:ascii="宋体" w:hAnsi="宋体" w:cs="宋体"/>
                <w:b/>
                <w:bCs/>
              </w:rPr>
              <w:t>名称)/污染源</w:t>
            </w:r>
          </w:p>
        </w:tc>
        <w:tc>
          <w:tcPr>
            <w:tcW w:w="1328" w:type="dxa"/>
            <w:vAlign w:val="center"/>
          </w:tcPr>
          <w:p w14:paraId="2BB02D7A">
            <w:pPr>
              <w:adjustRightInd w:val="0"/>
              <w:snapToGrid w:val="0"/>
              <w:spacing w:line="240" w:lineRule="auto"/>
              <w:ind w:firstLine="0" w:firstLineChars="0"/>
              <w:jc w:val="center"/>
              <w:rPr>
                <w:rFonts w:ascii="宋体" w:hAnsi="宋体" w:cs="宋体"/>
                <w:b/>
                <w:bCs/>
              </w:rPr>
            </w:pPr>
            <w:r>
              <w:rPr>
                <w:rFonts w:hint="eastAsia" w:ascii="宋体" w:hAnsi="宋体" w:cs="宋体"/>
                <w:b/>
                <w:bCs/>
              </w:rPr>
              <w:t>污染物</w:t>
            </w:r>
          </w:p>
          <w:p w14:paraId="23732131">
            <w:pPr>
              <w:adjustRightInd w:val="0"/>
              <w:snapToGrid w:val="0"/>
              <w:spacing w:line="240" w:lineRule="auto"/>
              <w:ind w:firstLine="0" w:firstLineChars="0"/>
              <w:jc w:val="center"/>
              <w:rPr>
                <w:rFonts w:ascii="宋体" w:hAnsi="宋体" w:cs="宋体"/>
                <w:b/>
                <w:bCs/>
              </w:rPr>
            </w:pPr>
            <w:r>
              <w:rPr>
                <w:rFonts w:hint="eastAsia" w:ascii="宋体" w:hAnsi="宋体" w:cs="宋体"/>
                <w:b/>
                <w:bCs/>
              </w:rPr>
              <w:t>项目</w:t>
            </w:r>
          </w:p>
        </w:tc>
        <w:tc>
          <w:tcPr>
            <w:tcW w:w="1606" w:type="dxa"/>
            <w:gridSpan w:val="2"/>
            <w:vAlign w:val="center"/>
          </w:tcPr>
          <w:p w14:paraId="61617455">
            <w:pPr>
              <w:adjustRightInd w:val="0"/>
              <w:snapToGrid w:val="0"/>
              <w:spacing w:line="240" w:lineRule="auto"/>
              <w:ind w:firstLine="0" w:firstLineChars="0"/>
              <w:jc w:val="center"/>
              <w:rPr>
                <w:rFonts w:ascii="宋体" w:hAnsi="宋体" w:cs="宋体"/>
                <w:b/>
                <w:bCs/>
              </w:rPr>
            </w:pPr>
            <w:r>
              <w:rPr>
                <w:rFonts w:hint="eastAsia" w:ascii="宋体" w:hAnsi="宋体" w:cs="宋体"/>
                <w:b/>
                <w:bCs/>
              </w:rPr>
              <w:t>环境保护</w:t>
            </w:r>
          </w:p>
          <w:p w14:paraId="633F4B29">
            <w:pPr>
              <w:adjustRightInd w:val="0"/>
              <w:snapToGrid w:val="0"/>
              <w:spacing w:line="240" w:lineRule="auto"/>
              <w:ind w:firstLine="0" w:firstLineChars="0"/>
              <w:jc w:val="center"/>
              <w:rPr>
                <w:rFonts w:ascii="宋体" w:hAnsi="宋体" w:cs="宋体"/>
                <w:b/>
                <w:bCs/>
              </w:rPr>
            </w:pPr>
            <w:r>
              <w:rPr>
                <w:rFonts w:hint="eastAsia" w:ascii="宋体" w:hAnsi="宋体" w:cs="宋体"/>
                <w:b/>
                <w:bCs/>
              </w:rPr>
              <w:t>措施</w:t>
            </w:r>
          </w:p>
        </w:tc>
        <w:tc>
          <w:tcPr>
            <w:tcW w:w="3240" w:type="dxa"/>
            <w:vAlign w:val="center"/>
          </w:tcPr>
          <w:p w14:paraId="033CF13A">
            <w:pPr>
              <w:adjustRightInd w:val="0"/>
              <w:snapToGrid w:val="0"/>
              <w:spacing w:line="240" w:lineRule="auto"/>
              <w:ind w:firstLine="0" w:firstLineChars="0"/>
              <w:jc w:val="center"/>
              <w:rPr>
                <w:rFonts w:ascii="宋体" w:hAnsi="宋体" w:cs="宋体"/>
                <w:b/>
                <w:bCs/>
              </w:rPr>
            </w:pPr>
            <w:r>
              <w:rPr>
                <w:rFonts w:hint="eastAsia" w:ascii="宋体" w:hAnsi="宋体" w:cs="宋体"/>
                <w:b/>
                <w:bCs/>
              </w:rPr>
              <w:t>执行标准</w:t>
            </w:r>
          </w:p>
        </w:tc>
      </w:tr>
      <w:tr w14:paraId="6AE2B6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1" w:hRule="atLeast"/>
          <w:jc w:val="center"/>
        </w:trPr>
        <w:tc>
          <w:tcPr>
            <w:tcW w:w="1347" w:type="dxa"/>
            <w:vMerge w:val="restart"/>
            <w:vAlign w:val="center"/>
          </w:tcPr>
          <w:p w14:paraId="5537809F">
            <w:pPr>
              <w:adjustRightInd w:val="0"/>
              <w:snapToGrid w:val="0"/>
              <w:spacing w:line="240" w:lineRule="auto"/>
              <w:ind w:firstLine="0" w:firstLineChars="0"/>
              <w:jc w:val="center"/>
              <w:rPr>
                <w:rFonts w:ascii="宋体" w:hAnsi="宋体" w:cs="宋体"/>
              </w:rPr>
            </w:pPr>
            <w:r>
              <w:rPr>
                <w:rFonts w:hint="eastAsia" w:ascii="宋体" w:hAnsi="宋体" w:cs="宋体"/>
              </w:rPr>
              <w:t>大气环境</w:t>
            </w:r>
          </w:p>
        </w:tc>
        <w:tc>
          <w:tcPr>
            <w:tcW w:w="1780" w:type="dxa"/>
            <w:vMerge w:val="restart"/>
            <w:vAlign w:val="center"/>
          </w:tcPr>
          <w:p w14:paraId="7FDE2213">
            <w:pPr>
              <w:widowControl/>
              <w:spacing w:line="240" w:lineRule="auto"/>
              <w:ind w:firstLine="0" w:firstLineChars="0"/>
              <w:jc w:val="center"/>
              <w:rPr>
                <w:color w:val="000000"/>
              </w:rPr>
            </w:pPr>
            <w:r>
              <w:rPr>
                <w:rFonts w:hint="eastAsia"/>
                <w:bCs/>
                <w:kern w:val="0"/>
              </w:rPr>
              <w:t>废气排放口DA001</w:t>
            </w:r>
          </w:p>
        </w:tc>
        <w:tc>
          <w:tcPr>
            <w:tcW w:w="1328" w:type="dxa"/>
            <w:shd w:val="clear" w:color="auto" w:fill="auto"/>
            <w:vAlign w:val="center"/>
          </w:tcPr>
          <w:p w14:paraId="7FD0E1FA">
            <w:pPr>
              <w:spacing w:line="240" w:lineRule="auto"/>
              <w:ind w:firstLine="0" w:firstLineChars="0"/>
              <w:jc w:val="center"/>
              <w:rPr>
                <w:color w:val="000000"/>
              </w:rPr>
            </w:pPr>
            <w:r>
              <w:rPr>
                <w:rFonts w:hint="eastAsia"/>
                <w:color w:val="000000"/>
              </w:rPr>
              <w:t>非甲烷总烃</w:t>
            </w:r>
          </w:p>
        </w:tc>
        <w:tc>
          <w:tcPr>
            <w:tcW w:w="803" w:type="dxa"/>
            <w:shd w:val="clear" w:color="auto" w:fill="auto"/>
            <w:vAlign w:val="center"/>
          </w:tcPr>
          <w:p w14:paraId="5EA83D9C">
            <w:pPr>
              <w:snapToGrid w:val="0"/>
              <w:spacing w:line="240" w:lineRule="auto"/>
              <w:ind w:firstLine="0" w:firstLineChars="0"/>
              <w:jc w:val="center"/>
              <w:rPr>
                <w:color w:val="000000"/>
              </w:rPr>
            </w:pPr>
            <w:r>
              <w:rPr>
                <w:rFonts w:hint="eastAsia"/>
                <w:color w:val="000000"/>
              </w:rPr>
              <w:t>/</w:t>
            </w:r>
          </w:p>
        </w:tc>
        <w:tc>
          <w:tcPr>
            <w:tcW w:w="803" w:type="dxa"/>
            <w:vMerge w:val="restart"/>
            <w:shd w:val="clear" w:color="auto" w:fill="auto"/>
            <w:vAlign w:val="center"/>
          </w:tcPr>
          <w:p w14:paraId="4649DFAE">
            <w:pPr>
              <w:snapToGrid w:val="0"/>
              <w:spacing w:line="240" w:lineRule="auto"/>
              <w:ind w:firstLine="0" w:firstLineChars="0"/>
              <w:jc w:val="center"/>
              <w:rPr>
                <w:color w:val="000000"/>
              </w:rPr>
            </w:pPr>
            <w:r>
              <w:rPr>
                <w:rFonts w:hint="eastAsia"/>
                <w:color w:val="000000"/>
              </w:rPr>
              <w:t>活性炭吸附/浓缩-催化燃烧装置+</w:t>
            </w:r>
            <w:r>
              <w:rPr>
                <w:color w:val="000000"/>
              </w:rPr>
              <w:t>15m高排气筒</w:t>
            </w:r>
            <w:r>
              <w:rPr>
                <w:rFonts w:hint="eastAsia"/>
                <w:color w:val="000000"/>
              </w:rPr>
              <w:t>（DA001）</w:t>
            </w:r>
          </w:p>
        </w:tc>
        <w:tc>
          <w:tcPr>
            <w:tcW w:w="3240" w:type="dxa"/>
            <w:vMerge w:val="restart"/>
            <w:shd w:val="clear" w:color="auto" w:fill="auto"/>
            <w:vAlign w:val="center"/>
          </w:tcPr>
          <w:p w14:paraId="692513E7">
            <w:pPr>
              <w:spacing w:line="240" w:lineRule="auto"/>
              <w:ind w:firstLine="0" w:firstLineChars="0"/>
              <w:textAlignment w:val="baseline"/>
            </w:pPr>
            <w:r>
              <w:rPr>
                <w:rFonts w:hint="eastAsia"/>
              </w:rPr>
              <w:t>非甲烷总烃、颗粒物的排放速率和浓度满足《大气污染物综合排放标准》（GB16297-1996）表2中二级排放标准（当排气筒高度为15m时，非甲烷总烃排放浓度限值120 mg/m</w:t>
            </w:r>
            <w:r>
              <w:rPr>
                <w:rFonts w:hint="eastAsia"/>
                <w:vertAlign w:val="superscript"/>
              </w:rPr>
              <w:t>3</w:t>
            </w:r>
            <w:r>
              <w:rPr>
                <w:rFonts w:hint="eastAsia"/>
              </w:rPr>
              <w:t>，排放速率限值10kg/h；颗粒物排放浓度限值120 mg/m</w:t>
            </w:r>
            <w:r>
              <w:rPr>
                <w:rFonts w:hint="eastAsia"/>
                <w:vertAlign w:val="superscript"/>
              </w:rPr>
              <w:t>3</w:t>
            </w:r>
            <w:r>
              <w:rPr>
                <w:rFonts w:hint="eastAsia"/>
              </w:rPr>
              <w:t>，排放速率限值3.5kg/h），同时满足《河南省重污染天气重点行业应急减排措施制定技术指南</w:t>
            </w:r>
            <w:r>
              <w:rPr>
                <w:rFonts w:hint="eastAsia"/>
                <w:lang w:eastAsia="zh-CN"/>
              </w:rPr>
              <w:t xml:space="preserve">（2024年修订版）》 </w:t>
            </w:r>
            <w:r>
              <w:rPr>
                <w:rFonts w:hint="eastAsia"/>
              </w:rPr>
              <w:t>“纺织印染与服饰制造”绩效分级A级要求（颗粒物排放浓度限值10mg/m</w:t>
            </w:r>
            <w:r>
              <w:rPr>
                <w:rFonts w:hint="eastAsia"/>
                <w:vertAlign w:val="superscript"/>
              </w:rPr>
              <w:t>3</w:t>
            </w:r>
            <w:r>
              <w:rPr>
                <w:rFonts w:hint="eastAsia"/>
              </w:rPr>
              <w:t>，非甲烷总烃40mg/m</w:t>
            </w:r>
            <w:r>
              <w:rPr>
                <w:rFonts w:hint="eastAsia"/>
                <w:vertAlign w:val="superscript"/>
              </w:rPr>
              <w:t>3</w:t>
            </w:r>
            <w:r>
              <w:rPr>
                <w:rFonts w:hint="eastAsia"/>
              </w:rPr>
              <w:t>，去除效率不低于90%）和《新乡市生态环境局关于进一步规范工业企业颗粒物排放限值的通知》限值要求（颗粒物浓度限值10mg/m</w:t>
            </w:r>
            <w:r>
              <w:rPr>
                <w:rFonts w:hint="eastAsia"/>
                <w:vertAlign w:val="superscript"/>
              </w:rPr>
              <w:t>3</w:t>
            </w:r>
            <w:r>
              <w:rPr>
                <w:rFonts w:hint="eastAsia"/>
              </w:rPr>
              <w:t>）。</w:t>
            </w:r>
          </w:p>
        </w:tc>
      </w:tr>
      <w:tr w14:paraId="6DECF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347" w:type="dxa"/>
            <w:vMerge w:val="continue"/>
            <w:vAlign w:val="center"/>
          </w:tcPr>
          <w:p w14:paraId="183E1D85">
            <w:pPr>
              <w:adjustRightInd w:val="0"/>
              <w:snapToGrid w:val="0"/>
              <w:spacing w:line="240" w:lineRule="auto"/>
              <w:ind w:firstLine="0" w:firstLineChars="0"/>
              <w:jc w:val="center"/>
              <w:rPr>
                <w:rFonts w:ascii="宋体" w:hAnsi="宋体" w:cs="宋体"/>
              </w:rPr>
            </w:pPr>
          </w:p>
        </w:tc>
        <w:tc>
          <w:tcPr>
            <w:tcW w:w="1780" w:type="dxa"/>
            <w:vMerge w:val="continue"/>
            <w:shd w:val="clear" w:color="auto" w:fill="auto"/>
            <w:vAlign w:val="center"/>
          </w:tcPr>
          <w:p w14:paraId="216709EE">
            <w:pPr>
              <w:widowControl/>
              <w:spacing w:line="240" w:lineRule="auto"/>
              <w:ind w:firstLine="0" w:firstLineChars="0"/>
              <w:jc w:val="center"/>
              <w:rPr>
                <w:color w:val="000000"/>
              </w:rPr>
            </w:pPr>
          </w:p>
        </w:tc>
        <w:tc>
          <w:tcPr>
            <w:tcW w:w="1328" w:type="dxa"/>
            <w:shd w:val="clear" w:color="auto" w:fill="auto"/>
            <w:vAlign w:val="center"/>
          </w:tcPr>
          <w:p w14:paraId="3EA313D1">
            <w:pPr>
              <w:spacing w:line="240" w:lineRule="auto"/>
              <w:ind w:firstLine="0" w:firstLineChars="0"/>
              <w:jc w:val="center"/>
              <w:rPr>
                <w:color w:val="000000"/>
              </w:rPr>
            </w:pPr>
            <w:r>
              <w:rPr>
                <w:rFonts w:hint="eastAsia"/>
                <w:color w:val="000000"/>
              </w:rPr>
              <w:t>颗粒物</w:t>
            </w:r>
          </w:p>
        </w:tc>
        <w:tc>
          <w:tcPr>
            <w:tcW w:w="803" w:type="dxa"/>
            <w:shd w:val="clear" w:color="auto" w:fill="auto"/>
            <w:vAlign w:val="center"/>
          </w:tcPr>
          <w:p w14:paraId="7BF4EC0F">
            <w:pPr>
              <w:snapToGrid w:val="0"/>
              <w:spacing w:line="240" w:lineRule="auto"/>
              <w:ind w:firstLine="0" w:firstLineChars="0"/>
              <w:jc w:val="center"/>
              <w:rPr>
                <w:color w:val="000000"/>
              </w:rPr>
            </w:pPr>
            <w:r>
              <w:rPr>
                <w:rFonts w:hint="eastAsia"/>
                <w:color w:val="000000"/>
                <w:lang w:eastAsia="zh-CN"/>
              </w:rPr>
              <w:t>袋式除尘器</w:t>
            </w:r>
            <w:r>
              <w:rPr>
                <w:rFonts w:hint="eastAsia"/>
                <w:color w:val="000000"/>
              </w:rPr>
              <w:t>预处理</w:t>
            </w:r>
          </w:p>
        </w:tc>
        <w:tc>
          <w:tcPr>
            <w:tcW w:w="803" w:type="dxa"/>
            <w:vMerge w:val="continue"/>
            <w:shd w:val="clear" w:color="auto" w:fill="auto"/>
            <w:vAlign w:val="center"/>
          </w:tcPr>
          <w:p w14:paraId="75702127">
            <w:pPr>
              <w:snapToGrid w:val="0"/>
              <w:spacing w:line="240" w:lineRule="auto"/>
              <w:ind w:firstLine="0" w:firstLineChars="0"/>
              <w:jc w:val="center"/>
              <w:rPr>
                <w:color w:val="000000"/>
              </w:rPr>
            </w:pPr>
          </w:p>
        </w:tc>
        <w:tc>
          <w:tcPr>
            <w:tcW w:w="3240" w:type="dxa"/>
            <w:vMerge w:val="continue"/>
            <w:shd w:val="clear" w:color="auto" w:fill="auto"/>
            <w:vAlign w:val="center"/>
          </w:tcPr>
          <w:p w14:paraId="62FF293D">
            <w:pPr>
              <w:spacing w:line="240" w:lineRule="auto"/>
              <w:ind w:firstLine="0" w:firstLineChars="0"/>
              <w:jc w:val="center"/>
            </w:pPr>
          </w:p>
        </w:tc>
      </w:tr>
      <w:tr w14:paraId="5021D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1347" w:type="dxa"/>
            <w:vMerge w:val="continue"/>
            <w:vAlign w:val="center"/>
          </w:tcPr>
          <w:p w14:paraId="5865E358">
            <w:pPr>
              <w:adjustRightInd w:val="0"/>
              <w:snapToGrid w:val="0"/>
              <w:spacing w:line="240" w:lineRule="auto"/>
              <w:ind w:firstLine="0" w:firstLineChars="0"/>
              <w:jc w:val="center"/>
              <w:rPr>
                <w:rFonts w:ascii="宋体" w:hAnsi="宋体" w:cs="宋体"/>
              </w:rPr>
            </w:pPr>
          </w:p>
        </w:tc>
        <w:tc>
          <w:tcPr>
            <w:tcW w:w="1780" w:type="dxa"/>
            <w:vMerge w:val="restart"/>
            <w:vAlign w:val="center"/>
          </w:tcPr>
          <w:p w14:paraId="13771863">
            <w:pPr>
              <w:widowControl/>
              <w:spacing w:line="240" w:lineRule="auto"/>
              <w:ind w:firstLine="0" w:firstLineChars="0"/>
              <w:jc w:val="center"/>
              <w:rPr>
                <w:color w:val="000000"/>
              </w:rPr>
            </w:pPr>
            <w:r>
              <w:rPr>
                <w:color w:val="000000"/>
              </w:rPr>
              <w:t>无组织管控措施</w:t>
            </w:r>
          </w:p>
        </w:tc>
        <w:tc>
          <w:tcPr>
            <w:tcW w:w="1328" w:type="dxa"/>
            <w:vAlign w:val="center"/>
          </w:tcPr>
          <w:p w14:paraId="0B44AA61">
            <w:pPr>
              <w:adjustRightInd w:val="0"/>
              <w:snapToGrid w:val="0"/>
              <w:spacing w:line="240" w:lineRule="auto"/>
              <w:ind w:firstLine="0" w:firstLineChars="0"/>
              <w:jc w:val="left"/>
              <w:rPr>
                <w:color w:val="000000"/>
              </w:rPr>
            </w:pPr>
            <w:r>
              <w:rPr>
                <w:rFonts w:hint="eastAsia"/>
              </w:rPr>
              <w:t>颗粒物</w:t>
            </w:r>
          </w:p>
        </w:tc>
        <w:tc>
          <w:tcPr>
            <w:tcW w:w="1606" w:type="dxa"/>
            <w:gridSpan w:val="2"/>
            <w:vAlign w:val="center"/>
          </w:tcPr>
          <w:p w14:paraId="66674AB9">
            <w:pPr>
              <w:adjustRightInd w:val="0"/>
              <w:snapToGrid w:val="0"/>
              <w:spacing w:line="240" w:lineRule="auto"/>
              <w:ind w:firstLine="0" w:firstLineChars="0"/>
              <w:jc w:val="left"/>
            </w:pPr>
            <w:r>
              <w:rPr>
                <w:rFonts w:hint="eastAsia"/>
              </w:rPr>
              <w:t>1、</w:t>
            </w:r>
            <w:r>
              <w:t>厂区所有地面完成硬化，</w:t>
            </w:r>
            <w:r>
              <w:rPr>
                <w:rFonts w:hint="eastAsia"/>
              </w:rPr>
              <w:t>及时清扫降落到地面的灰尘；</w:t>
            </w:r>
          </w:p>
          <w:p w14:paraId="467669C0">
            <w:pPr>
              <w:adjustRightInd w:val="0"/>
              <w:snapToGrid w:val="0"/>
              <w:spacing w:line="240" w:lineRule="auto"/>
              <w:ind w:firstLine="0" w:firstLineChars="0"/>
              <w:jc w:val="left"/>
            </w:pPr>
            <w:r>
              <w:rPr>
                <w:rFonts w:hint="eastAsia"/>
              </w:rPr>
              <w:t>2、</w:t>
            </w:r>
            <w:r>
              <w:t>除尘器卸灰不直接卸落到地面，卸灰区封闭；</w:t>
            </w:r>
          </w:p>
          <w:p w14:paraId="3F363704">
            <w:pPr>
              <w:adjustRightInd w:val="0"/>
              <w:snapToGrid w:val="0"/>
              <w:spacing w:line="240" w:lineRule="auto"/>
              <w:ind w:firstLine="0" w:firstLineChars="0"/>
              <w:jc w:val="left"/>
            </w:pPr>
            <w:r>
              <w:rPr>
                <w:rFonts w:hint="eastAsia"/>
              </w:rPr>
              <w:t>3、</w:t>
            </w:r>
            <w:r>
              <w:t>本项目生产过程均在密闭生产车间，产尘节点安装</w:t>
            </w:r>
            <w:r>
              <w:rPr>
                <w:rFonts w:hint="eastAsia"/>
              </w:rPr>
              <w:t>集气罩或密闭操作间</w:t>
            </w:r>
            <w:r>
              <w:t>并配备</w:t>
            </w:r>
            <w:r>
              <w:rPr>
                <w:rFonts w:hint="eastAsia"/>
                <w:lang w:eastAsia="zh-CN"/>
              </w:rPr>
              <w:t>袋式除尘器</w:t>
            </w:r>
            <w:r>
              <w:t>；</w:t>
            </w:r>
          </w:p>
          <w:p w14:paraId="7A2BC4F6">
            <w:pPr>
              <w:adjustRightInd w:val="0"/>
              <w:snapToGrid w:val="0"/>
              <w:spacing w:line="240" w:lineRule="auto"/>
              <w:ind w:firstLine="0" w:firstLineChars="0"/>
              <w:jc w:val="left"/>
              <w:rPr>
                <w:color w:val="000000"/>
              </w:rPr>
            </w:pPr>
            <w:r>
              <w:rPr>
                <w:rFonts w:hint="eastAsia"/>
              </w:rPr>
              <w:t>4、</w:t>
            </w:r>
            <w:r>
              <w:t>厂区道路硬化，定期洒水清扫。</w:t>
            </w:r>
          </w:p>
        </w:tc>
        <w:tc>
          <w:tcPr>
            <w:tcW w:w="3240" w:type="dxa"/>
            <w:vAlign w:val="center"/>
          </w:tcPr>
          <w:p w14:paraId="2EBC349E">
            <w:pPr>
              <w:adjustRightInd w:val="0"/>
              <w:snapToGrid w:val="0"/>
              <w:spacing w:line="240" w:lineRule="auto"/>
              <w:ind w:firstLine="0" w:firstLineChars="0"/>
              <w:jc w:val="center"/>
            </w:pPr>
            <w:r>
              <w:rPr>
                <w:rFonts w:hint="eastAsia"/>
              </w:rPr>
              <w:t>《大气污染物综合排放标准》（GB16297-1996）</w:t>
            </w:r>
            <w:r>
              <w:t>企业边界</w:t>
            </w:r>
            <w:r>
              <w:rPr>
                <w:rFonts w:hint="eastAsia"/>
              </w:rPr>
              <w:t>颗粒物</w:t>
            </w:r>
            <w:r>
              <w:t>浓度限值</w:t>
            </w:r>
            <w:r>
              <w:rPr>
                <w:rFonts w:hint="eastAsia"/>
              </w:rPr>
              <w:t>1.0</w:t>
            </w:r>
            <w:r>
              <w:t>mg/m</w:t>
            </w:r>
            <w:r>
              <w:rPr>
                <w:vertAlign w:val="superscript"/>
              </w:rPr>
              <w:t>3</w:t>
            </w:r>
            <w:r>
              <w:rPr>
                <w:rFonts w:hint="eastAsia"/>
                <w:color w:val="000000"/>
              </w:rPr>
              <w:t>，同时满足</w:t>
            </w:r>
            <w:r>
              <w:t>《新乡市生态环境局关于进一步规范工业企业颗粒物排放限值的通知》企业边界大气污染物浓度限值0.5mg/m</w:t>
            </w:r>
            <w:r>
              <w:rPr>
                <w:vertAlign w:val="superscript"/>
              </w:rPr>
              <w:t>3</w:t>
            </w:r>
            <w:r>
              <w:t>的限值要求</w:t>
            </w:r>
            <w:r>
              <w:rPr>
                <w:rFonts w:hint="eastAsia"/>
              </w:rPr>
              <w:t>。</w:t>
            </w:r>
          </w:p>
        </w:tc>
      </w:tr>
      <w:tr w14:paraId="5EDEA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1347" w:type="dxa"/>
            <w:vMerge w:val="continue"/>
            <w:vAlign w:val="center"/>
          </w:tcPr>
          <w:p w14:paraId="6DFA498F">
            <w:pPr>
              <w:spacing w:line="240" w:lineRule="auto"/>
              <w:ind w:firstLine="0" w:firstLineChars="0"/>
              <w:jc w:val="center"/>
            </w:pPr>
          </w:p>
        </w:tc>
        <w:tc>
          <w:tcPr>
            <w:tcW w:w="1780" w:type="dxa"/>
            <w:vMerge w:val="continue"/>
            <w:vAlign w:val="center"/>
          </w:tcPr>
          <w:p w14:paraId="79C6D06A">
            <w:pPr>
              <w:spacing w:line="240" w:lineRule="auto"/>
              <w:ind w:firstLine="0" w:firstLineChars="0"/>
              <w:jc w:val="center"/>
            </w:pPr>
          </w:p>
        </w:tc>
        <w:tc>
          <w:tcPr>
            <w:tcW w:w="1328" w:type="dxa"/>
            <w:vAlign w:val="center"/>
          </w:tcPr>
          <w:p w14:paraId="020F249D">
            <w:pPr>
              <w:adjustRightInd w:val="0"/>
              <w:snapToGrid w:val="0"/>
              <w:spacing w:line="240" w:lineRule="auto"/>
              <w:ind w:firstLine="0" w:firstLineChars="0"/>
              <w:jc w:val="center"/>
              <w:rPr>
                <w:rFonts w:hint="eastAsia" w:eastAsia="宋体"/>
                <w:color w:val="000000"/>
                <w:lang w:eastAsia="zh-CN"/>
              </w:rPr>
            </w:pPr>
            <w:r>
              <w:rPr>
                <w:rFonts w:hint="eastAsia"/>
              </w:rPr>
              <w:t>非甲烷总烃</w:t>
            </w:r>
          </w:p>
        </w:tc>
        <w:tc>
          <w:tcPr>
            <w:tcW w:w="1606" w:type="dxa"/>
            <w:gridSpan w:val="2"/>
            <w:vAlign w:val="center"/>
          </w:tcPr>
          <w:p w14:paraId="35931BDD">
            <w:pPr>
              <w:adjustRightInd w:val="0"/>
              <w:snapToGrid w:val="0"/>
              <w:spacing w:line="240" w:lineRule="auto"/>
              <w:ind w:firstLine="0" w:firstLineChars="0"/>
              <w:jc w:val="left"/>
            </w:pPr>
            <w:r>
              <w:rPr>
                <w:rFonts w:hint="eastAsia"/>
              </w:rPr>
              <w:t>1、项目VOCs物料均为密闭桶装，存储于无阳光直射的密闭原料库；</w:t>
            </w:r>
          </w:p>
          <w:p w14:paraId="200BE743">
            <w:pPr>
              <w:adjustRightInd w:val="0"/>
              <w:snapToGrid w:val="0"/>
              <w:spacing w:line="240" w:lineRule="auto"/>
              <w:ind w:firstLine="0" w:firstLineChars="0"/>
              <w:jc w:val="left"/>
            </w:pPr>
            <w:r>
              <w:rPr>
                <w:rFonts w:hint="eastAsia"/>
              </w:rPr>
              <w:t>2、废包装桶、废活性炭等含VOCs的废物分类放置于贴有标识的容器内，加盖密封，存放于危废间，危废间废气负压收集引至有机废气处理装置进行处理；</w:t>
            </w:r>
          </w:p>
          <w:p w14:paraId="31DDD29C">
            <w:pPr>
              <w:adjustRightInd w:val="0"/>
              <w:snapToGrid w:val="0"/>
              <w:spacing w:line="240" w:lineRule="auto"/>
              <w:ind w:firstLine="0" w:firstLineChars="0"/>
              <w:jc w:val="left"/>
              <w:rPr>
                <w:color w:val="000000"/>
              </w:rPr>
            </w:pPr>
            <w:r>
              <w:rPr>
                <w:rFonts w:hint="eastAsia"/>
              </w:rPr>
              <w:t>3、印花、复合、雕花、压花工序设置密闭集气罩，废气引至有机废气处理装置进行处理。</w:t>
            </w:r>
          </w:p>
        </w:tc>
        <w:tc>
          <w:tcPr>
            <w:tcW w:w="3240" w:type="dxa"/>
            <w:vAlign w:val="center"/>
          </w:tcPr>
          <w:p w14:paraId="605C3537">
            <w:pPr>
              <w:adjustRightInd w:val="0"/>
              <w:snapToGrid w:val="0"/>
              <w:spacing w:line="240" w:lineRule="auto"/>
              <w:ind w:firstLine="0" w:firstLineChars="0"/>
              <w:jc w:val="center"/>
              <w:rPr>
                <w:color w:val="000000"/>
              </w:rPr>
            </w:pPr>
            <w:r>
              <w:rPr>
                <w:rFonts w:hint="eastAsia"/>
              </w:rPr>
              <w:t>《大气污染物综合排放标准》（GB16297-1996）</w:t>
            </w:r>
            <w:r>
              <w:t>企业边界</w:t>
            </w:r>
            <w:r>
              <w:rPr>
                <w:rFonts w:hint="eastAsia"/>
              </w:rPr>
              <w:t>非甲烷总烃</w:t>
            </w:r>
            <w:r>
              <w:t>浓度限值</w:t>
            </w:r>
            <w:r>
              <w:rPr>
                <w:rFonts w:hint="eastAsia"/>
              </w:rPr>
              <w:t>4.0</w:t>
            </w:r>
            <w:r>
              <w:t>mg/m</w:t>
            </w:r>
            <w:r>
              <w:rPr>
                <w:vertAlign w:val="superscript"/>
              </w:rPr>
              <w:t>3</w:t>
            </w:r>
            <w:r>
              <w:t>的限值要求</w:t>
            </w:r>
            <w:r>
              <w:rPr>
                <w:rFonts w:hint="eastAsia"/>
              </w:rPr>
              <w:t>、非甲烷总烃</w:t>
            </w:r>
            <w:r>
              <w:t>无组织排放浓度能够满足《关于全省开展工业企业挥发性有机物专项治理工作中排放建议值的通知》（豫环攻坚办[2017]162号）中工业企业边界</w:t>
            </w:r>
            <w:r>
              <w:rPr>
                <w:rFonts w:hint="eastAsia"/>
              </w:rPr>
              <w:t>非甲烷总烃</w:t>
            </w:r>
            <w:r>
              <w:t>排放浓度2.0mg/m</w:t>
            </w:r>
            <w:r>
              <w:rPr>
                <w:vertAlign w:val="superscript"/>
              </w:rPr>
              <w:t>3</w:t>
            </w:r>
            <w:r>
              <w:t>的标准要求</w:t>
            </w:r>
          </w:p>
        </w:tc>
      </w:tr>
      <w:tr w14:paraId="734A1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347" w:type="dxa"/>
            <w:vAlign w:val="center"/>
          </w:tcPr>
          <w:p w14:paraId="31AF95D3">
            <w:pPr>
              <w:adjustRightInd w:val="0"/>
              <w:snapToGrid w:val="0"/>
              <w:spacing w:line="240" w:lineRule="auto"/>
              <w:ind w:firstLine="0" w:firstLineChars="0"/>
              <w:jc w:val="center"/>
              <w:rPr>
                <w:rFonts w:ascii="宋体" w:hAnsi="宋体" w:cs="宋体"/>
              </w:rPr>
            </w:pPr>
            <w:r>
              <w:rPr>
                <w:rFonts w:hint="eastAsia" w:ascii="宋体" w:hAnsi="宋体" w:cs="宋体"/>
              </w:rPr>
              <w:t>地表水环境</w:t>
            </w:r>
          </w:p>
        </w:tc>
        <w:tc>
          <w:tcPr>
            <w:tcW w:w="1780" w:type="dxa"/>
            <w:shd w:val="clear" w:color="auto" w:fill="auto"/>
            <w:vAlign w:val="center"/>
          </w:tcPr>
          <w:p w14:paraId="49E7554E">
            <w:pPr>
              <w:spacing w:line="240" w:lineRule="auto"/>
              <w:ind w:firstLine="0" w:firstLineChars="0"/>
              <w:jc w:val="center"/>
              <w:rPr>
                <w:color w:val="000000"/>
              </w:rPr>
            </w:pPr>
            <w:r>
              <w:rPr>
                <w:color w:val="000000"/>
              </w:rPr>
              <w:t>职工生活</w:t>
            </w:r>
          </w:p>
        </w:tc>
        <w:tc>
          <w:tcPr>
            <w:tcW w:w="1328" w:type="dxa"/>
            <w:shd w:val="clear" w:color="auto" w:fill="auto"/>
            <w:vAlign w:val="center"/>
          </w:tcPr>
          <w:p w14:paraId="02924C53">
            <w:pPr>
              <w:spacing w:line="240" w:lineRule="auto"/>
              <w:ind w:firstLine="0" w:firstLineChars="0"/>
              <w:jc w:val="center"/>
              <w:rPr>
                <w:color w:val="000000"/>
              </w:rPr>
            </w:pPr>
            <w:r>
              <w:rPr>
                <w:color w:val="000000"/>
              </w:rPr>
              <w:t>COD、SS、NH</w:t>
            </w:r>
            <w:r>
              <w:rPr>
                <w:color w:val="000000"/>
                <w:vertAlign w:val="subscript"/>
              </w:rPr>
              <w:t>3</w:t>
            </w:r>
            <w:r>
              <w:rPr>
                <w:color w:val="000000"/>
              </w:rPr>
              <w:t>-N、TP、TN</w:t>
            </w:r>
          </w:p>
        </w:tc>
        <w:tc>
          <w:tcPr>
            <w:tcW w:w="1606" w:type="dxa"/>
            <w:gridSpan w:val="2"/>
            <w:shd w:val="clear" w:color="auto" w:fill="auto"/>
            <w:vAlign w:val="center"/>
          </w:tcPr>
          <w:p w14:paraId="00C5208D">
            <w:pPr>
              <w:spacing w:line="240" w:lineRule="auto"/>
              <w:ind w:firstLine="0" w:firstLineChars="0"/>
              <w:jc w:val="center"/>
              <w:rPr>
                <w:color w:val="000000"/>
              </w:rPr>
            </w:pPr>
            <w:r>
              <w:rPr>
                <w:color w:val="000000"/>
              </w:rPr>
              <w:t>生活污水经化粪池处理后排入</w:t>
            </w:r>
            <w:r>
              <w:rPr>
                <w:rFonts w:hint="eastAsia"/>
                <w:color w:val="000000"/>
              </w:rPr>
              <w:t>河南新投水务有限公司（小尚庄污水处理厂）</w:t>
            </w:r>
            <w:r>
              <w:rPr>
                <w:color w:val="000000"/>
              </w:rPr>
              <w:t>进一步处理</w:t>
            </w:r>
          </w:p>
        </w:tc>
        <w:tc>
          <w:tcPr>
            <w:tcW w:w="3240" w:type="dxa"/>
            <w:vAlign w:val="center"/>
          </w:tcPr>
          <w:p w14:paraId="343F4B34">
            <w:pPr>
              <w:spacing w:line="240" w:lineRule="auto"/>
              <w:ind w:firstLine="0" w:firstLineChars="0"/>
              <w:jc w:val="center"/>
              <w:rPr>
                <w:color w:val="000000"/>
              </w:rPr>
            </w:pPr>
            <w:r>
              <w:rPr>
                <w:color w:val="000000"/>
              </w:rPr>
              <w:t>《</w:t>
            </w:r>
            <w:r>
              <w:rPr>
                <w:rFonts w:hint="eastAsia"/>
                <w:color w:val="000000"/>
              </w:rPr>
              <w:t>污水综合</w:t>
            </w:r>
            <w:r>
              <w:rPr>
                <w:color w:val="000000"/>
              </w:rPr>
              <w:t>排放标准》(GB8978-1996)三级标准</w:t>
            </w:r>
            <w:r>
              <w:rPr>
                <w:rFonts w:hint="eastAsia"/>
                <w:color w:val="000000"/>
                <w:lang w:eastAsia="zh-CN"/>
              </w:rPr>
              <w:t>；</w:t>
            </w:r>
            <w:r>
              <w:rPr>
                <w:rFonts w:hint="eastAsia"/>
                <w:color w:val="000000"/>
              </w:rPr>
              <w:t>河南新投水务有限公司（小尚庄污水处理厂）收水标准</w:t>
            </w:r>
          </w:p>
        </w:tc>
      </w:tr>
      <w:tr w14:paraId="6C1BD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347" w:type="dxa"/>
            <w:vAlign w:val="center"/>
          </w:tcPr>
          <w:p w14:paraId="4386E81C">
            <w:pPr>
              <w:adjustRightInd w:val="0"/>
              <w:snapToGrid w:val="0"/>
              <w:spacing w:line="240" w:lineRule="auto"/>
              <w:ind w:firstLine="0" w:firstLineChars="0"/>
              <w:jc w:val="center"/>
              <w:rPr>
                <w:rFonts w:ascii="宋体" w:hAnsi="宋体" w:cs="宋体"/>
              </w:rPr>
            </w:pPr>
            <w:r>
              <w:rPr>
                <w:rFonts w:hint="eastAsia" w:ascii="宋体" w:hAnsi="宋体" w:cs="宋体"/>
              </w:rPr>
              <w:t>声环境</w:t>
            </w:r>
          </w:p>
        </w:tc>
        <w:tc>
          <w:tcPr>
            <w:tcW w:w="1780" w:type="dxa"/>
            <w:vAlign w:val="center"/>
          </w:tcPr>
          <w:p w14:paraId="6F444F08">
            <w:pPr>
              <w:spacing w:line="240" w:lineRule="auto"/>
              <w:ind w:firstLine="0" w:firstLineChars="0"/>
              <w:jc w:val="center"/>
              <w:rPr>
                <w:color w:val="000000"/>
              </w:rPr>
            </w:pPr>
            <w:r>
              <w:rPr>
                <w:color w:val="000000"/>
              </w:rPr>
              <w:t>生产过程</w:t>
            </w:r>
          </w:p>
        </w:tc>
        <w:tc>
          <w:tcPr>
            <w:tcW w:w="1328" w:type="dxa"/>
            <w:vAlign w:val="center"/>
          </w:tcPr>
          <w:p w14:paraId="5A9DC93F">
            <w:pPr>
              <w:spacing w:line="240" w:lineRule="auto"/>
              <w:ind w:firstLine="0" w:firstLineChars="0"/>
              <w:jc w:val="center"/>
              <w:rPr>
                <w:color w:val="000000"/>
              </w:rPr>
            </w:pPr>
            <w:r>
              <w:rPr>
                <w:color w:val="000000"/>
              </w:rPr>
              <w:t>噪声</w:t>
            </w:r>
          </w:p>
        </w:tc>
        <w:tc>
          <w:tcPr>
            <w:tcW w:w="1606" w:type="dxa"/>
            <w:gridSpan w:val="2"/>
            <w:vAlign w:val="center"/>
          </w:tcPr>
          <w:p w14:paraId="13869F69">
            <w:pPr>
              <w:spacing w:line="240" w:lineRule="auto"/>
              <w:ind w:firstLine="0" w:firstLineChars="0"/>
              <w:jc w:val="center"/>
              <w:rPr>
                <w:color w:val="000000"/>
              </w:rPr>
            </w:pPr>
            <w:r>
              <w:rPr>
                <w:color w:val="000000"/>
              </w:rPr>
              <w:t>减振、隔声</w:t>
            </w:r>
          </w:p>
        </w:tc>
        <w:tc>
          <w:tcPr>
            <w:tcW w:w="3240" w:type="dxa"/>
            <w:vAlign w:val="center"/>
          </w:tcPr>
          <w:p w14:paraId="6A93D769">
            <w:pPr>
              <w:spacing w:line="240" w:lineRule="auto"/>
              <w:ind w:firstLine="0" w:firstLineChars="0"/>
              <w:jc w:val="center"/>
              <w:rPr>
                <w:color w:val="000000"/>
              </w:rPr>
            </w:pPr>
            <w:r>
              <w:rPr>
                <w:color w:val="000000"/>
              </w:rPr>
              <w:t>《工业企业厂界环境噪声排放标准》（GB12348-2008）</w:t>
            </w:r>
            <w:r>
              <w:rPr>
                <w:rFonts w:hint="eastAsia"/>
                <w:color w:val="000000"/>
              </w:rPr>
              <w:t>3</w:t>
            </w:r>
            <w:r>
              <w:rPr>
                <w:color w:val="000000"/>
              </w:rPr>
              <w:t>类</w:t>
            </w:r>
          </w:p>
        </w:tc>
      </w:tr>
      <w:tr w14:paraId="44F4D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347" w:type="dxa"/>
            <w:vAlign w:val="center"/>
          </w:tcPr>
          <w:p w14:paraId="5035993E">
            <w:pPr>
              <w:adjustRightInd w:val="0"/>
              <w:snapToGrid w:val="0"/>
              <w:spacing w:line="240" w:lineRule="auto"/>
              <w:ind w:firstLine="0" w:firstLineChars="0"/>
              <w:jc w:val="center"/>
              <w:rPr>
                <w:rFonts w:ascii="宋体" w:hAnsi="宋体" w:cs="宋体"/>
              </w:rPr>
            </w:pPr>
            <w:r>
              <w:rPr>
                <w:rFonts w:hint="eastAsia" w:ascii="宋体" w:hAnsi="宋体" w:cs="宋体"/>
              </w:rPr>
              <w:t>电磁辐射</w:t>
            </w:r>
          </w:p>
        </w:tc>
        <w:tc>
          <w:tcPr>
            <w:tcW w:w="1780" w:type="dxa"/>
            <w:vAlign w:val="center"/>
          </w:tcPr>
          <w:p w14:paraId="4781F8FC">
            <w:pPr>
              <w:adjustRightInd w:val="0"/>
              <w:snapToGrid w:val="0"/>
              <w:spacing w:line="240" w:lineRule="auto"/>
              <w:ind w:firstLine="0" w:firstLineChars="0"/>
              <w:jc w:val="center"/>
              <w:rPr>
                <w:rFonts w:ascii="宋体" w:hAnsi="宋体" w:cs="宋体"/>
              </w:rPr>
            </w:pPr>
            <w:r>
              <w:rPr>
                <w:rFonts w:hint="eastAsia" w:ascii="宋体" w:hAnsi="宋体" w:cs="宋体"/>
              </w:rPr>
              <w:t>/</w:t>
            </w:r>
          </w:p>
        </w:tc>
        <w:tc>
          <w:tcPr>
            <w:tcW w:w="1328" w:type="dxa"/>
            <w:vAlign w:val="center"/>
          </w:tcPr>
          <w:p w14:paraId="15D4C5AF">
            <w:pPr>
              <w:adjustRightInd w:val="0"/>
              <w:snapToGrid w:val="0"/>
              <w:spacing w:line="240" w:lineRule="auto"/>
              <w:ind w:firstLine="0" w:firstLineChars="0"/>
              <w:jc w:val="center"/>
              <w:rPr>
                <w:rFonts w:ascii="宋体" w:hAnsi="宋体" w:cs="宋体"/>
              </w:rPr>
            </w:pPr>
            <w:r>
              <w:rPr>
                <w:rFonts w:hint="eastAsia" w:ascii="宋体" w:hAnsi="宋体" w:cs="宋体"/>
              </w:rPr>
              <w:t>/</w:t>
            </w:r>
          </w:p>
        </w:tc>
        <w:tc>
          <w:tcPr>
            <w:tcW w:w="1606" w:type="dxa"/>
            <w:gridSpan w:val="2"/>
            <w:vAlign w:val="center"/>
          </w:tcPr>
          <w:p w14:paraId="2DCA3A50">
            <w:pPr>
              <w:adjustRightInd w:val="0"/>
              <w:snapToGrid w:val="0"/>
              <w:spacing w:line="240" w:lineRule="auto"/>
              <w:ind w:firstLine="0" w:firstLineChars="0"/>
              <w:jc w:val="center"/>
              <w:rPr>
                <w:rFonts w:ascii="宋体" w:hAnsi="宋体" w:cs="宋体"/>
              </w:rPr>
            </w:pPr>
            <w:r>
              <w:rPr>
                <w:rFonts w:hint="eastAsia" w:ascii="宋体" w:hAnsi="宋体" w:cs="宋体"/>
              </w:rPr>
              <w:t>/</w:t>
            </w:r>
          </w:p>
        </w:tc>
        <w:tc>
          <w:tcPr>
            <w:tcW w:w="3240" w:type="dxa"/>
            <w:vAlign w:val="center"/>
          </w:tcPr>
          <w:p w14:paraId="5982D154">
            <w:pPr>
              <w:adjustRightInd w:val="0"/>
              <w:snapToGrid w:val="0"/>
              <w:spacing w:line="240" w:lineRule="auto"/>
              <w:ind w:firstLine="0" w:firstLineChars="0"/>
              <w:jc w:val="center"/>
              <w:rPr>
                <w:rFonts w:ascii="宋体" w:hAnsi="宋体" w:cs="宋体"/>
              </w:rPr>
            </w:pPr>
            <w:r>
              <w:rPr>
                <w:rFonts w:hint="eastAsia" w:ascii="宋体" w:hAnsi="宋体" w:cs="宋体"/>
              </w:rPr>
              <w:t>/</w:t>
            </w:r>
          </w:p>
        </w:tc>
      </w:tr>
      <w:tr w14:paraId="333DA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1347" w:type="dxa"/>
            <w:vAlign w:val="center"/>
          </w:tcPr>
          <w:p w14:paraId="3C63B1A4">
            <w:pPr>
              <w:adjustRightInd w:val="0"/>
              <w:snapToGrid w:val="0"/>
              <w:spacing w:line="240" w:lineRule="auto"/>
              <w:ind w:firstLine="0" w:firstLineChars="0"/>
              <w:jc w:val="center"/>
              <w:rPr>
                <w:rFonts w:ascii="宋体" w:hAnsi="宋体" w:cs="宋体"/>
              </w:rPr>
            </w:pPr>
            <w:r>
              <w:rPr>
                <w:rFonts w:hint="eastAsia" w:ascii="宋体" w:hAnsi="宋体" w:cs="宋体"/>
              </w:rPr>
              <w:t>固体废物</w:t>
            </w:r>
          </w:p>
        </w:tc>
        <w:tc>
          <w:tcPr>
            <w:tcW w:w="7954" w:type="dxa"/>
            <w:gridSpan w:val="5"/>
            <w:vAlign w:val="center"/>
          </w:tcPr>
          <w:p w14:paraId="3D2562D3">
            <w:pPr>
              <w:pStyle w:val="59"/>
              <w:snapToGrid w:val="0"/>
              <w:spacing w:line="240" w:lineRule="auto"/>
              <w:jc w:val="both"/>
              <w:rPr>
                <w:sz w:val="24"/>
              </w:rPr>
            </w:pPr>
            <w:r>
              <w:rPr>
                <w:sz w:val="24"/>
              </w:rPr>
              <w:t>1、一般工业固体废物分类收集、定点堆放在厂区内的一般固废间</w:t>
            </w:r>
            <w:r>
              <w:rPr>
                <w:rFonts w:hint="eastAsia"/>
                <w:sz w:val="24"/>
              </w:rPr>
              <w:t>（10</w:t>
            </w:r>
            <w:r>
              <w:rPr>
                <w:sz w:val="24"/>
              </w:rPr>
              <w:t>m</w:t>
            </w:r>
            <w:r>
              <w:rPr>
                <w:sz w:val="24"/>
                <w:vertAlign w:val="superscript"/>
              </w:rPr>
              <w:t>2</w:t>
            </w:r>
            <w:r>
              <w:rPr>
                <w:rFonts w:hint="eastAsia"/>
                <w:sz w:val="24"/>
              </w:rPr>
              <w:t>）</w:t>
            </w:r>
            <w:r>
              <w:rPr>
                <w:sz w:val="24"/>
              </w:rPr>
              <w:t>，同时定期外运处理，作为物资回收再利用</w:t>
            </w:r>
            <w:r>
              <w:rPr>
                <w:rFonts w:hint="eastAsia"/>
                <w:sz w:val="24"/>
              </w:rPr>
              <w:t>，一般固废场所建设应满足《一般工业固体废物贮存和填埋污染控制标准》（GB 18599-2020）中防渗漏、防雨淋、防扬尘等环境保护要求；</w:t>
            </w:r>
          </w:p>
          <w:p w14:paraId="766AC051">
            <w:pPr>
              <w:pStyle w:val="59"/>
              <w:snapToGrid w:val="0"/>
              <w:spacing w:line="240" w:lineRule="auto"/>
              <w:jc w:val="both"/>
              <w:rPr>
                <w:sz w:val="24"/>
              </w:rPr>
            </w:pPr>
            <w:r>
              <w:rPr>
                <w:sz w:val="24"/>
              </w:rPr>
              <w:t>2、厂区内职工日常生活产生的生活垃圾，交由环卫部门统一清运。生活垃圾应采取袋装收集，分类处理的方式处理；</w:t>
            </w:r>
          </w:p>
          <w:p w14:paraId="37A7A20F">
            <w:pPr>
              <w:autoSpaceDE w:val="0"/>
              <w:autoSpaceDN w:val="0"/>
              <w:adjustRightInd w:val="0"/>
              <w:snapToGrid w:val="0"/>
              <w:spacing w:line="240" w:lineRule="auto"/>
              <w:ind w:firstLine="0" w:firstLineChars="0"/>
              <w:textAlignment w:val="baseline"/>
              <w:rPr>
                <w:color w:val="000000"/>
              </w:rPr>
            </w:pPr>
            <w:r>
              <w:rPr>
                <w:rFonts w:hint="eastAsia"/>
              </w:rPr>
              <w:t>3、</w:t>
            </w:r>
            <w:r>
              <w:t>危废</w:t>
            </w:r>
            <w:r>
              <w:rPr>
                <w:rFonts w:hint="eastAsia"/>
              </w:rPr>
              <w:t>收集后</w:t>
            </w:r>
            <w:r>
              <w:t>暂存于危废暂存间</w:t>
            </w:r>
            <w:r>
              <w:rPr>
                <w:rFonts w:hint="eastAsia"/>
              </w:rPr>
              <w:t>（10</w:t>
            </w:r>
            <w:r>
              <w:t>m</w:t>
            </w:r>
            <w:r>
              <w:rPr>
                <w:vertAlign w:val="superscript"/>
              </w:rPr>
              <w:t>2</w:t>
            </w:r>
            <w:r>
              <w:rPr>
                <w:rFonts w:hint="eastAsia"/>
              </w:rPr>
              <w:t>）</w:t>
            </w:r>
            <w:r>
              <w:t>内的</w:t>
            </w:r>
            <w:r>
              <w:rPr>
                <w:rFonts w:hint="eastAsia"/>
              </w:rPr>
              <w:t>专用容器</w:t>
            </w:r>
            <w:r>
              <w:t>内，定期交由有资质的危废单位处理</w:t>
            </w:r>
            <w:r>
              <w:rPr>
                <w:rFonts w:hint="eastAsia"/>
              </w:rPr>
              <w:t>，满足</w:t>
            </w:r>
            <w:r>
              <w:t>《危险废物贮存污染控制标准》（GB18597-20</w:t>
            </w:r>
            <w:r>
              <w:rPr>
                <w:rFonts w:hint="eastAsia"/>
              </w:rPr>
              <w:t>23</w:t>
            </w:r>
            <w:r>
              <w:t>）。</w:t>
            </w:r>
          </w:p>
        </w:tc>
      </w:tr>
      <w:tr w14:paraId="65066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1347" w:type="dxa"/>
            <w:vAlign w:val="center"/>
          </w:tcPr>
          <w:p w14:paraId="24E47586">
            <w:pPr>
              <w:adjustRightInd w:val="0"/>
              <w:snapToGrid w:val="0"/>
              <w:spacing w:line="240" w:lineRule="auto"/>
              <w:ind w:firstLine="0" w:firstLineChars="0"/>
              <w:jc w:val="center"/>
              <w:rPr>
                <w:rFonts w:ascii="宋体" w:hAnsi="宋体" w:cs="宋体"/>
              </w:rPr>
            </w:pPr>
            <w:r>
              <w:rPr>
                <w:rFonts w:hint="eastAsia" w:ascii="宋体" w:hAnsi="宋体" w:cs="宋体"/>
              </w:rPr>
              <w:t>土壤及地下水污染防治措施</w:t>
            </w:r>
          </w:p>
        </w:tc>
        <w:tc>
          <w:tcPr>
            <w:tcW w:w="7954" w:type="dxa"/>
            <w:gridSpan w:val="5"/>
            <w:vAlign w:val="center"/>
          </w:tcPr>
          <w:p w14:paraId="691DF6BD">
            <w:pPr>
              <w:adjustRightInd w:val="0"/>
              <w:snapToGrid w:val="0"/>
              <w:spacing w:line="240" w:lineRule="auto"/>
              <w:ind w:firstLine="0" w:firstLineChars="0"/>
              <w:jc w:val="left"/>
              <w:rPr>
                <w:rFonts w:cs="宋体"/>
              </w:rPr>
            </w:pPr>
            <w:r>
              <w:rPr>
                <w:rFonts w:hint="eastAsia"/>
              </w:rPr>
              <w:t>按照“源头控制、分区防治、污染监控、应急响应”原则，对危险废物暂存间进行分区防渗措施。</w:t>
            </w:r>
          </w:p>
        </w:tc>
      </w:tr>
      <w:tr w14:paraId="00EE2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347" w:type="dxa"/>
            <w:vAlign w:val="center"/>
          </w:tcPr>
          <w:p w14:paraId="1F8BCBFE">
            <w:pPr>
              <w:adjustRightInd w:val="0"/>
              <w:snapToGrid w:val="0"/>
              <w:spacing w:line="240" w:lineRule="auto"/>
              <w:ind w:firstLine="0" w:firstLineChars="0"/>
              <w:jc w:val="center"/>
              <w:rPr>
                <w:rFonts w:ascii="宋体" w:hAnsi="宋体" w:cs="宋体"/>
              </w:rPr>
            </w:pPr>
            <w:r>
              <w:rPr>
                <w:rFonts w:hint="eastAsia" w:ascii="宋体" w:hAnsi="宋体" w:cs="宋体"/>
              </w:rPr>
              <w:t>生态保护措施</w:t>
            </w:r>
          </w:p>
        </w:tc>
        <w:tc>
          <w:tcPr>
            <w:tcW w:w="7954" w:type="dxa"/>
            <w:gridSpan w:val="5"/>
            <w:vAlign w:val="center"/>
          </w:tcPr>
          <w:p w14:paraId="63B2D6F8">
            <w:pPr>
              <w:pStyle w:val="59"/>
              <w:snapToGrid w:val="0"/>
              <w:spacing w:line="240" w:lineRule="auto"/>
              <w:rPr>
                <w:rFonts w:ascii="宋体" w:hAnsi="宋体" w:cs="宋体"/>
                <w:sz w:val="24"/>
              </w:rPr>
            </w:pPr>
            <w:r>
              <w:rPr>
                <w:rFonts w:hint="eastAsia"/>
                <w:sz w:val="24"/>
              </w:rPr>
              <w:t>/</w:t>
            </w:r>
          </w:p>
        </w:tc>
      </w:tr>
      <w:tr w14:paraId="5CBF0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1347" w:type="dxa"/>
            <w:vAlign w:val="center"/>
          </w:tcPr>
          <w:p w14:paraId="2D85C816">
            <w:pPr>
              <w:adjustRightInd w:val="0"/>
              <w:snapToGrid w:val="0"/>
              <w:spacing w:line="240" w:lineRule="auto"/>
              <w:ind w:firstLine="0" w:firstLineChars="0"/>
              <w:jc w:val="center"/>
              <w:rPr>
                <w:rFonts w:ascii="宋体" w:hAnsi="宋体" w:cs="宋体"/>
                <w:spacing w:val="-8"/>
              </w:rPr>
            </w:pPr>
            <w:r>
              <w:rPr>
                <w:rFonts w:hint="eastAsia" w:ascii="宋体" w:hAnsi="宋体" w:cs="宋体"/>
                <w:spacing w:val="-8"/>
              </w:rPr>
              <w:t>环境风险</w:t>
            </w:r>
          </w:p>
          <w:p w14:paraId="2E8504DD">
            <w:pPr>
              <w:adjustRightInd w:val="0"/>
              <w:snapToGrid w:val="0"/>
              <w:spacing w:line="240" w:lineRule="auto"/>
              <w:ind w:firstLine="0" w:firstLineChars="0"/>
              <w:jc w:val="center"/>
              <w:rPr>
                <w:rFonts w:ascii="宋体" w:hAnsi="宋体" w:cs="宋体"/>
                <w:spacing w:val="-8"/>
              </w:rPr>
            </w:pPr>
            <w:r>
              <w:rPr>
                <w:rFonts w:hint="eastAsia" w:ascii="宋体" w:hAnsi="宋体" w:cs="宋体"/>
                <w:spacing w:val="-8"/>
              </w:rPr>
              <w:t>防范措施</w:t>
            </w:r>
          </w:p>
        </w:tc>
        <w:tc>
          <w:tcPr>
            <w:tcW w:w="7954" w:type="dxa"/>
            <w:gridSpan w:val="5"/>
            <w:vAlign w:val="center"/>
          </w:tcPr>
          <w:p w14:paraId="26B08AF8">
            <w:pPr>
              <w:pStyle w:val="59"/>
              <w:snapToGrid w:val="0"/>
              <w:spacing w:line="240" w:lineRule="auto"/>
              <w:jc w:val="left"/>
              <w:rPr>
                <w:rFonts w:ascii="宋体" w:hAnsi="宋体" w:cs="宋体"/>
                <w:sz w:val="24"/>
              </w:rPr>
            </w:pPr>
            <w:r>
              <w:rPr>
                <w:rFonts w:hint="eastAsia"/>
                <w:sz w:val="24"/>
              </w:rPr>
              <w:t>本项目厂区内风险物质总储存量远远小于临界量。建设单位应建立环境风险应急管理制度，并进行日常安全、环保教育培训、事故应急演练。配备应急救援器材与应急物质，落实各项风险防范措施，本项目的环境风险可防控。</w:t>
            </w:r>
          </w:p>
        </w:tc>
      </w:tr>
      <w:tr w14:paraId="7DF77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347" w:type="dxa"/>
            <w:vAlign w:val="center"/>
          </w:tcPr>
          <w:p w14:paraId="42787E6A">
            <w:pPr>
              <w:adjustRightInd w:val="0"/>
              <w:snapToGrid w:val="0"/>
              <w:spacing w:line="240" w:lineRule="auto"/>
              <w:ind w:firstLine="0" w:firstLineChars="0"/>
              <w:jc w:val="center"/>
              <w:rPr>
                <w:rFonts w:ascii="宋体" w:hAnsi="宋体" w:cs="宋体"/>
                <w:spacing w:val="-8"/>
              </w:rPr>
            </w:pPr>
            <w:r>
              <w:rPr>
                <w:rFonts w:hint="eastAsia" w:ascii="宋体" w:hAnsi="宋体" w:cs="宋体"/>
                <w:spacing w:val="-8"/>
              </w:rPr>
              <w:t>其他环境</w:t>
            </w:r>
          </w:p>
          <w:p w14:paraId="5613BB54">
            <w:pPr>
              <w:adjustRightInd w:val="0"/>
              <w:snapToGrid w:val="0"/>
              <w:spacing w:line="240" w:lineRule="auto"/>
              <w:ind w:firstLine="0" w:firstLineChars="0"/>
              <w:jc w:val="center"/>
              <w:rPr>
                <w:rFonts w:ascii="宋体" w:hAnsi="宋体" w:cs="宋体"/>
                <w:spacing w:val="-8"/>
              </w:rPr>
            </w:pPr>
            <w:r>
              <w:rPr>
                <w:rFonts w:hint="eastAsia" w:ascii="宋体" w:hAnsi="宋体" w:cs="宋体"/>
                <w:spacing w:val="-8"/>
              </w:rPr>
              <w:t>管理要求</w:t>
            </w:r>
          </w:p>
        </w:tc>
        <w:tc>
          <w:tcPr>
            <w:tcW w:w="7954" w:type="dxa"/>
            <w:gridSpan w:val="5"/>
            <w:vAlign w:val="center"/>
          </w:tcPr>
          <w:p w14:paraId="729FA061">
            <w:pPr>
              <w:numPr>
                <w:ilvl w:val="0"/>
                <w:numId w:val="9"/>
              </w:numPr>
              <w:adjustRightInd w:val="0"/>
              <w:snapToGrid w:val="0"/>
              <w:spacing w:line="240" w:lineRule="auto"/>
              <w:ind w:firstLine="0" w:firstLineChars="0"/>
              <w:rPr>
                <w:bCs/>
              </w:rPr>
            </w:pPr>
            <w:r>
              <w:rPr>
                <w:bCs/>
              </w:rPr>
              <w:t>排污许可证管理要求</w:t>
            </w:r>
          </w:p>
          <w:p w14:paraId="50D96352">
            <w:pPr>
              <w:adjustRightInd w:val="0"/>
              <w:snapToGrid w:val="0"/>
              <w:spacing w:line="240" w:lineRule="auto"/>
              <w:ind w:firstLine="0" w:firstLineChars="0"/>
              <w:rPr>
                <w:bCs/>
              </w:rPr>
            </w:pPr>
            <w:r>
              <w:rPr>
                <w:bCs/>
              </w:rPr>
              <w:t>根据《固定污染源排污许可分类管理名录（2019年版）》（生态环境部 第11号）要求进行填报排污许可。因此，建设单位应当在启动生产设施或者发生实际排污之前在全国排污许可证管理信息平台进行排污许可填报。</w:t>
            </w:r>
          </w:p>
          <w:p w14:paraId="48454871">
            <w:pPr>
              <w:adjustRightInd w:val="0"/>
              <w:snapToGrid w:val="0"/>
              <w:spacing w:line="240" w:lineRule="auto"/>
              <w:ind w:firstLine="0" w:firstLineChars="0"/>
              <w:rPr>
                <w:bCs/>
              </w:rPr>
            </w:pPr>
            <w:r>
              <w:rPr>
                <w:bCs/>
              </w:rPr>
              <w:t>2、竣工环境保护验收</w:t>
            </w:r>
          </w:p>
          <w:p w14:paraId="0DFEB8F2">
            <w:pPr>
              <w:adjustRightInd w:val="0"/>
              <w:snapToGrid w:val="0"/>
              <w:spacing w:line="240" w:lineRule="auto"/>
              <w:ind w:firstLine="0" w:firstLineChars="0"/>
              <w:rPr>
                <w:bCs/>
              </w:rPr>
            </w:pPr>
            <w:r>
              <w:rPr>
                <w:bCs/>
              </w:rPr>
              <w:t>根据《建设项目竣工环境保护验收暂行办法》的规定，建设项目竣工后，建设单位应当如实查验、监测、记载建设项目环境保护设施的建设和调试情况，编制验收监测报告表。</w:t>
            </w:r>
          </w:p>
          <w:p w14:paraId="0195330D">
            <w:pPr>
              <w:adjustRightInd w:val="0"/>
              <w:snapToGrid w:val="0"/>
              <w:spacing w:line="240" w:lineRule="auto"/>
              <w:ind w:firstLine="0" w:firstLineChars="0"/>
              <w:rPr>
                <w:bCs/>
              </w:rPr>
            </w:pPr>
            <w:r>
              <w:rPr>
                <w:bCs/>
              </w:rPr>
              <w:t>3、监控系统</w:t>
            </w:r>
          </w:p>
          <w:p w14:paraId="1D1489C7">
            <w:pPr>
              <w:pStyle w:val="25"/>
              <w:spacing w:after="0" w:line="240" w:lineRule="auto"/>
              <w:ind w:left="0" w:leftChars="0" w:firstLine="0" w:firstLineChars="0"/>
            </w:pPr>
            <w:r>
              <w:rPr>
                <w:bCs/>
              </w:rPr>
              <w:t>按照《排污许可证申请与核发技术规范 总则》（HJ 942-2018）、</w:t>
            </w:r>
            <w:r>
              <w:rPr>
                <w:rFonts w:hint="eastAsia"/>
                <w:bCs/>
              </w:rPr>
              <w:t>《排污许可证申请与核发技术规范 纺织印染工业》（HJ861-2017）、《《河南省重污染天气重点行业应急减排措施制定技术指南</w:t>
            </w:r>
            <w:r>
              <w:rPr>
                <w:rFonts w:hint="eastAsia"/>
                <w:bCs/>
                <w:lang w:eastAsia="zh-CN"/>
              </w:rPr>
              <w:t xml:space="preserve">（2024年修订版）》 </w:t>
            </w:r>
            <w:r>
              <w:rPr>
                <w:rFonts w:hint="eastAsia"/>
                <w:bCs/>
              </w:rPr>
              <w:t>“纺织印染与服饰制造”绩效分级A级要求</w:t>
            </w:r>
            <w:r>
              <w:rPr>
                <w:bCs/>
              </w:rPr>
              <w:t>，安装相应的监控设施</w:t>
            </w:r>
            <w:r>
              <w:rPr>
                <w:rFonts w:hint="eastAsia"/>
                <w:bCs/>
              </w:rPr>
              <w:t>，</w:t>
            </w:r>
            <w:r>
              <w:rPr>
                <w:bCs/>
              </w:rPr>
              <w:t>并与环保部门联网</w:t>
            </w:r>
            <w:r>
              <w:t>。</w:t>
            </w:r>
          </w:p>
        </w:tc>
      </w:tr>
    </w:tbl>
    <w:p w14:paraId="09A6D268">
      <w:pPr>
        <w:pStyle w:val="2"/>
        <w:rPr>
          <w:snapToGrid w:val="0"/>
        </w:rPr>
      </w:pPr>
      <w:r>
        <w:rPr>
          <w:snapToGrid w:val="0"/>
        </w:rPr>
        <w:br w:type="page"/>
      </w:r>
      <w:bookmarkStart w:id="5" w:name="_GoBack"/>
      <w:r>
        <w:drawing>
          <wp:anchor distT="0" distB="0" distL="114300" distR="114300" simplePos="0" relativeHeight="251701248" behindDoc="0" locked="0" layoutInCell="1" allowOverlap="1">
            <wp:simplePos x="0" y="0"/>
            <wp:positionH relativeFrom="column">
              <wp:posOffset>-881380</wp:posOffset>
            </wp:positionH>
            <wp:positionV relativeFrom="paragraph">
              <wp:posOffset>-968375</wp:posOffset>
            </wp:positionV>
            <wp:extent cx="7338695" cy="10380980"/>
            <wp:effectExtent l="0" t="0" r="6985" b="12700"/>
            <wp:wrapNone/>
            <wp:docPr id="1" name="图片 1" descr="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001"/>
                    <pic:cNvPicPr>
                      <a:picLocks noChangeAspect="1"/>
                    </pic:cNvPicPr>
                  </pic:nvPicPr>
                  <pic:blipFill>
                    <a:blip r:embed="rId30"/>
                    <a:stretch>
                      <a:fillRect/>
                    </a:stretch>
                  </pic:blipFill>
                  <pic:spPr>
                    <a:xfrm>
                      <a:off x="0" y="0"/>
                      <a:ext cx="7338695" cy="10380980"/>
                    </a:xfrm>
                    <a:prstGeom prst="rect">
                      <a:avLst/>
                    </a:prstGeom>
                  </pic:spPr>
                </pic:pic>
              </a:graphicData>
            </a:graphic>
          </wp:anchor>
        </w:drawing>
      </w:r>
      <w:bookmarkEnd w:id="5"/>
      <w: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00037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42B08CC7">
            <w:pPr>
              <w:widowControl/>
              <w:spacing w:before="120" w:beforeLines="50" w:line="520" w:lineRule="exact"/>
              <w:ind w:firstLine="480"/>
              <w:rPr>
                <w:bCs/>
                <w:color w:val="000000"/>
              </w:rPr>
            </w:pPr>
            <w:r>
              <w:rPr>
                <w:rFonts w:hint="eastAsia"/>
              </w:rPr>
              <w:t>新乡市弘祥服装辅料有限公司位于</w:t>
            </w:r>
            <w:r>
              <w:rPr>
                <w:rFonts w:hint="eastAsia"/>
                <w:lang w:eastAsia="zh-CN"/>
              </w:rPr>
              <w:t>新乡市新能源电池专业园区标北路11号</w:t>
            </w:r>
            <w:r>
              <w:rPr>
                <w:rFonts w:hint="eastAsia"/>
              </w:rPr>
              <w:t>专精特孵化园项目3A号厂房，</w:t>
            </w:r>
            <w:r>
              <w:t>拟投资</w:t>
            </w:r>
            <w:r>
              <w:rPr>
                <w:rFonts w:hint="eastAsia"/>
              </w:rPr>
              <w:t>500</w:t>
            </w:r>
            <w:r>
              <w:t>万元，建设</w:t>
            </w:r>
            <w:r>
              <w:rPr>
                <w:rFonts w:hint="eastAsia"/>
                <w:lang w:eastAsia="zh-CN"/>
              </w:rPr>
              <w:t>年生产390万件服装辅料加工项目</w:t>
            </w:r>
            <w:r>
              <w:rPr>
                <w:rFonts w:hint="eastAsia"/>
              </w:rPr>
              <w:t>。项目</w:t>
            </w:r>
            <w:r>
              <w:rPr>
                <w:bCs/>
                <w:color w:val="000000"/>
                <w:kern w:val="0"/>
              </w:rPr>
              <w:t>符合国家产业政策，选址符合</w:t>
            </w:r>
            <w:r>
              <w:rPr>
                <w:rFonts w:hint="eastAsia"/>
                <w:bCs/>
                <w:color w:val="000000"/>
                <w:kern w:val="0"/>
              </w:rPr>
              <w:t>新乡市新能源电池专业园区</w:t>
            </w:r>
            <w:r>
              <w:rPr>
                <w:bCs/>
                <w:color w:val="000000"/>
                <w:kern w:val="0"/>
              </w:rPr>
              <w:t>。</w:t>
            </w:r>
            <w:r>
              <w:t>在采取评价提出的污染防治措施以及充分落实评价建议的基础上，项目产生的污染物实现达标排放，对周围环境影响较小，工程建设不涉及自然保护区、世界自然和文化遗产地、风景名胜区、森林公园等环境敏感区，不存在环境制约因素，从环境保护角度分析，工程建设是可行的。</w:t>
            </w:r>
          </w:p>
          <w:p w14:paraId="5482FCCF">
            <w:pPr>
              <w:spacing w:line="520" w:lineRule="exact"/>
              <w:ind w:firstLine="480"/>
              <w:rPr>
                <w:bCs/>
              </w:rPr>
            </w:pPr>
          </w:p>
          <w:p w14:paraId="70A2F383">
            <w:pPr>
              <w:snapToGrid w:val="0"/>
              <w:spacing w:line="520" w:lineRule="exact"/>
              <w:ind w:right="-17" w:rightChars="-7" w:firstLine="480"/>
              <w:jc w:val="right"/>
            </w:pPr>
          </w:p>
          <w:p w14:paraId="12AD2E9C">
            <w:pPr>
              <w:snapToGrid w:val="0"/>
              <w:spacing w:line="520" w:lineRule="exact"/>
              <w:ind w:right="-17" w:rightChars="-7" w:firstLine="480"/>
              <w:jc w:val="right"/>
            </w:pPr>
          </w:p>
          <w:p w14:paraId="56582B2D">
            <w:pPr>
              <w:snapToGrid w:val="0"/>
              <w:spacing w:line="520" w:lineRule="exact"/>
              <w:ind w:right="-17" w:rightChars="-7" w:firstLine="480"/>
              <w:jc w:val="right"/>
            </w:pPr>
          </w:p>
          <w:p w14:paraId="3270EF20">
            <w:pPr>
              <w:snapToGrid w:val="0"/>
              <w:spacing w:line="520" w:lineRule="exact"/>
              <w:ind w:right="-17" w:rightChars="-7" w:firstLine="480"/>
              <w:jc w:val="right"/>
            </w:pPr>
          </w:p>
          <w:p w14:paraId="0EC8081F">
            <w:pPr>
              <w:snapToGrid w:val="0"/>
              <w:spacing w:line="520" w:lineRule="exact"/>
              <w:ind w:right="-17" w:rightChars="-7" w:firstLine="480"/>
              <w:jc w:val="right"/>
            </w:pPr>
            <w:r>
              <w:t>新乡市天之蓝环保技术有限公司</w:t>
            </w:r>
          </w:p>
          <w:p w14:paraId="714705FB">
            <w:pPr>
              <w:snapToGrid w:val="0"/>
              <w:spacing w:line="520" w:lineRule="exact"/>
              <w:ind w:right="-17" w:rightChars="-7" w:firstLine="480"/>
              <w:jc w:val="center"/>
            </w:pPr>
            <w:r>
              <w:t xml:space="preserve">                                        202</w:t>
            </w:r>
            <w:r>
              <w:rPr>
                <w:rFonts w:hint="eastAsia"/>
              </w:rPr>
              <w:t>6</w:t>
            </w:r>
            <w:r>
              <w:t>年</w:t>
            </w:r>
            <w:r>
              <w:rPr>
                <w:rFonts w:hint="eastAsia"/>
              </w:rPr>
              <w:t>0</w:t>
            </w:r>
            <w:r>
              <w:t>8月</w:t>
            </w:r>
          </w:p>
          <w:p w14:paraId="7BB4F6B5">
            <w:pPr>
              <w:ind w:firstLine="480"/>
              <w:jc w:val="center"/>
            </w:pPr>
          </w:p>
          <w:p w14:paraId="32C839F7">
            <w:pPr>
              <w:ind w:firstLine="480"/>
              <w:jc w:val="center"/>
            </w:pPr>
          </w:p>
          <w:p w14:paraId="1D8FD61B">
            <w:pPr>
              <w:ind w:firstLine="480"/>
              <w:jc w:val="center"/>
            </w:pPr>
          </w:p>
          <w:p w14:paraId="390EE2EF">
            <w:pPr>
              <w:ind w:firstLine="480"/>
              <w:jc w:val="center"/>
            </w:pPr>
          </w:p>
          <w:p w14:paraId="12BF86F8">
            <w:pPr>
              <w:ind w:firstLine="480"/>
              <w:jc w:val="center"/>
            </w:pPr>
          </w:p>
          <w:p w14:paraId="29E34415">
            <w:pPr>
              <w:ind w:firstLine="480"/>
              <w:jc w:val="center"/>
            </w:pPr>
          </w:p>
          <w:p w14:paraId="462405AA">
            <w:pPr>
              <w:ind w:firstLine="480"/>
              <w:jc w:val="center"/>
            </w:pPr>
          </w:p>
          <w:p w14:paraId="48311890">
            <w:pPr>
              <w:ind w:firstLine="480"/>
              <w:jc w:val="center"/>
            </w:pPr>
          </w:p>
          <w:p w14:paraId="7B2F8C96">
            <w:pPr>
              <w:ind w:firstLine="480"/>
              <w:jc w:val="center"/>
            </w:pPr>
          </w:p>
        </w:tc>
      </w:tr>
    </w:tbl>
    <w:p w14:paraId="0ADA5667">
      <w:pPr>
        <w:ind w:firstLine="480"/>
        <w:sectPr>
          <w:footerReference r:id="rId8" w:type="default"/>
          <w:pgSz w:w="11906" w:h="16838"/>
          <w:pgMar w:top="1701" w:right="1531" w:bottom="1701" w:left="1531" w:header="851" w:footer="851" w:gutter="0"/>
          <w:pgNumType w:fmt="decimal"/>
          <w:cols w:space="720" w:num="1"/>
          <w:docGrid w:linePitch="312" w:charSpace="0"/>
        </w:sectPr>
      </w:pPr>
    </w:p>
    <w:p w14:paraId="0A101739">
      <w:pPr>
        <w:pStyle w:val="21"/>
        <w:adjustRightInd w:val="0"/>
        <w:snapToGrid w:val="0"/>
        <w:spacing w:before="0" w:beforeAutospacing="0" w:after="0" w:afterAutospacing="0" w:line="520" w:lineRule="exact"/>
        <w:ind w:firstLine="640"/>
        <w:outlineLvl w:val="0"/>
        <w:rPr>
          <w:rFonts w:ascii="黑体" w:hAnsi="黑体" w:eastAsia="黑体"/>
          <w:snapToGrid w:val="0"/>
          <w:sz w:val="32"/>
          <w:szCs w:val="32"/>
        </w:rPr>
      </w:pPr>
      <w:r>
        <w:rPr>
          <w:rFonts w:hint="eastAsia" w:ascii="黑体" w:hAnsi="黑体" w:eastAsia="黑体"/>
          <w:snapToGrid w:val="0"/>
          <w:sz w:val="32"/>
          <w:szCs w:val="32"/>
        </w:rPr>
        <w:t>附表</w:t>
      </w:r>
    </w:p>
    <w:p w14:paraId="5807D115">
      <w:pPr>
        <w:pStyle w:val="21"/>
        <w:adjustRightInd w:val="0"/>
        <w:snapToGrid w:val="0"/>
        <w:spacing w:before="0" w:beforeAutospacing="0" w:after="0" w:afterAutospacing="0" w:line="520" w:lineRule="exact"/>
        <w:ind w:firstLine="760"/>
        <w:jc w:val="center"/>
        <w:outlineLvl w:val="0"/>
        <w:rPr>
          <w:rFonts w:ascii="方正小标宋_GBK" w:hAnsi="黑体" w:eastAsia="方正小标宋_GBK"/>
          <w:snapToGrid w:val="0"/>
          <w:sz w:val="38"/>
          <w:szCs w:val="38"/>
        </w:rPr>
      </w:pPr>
      <w:r>
        <w:rPr>
          <w:rFonts w:hint="eastAsia" w:ascii="方正小标宋_GBK" w:hAnsi="黑体" w:eastAsia="方正小标宋_GBK"/>
          <w:snapToGrid w:val="0"/>
          <w:sz w:val="38"/>
          <w:szCs w:val="38"/>
        </w:rPr>
        <w:t>建设项目污染物排放量汇总表</w:t>
      </w:r>
    </w:p>
    <w:tbl>
      <w:tblPr>
        <w:tblStyle w:val="26"/>
        <w:tblW w:w="52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591"/>
        <w:gridCol w:w="1504"/>
        <w:gridCol w:w="1210"/>
        <w:gridCol w:w="1556"/>
        <w:gridCol w:w="1542"/>
        <w:gridCol w:w="1557"/>
        <w:gridCol w:w="1706"/>
        <w:gridCol w:w="1223"/>
      </w:tblGrid>
      <w:tr w14:paraId="5EC19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280" w:type="dxa"/>
            <w:tcBorders>
              <w:tl2br w:val="single" w:color="auto" w:sz="4" w:space="0"/>
            </w:tcBorders>
            <w:tcMar>
              <w:left w:w="28" w:type="dxa"/>
              <w:right w:w="28" w:type="dxa"/>
            </w:tcMar>
            <w:vAlign w:val="center"/>
          </w:tcPr>
          <w:p w14:paraId="4509B8C6">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 xml:space="preserve">       项目</w:t>
            </w:r>
          </w:p>
          <w:p w14:paraId="53FCC544">
            <w:pPr>
              <w:pStyle w:val="55"/>
              <w:spacing w:beforeLines="0" w:afterLines="0" w:line="240" w:lineRule="auto"/>
              <w:ind w:firstLine="229" w:firstLineChars="100"/>
              <w:jc w:val="both"/>
              <w:rPr>
                <w:rFonts w:ascii="Times New Roman"/>
                <w:b/>
                <w:bCs/>
                <w:snapToGrid w:val="0"/>
                <w:color w:val="000000"/>
                <w:spacing w:val="-6"/>
                <w:kern w:val="21"/>
                <w:szCs w:val="24"/>
              </w:rPr>
            </w:pPr>
            <w:r>
              <w:rPr>
                <w:rFonts w:ascii="Times New Roman"/>
                <w:b/>
                <w:bCs/>
                <w:snapToGrid w:val="0"/>
                <w:color w:val="000000"/>
                <w:spacing w:val="-6"/>
                <w:kern w:val="21"/>
                <w:szCs w:val="24"/>
              </w:rPr>
              <w:t>分类</w:t>
            </w:r>
          </w:p>
        </w:tc>
        <w:tc>
          <w:tcPr>
            <w:tcW w:w="2591" w:type="dxa"/>
            <w:tcMar>
              <w:left w:w="28" w:type="dxa"/>
              <w:right w:w="28" w:type="dxa"/>
            </w:tcMar>
            <w:vAlign w:val="center"/>
          </w:tcPr>
          <w:p w14:paraId="015C66B0">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污染物名称</w:t>
            </w:r>
          </w:p>
        </w:tc>
        <w:tc>
          <w:tcPr>
            <w:tcW w:w="1504" w:type="dxa"/>
            <w:tcMar>
              <w:left w:w="28" w:type="dxa"/>
              <w:right w:w="28" w:type="dxa"/>
            </w:tcMar>
            <w:vAlign w:val="center"/>
          </w:tcPr>
          <w:p w14:paraId="1DD2775C">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现有工程</w:t>
            </w:r>
          </w:p>
          <w:p w14:paraId="4CED50D9">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排放量（固体废物产生量）</w:t>
            </w:r>
            <w:r>
              <w:rPr>
                <w:rFonts w:ascii="Times New Roman"/>
                <w:b/>
                <w:bCs/>
                <w:snapToGrid w:val="0"/>
                <w:color w:val="000000"/>
                <w:spacing w:val="-6"/>
                <w:kern w:val="21"/>
                <w:szCs w:val="24"/>
              </w:rPr>
              <w:fldChar w:fldCharType="begin"/>
            </w:r>
            <w:r>
              <w:rPr>
                <w:rFonts w:ascii="Times New Roman"/>
                <w:b/>
                <w:bCs/>
                <w:snapToGrid w:val="0"/>
                <w:color w:val="000000"/>
                <w:spacing w:val="-6"/>
                <w:kern w:val="21"/>
                <w:szCs w:val="24"/>
              </w:rPr>
              <w:instrText xml:space="preserve"> = 1 \* GB3 \* MERGEFORMAT </w:instrText>
            </w:r>
            <w:r>
              <w:rPr>
                <w:rFonts w:ascii="Times New Roman"/>
                <w:b/>
                <w:bCs/>
                <w:snapToGrid w:val="0"/>
                <w:color w:val="000000"/>
                <w:spacing w:val="-6"/>
                <w:kern w:val="21"/>
                <w:szCs w:val="24"/>
              </w:rPr>
              <w:fldChar w:fldCharType="separate"/>
            </w:r>
            <w:r>
              <w:rPr>
                <w:rFonts w:ascii="Times New Roman"/>
                <w:b/>
                <w:bCs/>
                <w:kern w:val="2"/>
                <w:szCs w:val="24"/>
              </w:rPr>
              <w:t>①</w:t>
            </w:r>
            <w:r>
              <w:rPr>
                <w:rFonts w:ascii="Times New Roman"/>
                <w:b/>
                <w:bCs/>
                <w:snapToGrid w:val="0"/>
                <w:color w:val="000000"/>
                <w:spacing w:val="-6"/>
                <w:kern w:val="21"/>
                <w:szCs w:val="24"/>
              </w:rPr>
              <w:fldChar w:fldCharType="end"/>
            </w:r>
          </w:p>
        </w:tc>
        <w:tc>
          <w:tcPr>
            <w:tcW w:w="1210" w:type="dxa"/>
            <w:tcMar>
              <w:left w:w="28" w:type="dxa"/>
              <w:right w:w="28" w:type="dxa"/>
            </w:tcMar>
            <w:vAlign w:val="center"/>
          </w:tcPr>
          <w:p w14:paraId="717E5EA6">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现有工程</w:t>
            </w:r>
          </w:p>
          <w:p w14:paraId="3CF97DA6">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许可排放量</w:t>
            </w:r>
          </w:p>
          <w:p w14:paraId="2F5DE030">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fldChar w:fldCharType="begin"/>
            </w:r>
            <w:r>
              <w:rPr>
                <w:rFonts w:ascii="Times New Roman"/>
                <w:b/>
                <w:bCs/>
                <w:snapToGrid w:val="0"/>
                <w:color w:val="000000"/>
                <w:spacing w:val="-6"/>
                <w:kern w:val="21"/>
                <w:szCs w:val="24"/>
              </w:rPr>
              <w:instrText xml:space="preserve"> = 2 \* GB3 \* MERGEFORMAT </w:instrText>
            </w:r>
            <w:r>
              <w:rPr>
                <w:rFonts w:ascii="Times New Roman"/>
                <w:b/>
                <w:bCs/>
                <w:snapToGrid w:val="0"/>
                <w:color w:val="000000"/>
                <w:spacing w:val="-6"/>
                <w:kern w:val="21"/>
                <w:szCs w:val="24"/>
              </w:rPr>
              <w:fldChar w:fldCharType="separate"/>
            </w:r>
            <w:r>
              <w:rPr>
                <w:rFonts w:ascii="Times New Roman"/>
                <w:b/>
                <w:bCs/>
                <w:snapToGrid w:val="0"/>
                <w:color w:val="000000"/>
                <w:spacing w:val="-6"/>
                <w:kern w:val="21"/>
                <w:szCs w:val="24"/>
              </w:rPr>
              <w:t>②</w:t>
            </w:r>
            <w:r>
              <w:rPr>
                <w:rFonts w:ascii="Times New Roman"/>
                <w:b/>
                <w:bCs/>
                <w:snapToGrid w:val="0"/>
                <w:color w:val="000000"/>
                <w:spacing w:val="-6"/>
                <w:kern w:val="21"/>
                <w:szCs w:val="24"/>
              </w:rPr>
              <w:fldChar w:fldCharType="end"/>
            </w:r>
          </w:p>
        </w:tc>
        <w:tc>
          <w:tcPr>
            <w:tcW w:w="1556" w:type="dxa"/>
            <w:tcMar>
              <w:left w:w="28" w:type="dxa"/>
              <w:right w:w="28" w:type="dxa"/>
            </w:tcMar>
            <w:vAlign w:val="center"/>
          </w:tcPr>
          <w:p w14:paraId="552BA1C7">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在建工程</w:t>
            </w:r>
          </w:p>
          <w:p w14:paraId="1B4D0B09">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排放量（固体废物产生量）</w:t>
            </w:r>
            <w:r>
              <w:rPr>
                <w:rFonts w:ascii="Times New Roman"/>
                <w:b/>
                <w:bCs/>
                <w:snapToGrid w:val="0"/>
                <w:color w:val="000000"/>
                <w:spacing w:val="-6"/>
                <w:kern w:val="21"/>
                <w:szCs w:val="24"/>
              </w:rPr>
              <w:fldChar w:fldCharType="begin"/>
            </w:r>
            <w:r>
              <w:rPr>
                <w:rFonts w:ascii="Times New Roman"/>
                <w:b/>
                <w:bCs/>
                <w:snapToGrid w:val="0"/>
                <w:color w:val="000000"/>
                <w:spacing w:val="-6"/>
                <w:kern w:val="21"/>
                <w:szCs w:val="24"/>
              </w:rPr>
              <w:instrText xml:space="preserve"> = 3 \* GB3 \* MERGEFORMAT </w:instrText>
            </w:r>
            <w:r>
              <w:rPr>
                <w:rFonts w:ascii="Times New Roman"/>
                <w:b/>
                <w:bCs/>
                <w:snapToGrid w:val="0"/>
                <w:color w:val="000000"/>
                <w:spacing w:val="-6"/>
                <w:kern w:val="21"/>
                <w:szCs w:val="24"/>
              </w:rPr>
              <w:fldChar w:fldCharType="separate"/>
            </w:r>
            <w:r>
              <w:rPr>
                <w:rFonts w:ascii="Times New Roman"/>
                <w:b/>
                <w:bCs/>
                <w:kern w:val="2"/>
                <w:szCs w:val="24"/>
              </w:rPr>
              <w:t>③</w:t>
            </w:r>
            <w:r>
              <w:rPr>
                <w:rFonts w:ascii="Times New Roman"/>
                <w:b/>
                <w:bCs/>
                <w:snapToGrid w:val="0"/>
                <w:color w:val="000000"/>
                <w:spacing w:val="-6"/>
                <w:kern w:val="21"/>
                <w:szCs w:val="24"/>
              </w:rPr>
              <w:fldChar w:fldCharType="end"/>
            </w:r>
          </w:p>
        </w:tc>
        <w:tc>
          <w:tcPr>
            <w:tcW w:w="1542" w:type="dxa"/>
            <w:tcMar>
              <w:left w:w="28" w:type="dxa"/>
              <w:right w:w="28" w:type="dxa"/>
            </w:tcMar>
            <w:vAlign w:val="center"/>
          </w:tcPr>
          <w:p w14:paraId="3586086A">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本项目</w:t>
            </w:r>
          </w:p>
          <w:p w14:paraId="4A0BB7E6">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排放量（固体废物产生量）</w:t>
            </w:r>
            <w:r>
              <w:rPr>
                <w:rFonts w:ascii="Times New Roman"/>
                <w:b/>
                <w:bCs/>
                <w:snapToGrid w:val="0"/>
                <w:color w:val="000000"/>
                <w:spacing w:val="-6"/>
                <w:kern w:val="21"/>
                <w:szCs w:val="24"/>
              </w:rPr>
              <w:fldChar w:fldCharType="begin"/>
            </w:r>
            <w:r>
              <w:rPr>
                <w:rFonts w:ascii="Times New Roman"/>
                <w:b/>
                <w:bCs/>
                <w:snapToGrid w:val="0"/>
                <w:color w:val="000000"/>
                <w:spacing w:val="-6"/>
                <w:kern w:val="21"/>
                <w:szCs w:val="24"/>
              </w:rPr>
              <w:instrText xml:space="preserve"> = 4 \* GB3 \* MERGEFORMAT </w:instrText>
            </w:r>
            <w:r>
              <w:rPr>
                <w:rFonts w:ascii="Times New Roman"/>
                <w:b/>
                <w:bCs/>
                <w:snapToGrid w:val="0"/>
                <w:color w:val="000000"/>
                <w:spacing w:val="-6"/>
                <w:kern w:val="21"/>
                <w:szCs w:val="24"/>
              </w:rPr>
              <w:fldChar w:fldCharType="separate"/>
            </w:r>
            <w:r>
              <w:rPr>
                <w:rFonts w:ascii="Times New Roman"/>
                <w:b/>
                <w:bCs/>
                <w:kern w:val="2"/>
                <w:szCs w:val="24"/>
              </w:rPr>
              <w:t>④</w:t>
            </w:r>
            <w:r>
              <w:rPr>
                <w:rFonts w:ascii="Times New Roman"/>
                <w:b/>
                <w:bCs/>
                <w:snapToGrid w:val="0"/>
                <w:color w:val="000000"/>
                <w:spacing w:val="-6"/>
                <w:kern w:val="21"/>
                <w:szCs w:val="24"/>
              </w:rPr>
              <w:fldChar w:fldCharType="end"/>
            </w:r>
          </w:p>
        </w:tc>
        <w:tc>
          <w:tcPr>
            <w:tcW w:w="1557" w:type="dxa"/>
            <w:tcMar>
              <w:left w:w="28" w:type="dxa"/>
              <w:right w:w="28" w:type="dxa"/>
            </w:tcMar>
            <w:vAlign w:val="center"/>
          </w:tcPr>
          <w:p w14:paraId="5C7D38EC">
            <w:pPr>
              <w:pStyle w:val="55"/>
              <w:spacing w:beforeLines="0" w:afterLines="0" w:line="240" w:lineRule="auto"/>
              <w:ind w:firstLine="0" w:firstLineChars="0"/>
              <w:rPr>
                <w:rFonts w:ascii="Times New Roman"/>
                <w:b/>
                <w:bCs/>
                <w:snapToGrid w:val="0"/>
                <w:color w:val="000000"/>
                <w:spacing w:val="-16"/>
                <w:kern w:val="21"/>
                <w:szCs w:val="24"/>
              </w:rPr>
            </w:pPr>
            <w:r>
              <w:rPr>
                <w:rFonts w:ascii="Times New Roman"/>
                <w:b/>
                <w:bCs/>
                <w:snapToGrid w:val="0"/>
                <w:color w:val="000000"/>
                <w:spacing w:val="-16"/>
                <w:kern w:val="21"/>
                <w:szCs w:val="24"/>
              </w:rPr>
              <w:t>以新带老削减量（新建项目不填）</w:t>
            </w:r>
            <w:r>
              <w:rPr>
                <w:rFonts w:ascii="Times New Roman"/>
                <w:b/>
                <w:bCs/>
                <w:snapToGrid w:val="0"/>
                <w:color w:val="000000"/>
                <w:spacing w:val="-16"/>
                <w:kern w:val="21"/>
                <w:szCs w:val="24"/>
              </w:rPr>
              <w:fldChar w:fldCharType="begin"/>
            </w:r>
            <w:r>
              <w:rPr>
                <w:rFonts w:ascii="Times New Roman"/>
                <w:b/>
                <w:bCs/>
                <w:snapToGrid w:val="0"/>
                <w:color w:val="000000"/>
                <w:spacing w:val="-16"/>
                <w:kern w:val="21"/>
                <w:szCs w:val="24"/>
              </w:rPr>
              <w:instrText xml:space="preserve"> = 5 \* GB3 \* MERGEFORMAT </w:instrText>
            </w:r>
            <w:r>
              <w:rPr>
                <w:rFonts w:ascii="Times New Roman"/>
                <w:b/>
                <w:bCs/>
                <w:snapToGrid w:val="0"/>
                <w:color w:val="000000"/>
                <w:spacing w:val="-16"/>
                <w:kern w:val="21"/>
                <w:szCs w:val="24"/>
              </w:rPr>
              <w:fldChar w:fldCharType="separate"/>
            </w:r>
            <w:r>
              <w:rPr>
                <w:rFonts w:ascii="Times New Roman"/>
                <w:b/>
                <w:bCs/>
                <w:kern w:val="2"/>
                <w:szCs w:val="24"/>
              </w:rPr>
              <w:t>⑤</w:t>
            </w:r>
            <w:r>
              <w:rPr>
                <w:rFonts w:ascii="Times New Roman"/>
                <w:b/>
                <w:bCs/>
                <w:snapToGrid w:val="0"/>
                <w:color w:val="000000"/>
                <w:spacing w:val="-16"/>
                <w:kern w:val="21"/>
                <w:szCs w:val="24"/>
              </w:rPr>
              <w:fldChar w:fldCharType="end"/>
            </w:r>
          </w:p>
        </w:tc>
        <w:tc>
          <w:tcPr>
            <w:tcW w:w="1706" w:type="dxa"/>
            <w:tcMar>
              <w:left w:w="28" w:type="dxa"/>
              <w:right w:w="28" w:type="dxa"/>
            </w:tcMar>
            <w:vAlign w:val="center"/>
          </w:tcPr>
          <w:p w14:paraId="415E4FF8">
            <w:pPr>
              <w:pStyle w:val="55"/>
              <w:spacing w:beforeLines="0" w:afterLines="0" w:line="240" w:lineRule="auto"/>
              <w:ind w:firstLine="0" w:firstLineChars="0"/>
              <w:rPr>
                <w:rFonts w:ascii="Times New Roman"/>
                <w:b/>
                <w:bCs/>
                <w:snapToGrid w:val="0"/>
                <w:color w:val="000000"/>
                <w:spacing w:val="-16"/>
                <w:kern w:val="21"/>
                <w:szCs w:val="24"/>
              </w:rPr>
            </w:pPr>
            <w:r>
              <w:rPr>
                <w:rFonts w:ascii="Times New Roman"/>
                <w:b/>
                <w:bCs/>
                <w:snapToGrid w:val="0"/>
                <w:color w:val="000000"/>
                <w:spacing w:val="-16"/>
                <w:kern w:val="21"/>
                <w:szCs w:val="24"/>
              </w:rPr>
              <w:t>本项目建成后全厂排放量（固体废物产生量）</w:t>
            </w:r>
            <w:r>
              <w:rPr>
                <w:rFonts w:ascii="Times New Roman"/>
                <w:b/>
                <w:bCs/>
                <w:snapToGrid w:val="0"/>
                <w:color w:val="000000"/>
                <w:spacing w:val="-16"/>
                <w:kern w:val="21"/>
                <w:szCs w:val="24"/>
              </w:rPr>
              <w:fldChar w:fldCharType="begin"/>
            </w:r>
            <w:r>
              <w:rPr>
                <w:rFonts w:ascii="Times New Roman"/>
                <w:b/>
                <w:bCs/>
                <w:snapToGrid w:val="0"/>
                <w:color w:val="000000"/>
                <w:spacing w:val="-16"/>
                <w:kern w:val="21"/>
                <w:szCs w:val="24"/>
              </w:rPr>
              <w:instrText xml:space="preserve"> = 6 \* GB3 \* MERGEFORMAT </w:instrText>
            </w:r>
            <w:r>
              <w:rPr>
                <w:rFonts w:ascii="Times New Roman"/>
                <w:b/>
                <w:bCs/>
                <w:snapToGrid w:val="0"/>
                <w:color w:val="000000"/>
                <w:spacing w:val="-16"/>
                <w:kern w:val="21"/>
                <w:szCs w:val="24"/>
              </w:rPr>
              <w:fldChar w:fldCharType="separate"/>
            </w:r>
            <w:r>
              <w:rPr>
                <w:rFonts w:ascii="Times New Roman"/>
                <w:b/>
                <w:bCs/>
                <w:kern w:val="2"/>
                <w:szCs w:val="24"/>
              </w:rPr>
              <w:t>⑥</w:t>
            </w:r>
            <w:r>
              <w:rPr>
                <w:rFonts w:ascii="Times New Roman"/>
                <w:b/>
                <w:bCs/>
                <w:snapToGrid w:val="0"/>
                <w:color w:val="000000"/>
                <w:spacing w:val="-16"/>
                <w:kern w:val="21"/>
                <w:szCs w:val="24"/>
              </w:rPr>
              <w:fldChar w:fldCharType="end"/>
            </w:r>
          </w:p>
        </w:tc>
        <w:tc>
          <w:tcPr>
            <w:tcW w:w="1223" w:type="dxa"/>
            <w:tcMar>
              <w:left w:w="28" w:type="dxa"/>
              <w:right w:w="28" w:type="dxa"/>
            </w:tcMar>
            <w:vAlign w:val="center"/>
          </w:tcPr>
          <w:p w14:paraId="78395A48">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t>变化量</w:t>
            </w:r>
          </w:p>
          <w:p w14:paraId="5261E58D">
            <w:pPr>
              <w:pStyle w:val="55"/>
              <w:spacing w:beforeLines="0" w:afterLines="0" w:line="240" w:lineRule="auto"/>
              <w:ind w:firstLine="0" w:firstLineChars="0"/>
              <w:rPr>
                <w:rFonts w:ascii="Times New Roman"/>
                <w:b/>
                <w:bCs/>
                <w:snapToGrid w:val="0"/>
                <w:color w:val="000000"/>
                <w:spacing w:val="-6"/>
                <w:kern w:val="21"/>
                <w:szCs w:val="24"/>
              </w:rPr>
            </w:pPr>
            <w:r>
              <w:rPr>
                <w:rFonts w:ascii="Times New Roman"/>
                <w:b/>
                <w:bCs/>
                <w:snapToGrid w:val="0"/>
                <w:color w:val="000000"/>
                <w:spacing w:val="-6"/>
                <w:kern w:val="21"/>
                <w:szCs w:val="24"/>
              </w:rPr>
              <w:fldChar w:fldCharType="begin"/>
            </w:r>
            <w:r>
              <w:rPr>
                <w:rFonts w:ascii="Times New Roman"/>
                <w:b/>
                <w:bCs/>
                <w:snapToGrid w:val="0"/>
                <w:color w:val="000000"/>
                <w:spacing w:val="-6"/>
                <w:kern w:val="21"/>
                <w:szCs w:val="24"/>
              </w:rPr>
              <w:instrText xml:space="preserve"> = 7 \* GB3 \* MERGEFORMAT </w:instrText>
            </w:r>
            <w:r>
              <w:rPr>
                <w:rFonts w:ascii="Times New Roman"/>
                <w:b/>
                <w:bCs/>
                <w:snapToGrid w:val="0"/>
                <w:color w:val="000000"/>
                <w:spacing w:val="-6"/>
                <w:kern w:val="21"/>
                <w:szCs w:val="24"/>
              </w:rPr>
              <w:fldChar w:fldCharType="separate"/>
            </w:r>
            <w:r>
              <w:rPr>
                <w:rFonts w:ascii="Times New Roman"/>
                <w:b/>
                <w:bCs/>
                <w:kern w:val="2"/>
                <w:szCs w:val="24"/>
              </w:rPr>
              <w:t>⑦</w:t>
            </w:r>
            <w:r>
              <w:rPr>
                <w:rFonts w:ascii="Times New Roman"/>
                <w:b/>
                <w:bCs/>
                <w:snapToGrid w:val="0"/>
                <w:color w:val="000000"/>
                <w:spacing w:val="-6"/>
                <w:kern w:val="21"/>
                <w:szCs w:val="24"/>
              </w:rPr>
              <w:fldChar w:fldCharType="end"/>
            </w:r>
          </w:p>
        </w:tc>
      </w:tr>
      <w:tr w14:paraId="73957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restart"/>
            <w:vAlign w:val="center"/>
          </w:tcPr>
          <w:p w14:paraId="4707D3CA">
            <w:pPr>
              <w:pStyle w:val="55"/>
              <w:spacing w:beforeLines="0" w:afterLines="0" w:line="240" w:lineRule="auto"/>
              <w:ind w:firstLine="0" w:firstLineChars="0"/>
              <w:rPr>
                <w:rFonts w:ascii="Times New Roman"/>
                <w:b/>
                <w:bCs/>
                <w:snapToGrid w:val="0"/>
                <w:color w:val="000000"/>
                <w:kern w:val="21"/>
                <w:szCs w:val="24"/>
              </w:rPr>
            </w:pPr>
            <w:r>
              <w:rPr>
                <w:rFonts w:ascii="Times New Roman"/>
                <w:b/>
                <w:bCs/>
                <w:snapToGrid w:val="0"/>
                <w:color w:val="000000"/>
                <w:kern w:val="21"/>
                <w:szCs w:val="24"/>
              </w:rPr>
              <w:t>废气</w:t>
            </w:r>
          </w:p>
        </w:tc>
        <w:tc>
          <w:tcPr>
            <w:tcW w:w="2591" w:type="dxa"/>
            <w:vAlign w:val="center"/>
          </w:tcPr>
          <w:p w14:paraId="0BB2EAB1">
            <w:pPr>
              <w:pStyle w:val="55"/>
              <w:spacing w:beforeLines="0" w:afterLines="0" w:line="240" w:lineRule="auto"/>
              <w:ind w:firstLine="0" w:firstLineChars="0"/>
              <w:rPr>
                <w:rFonts w:ascii="Times New Roman"/>
                <w:snapToGrid w:val="0"/>
                <w:color w:val="000000"/>
                <w:kern w:val="21"/>
                <w:szCs w:val="24"/>
              </w:rPr>
            </w:pPr>
            <w:r>
              <w:rPr>
                <w:rFonts w:ascii="Times New Roman"/>
                <w:snapToGrid w:val="0"/>
                <w:color w:val="000000"/>
                <w:kern w:val="21"/>
                <w:szCs w:val="24"/>
              </w:rPr>
              <w:t>非甲烷总烃（t/a）</w:t>
            </w:r>
          </w:p>
        </w:tc>
        <w:tc>
          <w:tcPr>
            <w:tcW w:w="1504" w:type="dxa"/>
            <w:vAlign w:val="center"/>
          </w:tcPr>
          <w:p w14:paraId="619097B2">
            <w:pPr>
              <w:spacing w:line="240" w:lineRule="auto"/>
              <w:ind w:firstLine="0" w:firstLineChars="0"/>
              <w:jc w:val="center"/>
              <w:rPr>
                <w:snapToGrid w:val="0"/>
                <w:color w:val="000000"/>
                <w:kern w:val="21"/>
              </w:rPr>
            </w:pPr>
            <w:r>
              <w:rPr>
                <w:snapToGrid w:val="0"/>
                <w:color w:val="000000"/>
                <w:kern w:val="21"/>
              </w:rPr>
              <w:t>/</w:t>
            </w:r>
          </w:p>
        </w:tc>
        <w:tc>
          <w:tcPr>
            <w:tcW w:w="1210" w:type="dxa"/>
            <w:vAlign w:val="center"/>
          </w:tcPr>
          <w:p w14:paraId="58F44D8B">
            <w:pPr>
              <w:spacing w:line="240" w:lineRule="auto"/>
              <w:ind w:firstLine="0" w:firstLineChars="0"/>
              <w:jc w:val="center"/>
              <w:rPr>
                <w:snapToGrid w:val="0"/>
                <w:color w:val="000000"/>
                <w:kern w:val="21"/>
              </w:rPr>
            </w:pPr>
            <w:r>
              <w:rPr>
                <w:snapToGrid w:val="0"/>
                <w:color w:val="000000"/>
                <w:kern w:val="21"/>
              </w:rPr>
              <w:t>/</w:t>
            </w:r>
          </w:p>
        </w:tc>
        <w:tc>
          <w:tcPr>
            <w:tcW w:w="1556" w:type="dxa"/>
            <w:vAlign w:val="center"/>
          </w:tcPr>
          <w:p w14:paraId="1E8B594C">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653EC185">
            <w:pPr>
              <w:widowControl/>
              <w:spacing w:line="240" w:lineRule="auto"/>
              <w:ind w:firstLine="0" w:firstLineChars="0"/>
              <w:jc w:val="center"/>
              <w:textAlignment w:val="center"/>
              <w:rPr>
                <w:rFonts w:hint="eastAsia" w:eastAsia="宋体"/>
                <w:snapToGrid w:val="0"/>
                <w:color w:val="000000"/>
                <w:kern w:val="21"/>
                <w:lang w:eastAsia="zh-CN"/>
              </w:rPr>
            </w:pPr>
            <w:r>
              <w:rPr>
                <w:rFonts w:hint="eastAsia"/>
                <w:color w:val="000000"/>
                <w:kern w:val="0"/>
                <w:lang w:eastAsia="zh-CN" w:bidi="ar"/>
              </w:rPr>
              <w:t>0.0772</w:t>
            </w:r>
          </w:p>
        </w:tc>
        <w:tc>
          <w:tcPr>
            <w:tcW w:w="1557" w:type="dxa"/>
            <w:vAlign w:val="center"/>
          </w:tcPr>
          <w:p w14:paraId="0F1FDE2F">
            <w:pPr>
              <w:widowControl/>
              <w:spacing w:line="240" w:lineRule="auto"/>
              <w:ind w:firstLine="0" w:firstLineChars="0"/>
              <w:jc w:val="center"/>
              <w:textAlignment w:val="center"/>
              <w:rPr>
                <w:snapToGrid w:val="0"/>
                <w:color w:val="000000"/>
                <w:kern w:val="21"/>
              </w:rPr>
            </w:pPr>
            <w:r>
              <w:rPr>
                <w:snapToGrid w:val="0"/>
                <w:color w:val="000000"/>
                <w:kern w:val="21"/>
              </w:rPr>
              <w:t>/</w:t>
            </w:r>
          </w:p>
        </w:tc>
        <w:tc>
          <w:tcPr>
            <w:tcW w:w="1706" w:type="dxa"/>
            <w:vAlign w:val="center"/>
          </w:tcPr>
          <w:p w14:paraId="7C58A3A7">
            <w:pPr>
              <w:widowControl/>
              <w:spacing w:line="240" w:lineRule="auto"/>
              <w:ind w:firstLine="0" w:firstLineChars="0"/>
              <w:jc w:val="center"/>
              <w:textAlignment w:val="center"/>
              <w:rPr>
                <w:rFonts w:hint="eastAsia" w:eastAsia="宋体"/>
                <w:snapToGrid w:val="0"/>
                <w:color w:val="000000"/>
                <w:kern w:val="21"/>
                <w:lang w:eastAsia="zh-CN"/>
              </w:rPr>
            </w:pPr>
            <w:r>
              <w:rPr>
                <w:rFonts w:hint="eastAsia"/>
                <w:color w:val="000000"/>
                <w:kern w:val="0"/>
                <w:lang w:eastAsia="zh-CN" w:bidi="ar"/>
              </w:rPr>
              <w:t>0.0772</w:t>
            </w:r>
          </w:p>
        </w:tc>
        <w:tc>
          <w:tcPr>
            <w:tcW w:w="1223" w:type="dxa"/>
            <w:vAlign w:val="center"/>
          </w:tcPr>
          <w:p w14:paraId="6A42B9BE">
            <w:pPr>
              <w:widowControl/>
              <w:spacing w:line="240" w:lineRule="auto"/>
              <w:ind w:firstLine="0" w:firstLineChars="0"/>
              <w:jc w:val="center"/>
              <w:textAlignment w:val="center"/>
              <w:rPr>
                <w:rFonts w:hint="eastAsia" w:eastAsia="宋体"/>
                <w:snapToGrid w:val="0"/>
                <w:color w:val="000000"/>
                <w:kern w:val="21"/>
                <w:lang w:eastAsia="zh-CN"/>
              </w:rPr>
            </w:pPr>
            <w:r>
              <w:rPr>
                <w:color w:val="000000"/>
                <w:kern w:val="0"/>
                <w:lang w:bidi="ar"/>
              </w:rPr>
              <w:t>+</w:t>
            </w:r>
            <w:r>
              <w:rPr>
                <w:rFonts w:hint="eastAsia"/>
                <w:color w:val="000000"/>
                <w:kern w:val="0"/>
                <w:lang w:eastAsia="zh-CN" w:bidi="ar"/>
              </w:rPr>
              <w:t>0.0772</w:t>
            </w:r>
          </w:p>
        </w:tc>
      </w:tr>
      <w:tr w14:paraId="6D833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18E408C8">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1DE32F9A">
            <w:pPr>
              <w:pStyle w:val="55"/>
              <w:spacing w:beforeLines="0" w:afterLines="0" w:line="240" w:lineRule="auto"/>
              <w:ind w:firstLine="0" w:firstLineChars="0"/>
              <w:rPr>
                <w:rFonts w:ascii="Times New Roman"/>
                <w:snapToGrid w:val="0"/>
                <w:color w:val="000000"/>
                <w:kern w:val="21"/>
                <w:szCs w:val="24"/>
              </w:rPr>
            </w:pPr>
            <w:r>
              <w:rPr>
                <w:rFonts w:ascii="Times New Roman"/>
                <w:snapToGrid w:val="0"/>
                <w:color w:val="000000"/>
                <w:kern w:val="21"/>
                <w:szCs w:val="24"/>
              </w:rPr>
              <w:t>颗粒物（t/a）</w:t>
            </w:r>
          </w:p>
        </w:tc>
        <w:tc>
          <w:tcPr>
            <w:tcW w:w="1504" w:type="dxa"/>
            <w:vAlign w:val="center"/>
          </w:tcPr>
          <w:p w14:paraId="4653F618">
            <w:pPr>
              <w:spacing w:line="240" w:lineRule="auto"/>
              <w:ind w:firstLine="0" w:firstLineChars="0"/>
              <w:jc w:val="center"/>
              <w:rPr>
                <w:snapToGrid w:val="0"/>
                <w:color w:val="000000"/>
                <w:kern w:val="21"/>
              </w:rPr>
            </w:pPr>
            <w:r>
              <w:rPr>
                <w:snapToGrid w:val="0"/>
                <w:color w:val="000000"/>
                <w:kern w:val="21"/>
              </w:rPr>
              <w:t>/</w:t>
            </w:r>
          </w:p>
        </w:tc>
        <w:tc>
          <w:tcPr>
            <w:tcW w:w="1210" w:type="dxa"/>
            <w:vAlign w:val="center"/>
          </w:tcPr>
          <w:p w14:paraId="0E908B45">
            <w:pPr>
              <w:spacing w:line="240" w:lineRule="auto"/>
              <w:ind w:firstLine="0" w:firstLineChars="0"/>
              <w:jc w:val="center"/>
              <w:rPr>
                <w:snapToGrid w:val="0"/>
                <w:color w:val="000000"/>
                <w:kern w:val="21"/>
              </w:rPr>
            </w:pPr>
            <w:r>
              <w:rPr>
                <w:snapToGrid w:val="0"/>
                <w:color w:val="000000"/>
                <w:kern w:val="21"/>
              </w:rPr>
              <w:t>/</w:t>
            </w:r>
          </w:p>
        </w:tc>
        <w:tc>
          <w:tcPr>
            <w:tcW w:w="1556" w:type="dxa"/>
            <w:vAlign w:val="center"/>
          </w:tcPr>
          <w:p w14:paraId="0AEA0BC4">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164C604B">
            <w:pPr>
              <w:widowControl/>
              <w:spacing w:line="240" w:lineRule="auto"/>
              <w:ind w:firstLine="0" w:firstLineChars="0"/>
              <w:jc w:val="center"/>
              <w:textAlignment w:val="center"/>
              <w:rPr>
                <w:rFonts w:hint="eastAsia" w:eastAsia="宋体"/>
                <w:color w:val="000000"/>
                <w:lang w:eastAsia="zh-CN"/>
              </w:rPr>
            </w:pPr>
            <w:r>
              <w:rPr>
                <w:rFonts w:hint="eastAsia"/>
                <w:color w:val="000000"/>
                <w:lang w:eastAsia="zh-CN"/>
              </w:rPr>
              <w:t>0.0479</w:t>
            </w:r>
          </w:p>
        </w:tc>
        <w:tc>
          <w:tcPr>
            <w:tcW w:w="1557" w:type="dxa"/>
            <w:vAlign w:val="center"/>
          </w:tcPr>
          <w:p w14:paraId="7CDBC326">
            <w:pPr>
              <w:widowControl/>
              <w:spacing w:line="240" w:lineRule="auto"/>
              <w:ind w:firstLine="0" w:firstLineChars="0"/>
              <w:jc w:val="center"/>
              <w:textAlignment w:val="center"/>
              <w:rPr>
                <w:snapToGrid w:val="0"/>
                <w:color w:val="000000"/>
                <w:kern w:val="21"/>
              </w:rPr>
            </w:pPr>
            <w:r>
              <w:rPr>
                <w:snapToGrid w:val="0"/>
                <w:color w:val="000000"/>
                <w:kern w:val="21"/>
              </w:rPr>
              <w:t>/</w:t>
            </w:r>
          </w:p>
        </w:tc>
        <w:tc>
          <w:tcPr>
            <w:tcW w:w="1706" w:type="dxa"/>
            <w:vAlign w:val="center"/>
          </w:tcPr>
          <w:p w14:paraId="77676824">
            <w:pPr>
              <w:widowControl/>
              <w:spacing w:line="240" w:lineRule="auto"/>
              <w:ind w:firstLine="0" w:firstLineChars="0"/>
              <w:jc w:val="center"/>
              <w:textAlignment w:val="center"/>
              <w:rPr>
                <w:rFonts w:hint="eastAsia" w:eastAsia="宋体"/>
                <w:color w:val="000000"/>
                <w:lang w:eastAsia="zh-CN"/>
              </w:rPr>
            </w:pPr>
            <w:r>
              <w:rPr>
                <w:rFonts w:hint="eastAsia"/>
                <w:color w:val="000000"/>
                <w:lang w:eastAsia="zh-CN"/>
              </w:rPr>
              <w:t>0.0479</w:t>
            </w:r>
          </w:p>
        </w:tc>
        <w:tc>
          <w:tcPr>
            <w:tcW w:w="1223" w:type="dxa"/>
            <w:vAlign w:val="center"/>
          </w:tcPr>
          <w:p w14:paraId="69942194">
            <w:pPr>
              <w:widowControl/>
              <w:spacing w:line="240" w:lineRule="auto"/>
              <w:ind w:firstLine="0" w:firstLineChars="0"/>
              <w:jc w:val="center"/>
              <w:textAlignment w:val="center"/>
              <w:rPr>
                <w:rFonts w:hint="eastAsia" w:eastAsia="宋体"/>
                <w:color w:val="000000"/>
                <w:lang w:eastAsia="zh-CN"/>
              </w:rPr>
            </w:pPr>
            <w:r>
              <w:rPr>
                <w:color w:val="000000"/>
              </w:rPr>
              <w:t>+</w:t>
            </w:r>
            <w:r>
              <w:rPr>
                <w:rFonts w:hint="eastAsia"/>
                <w:color w:val="000000"/>
                <w:lang w:eastAsia="zh-CN"/>
              </w:rPr>
              <w:t>0.0479</w:t>
            </w:r>
          </w:p>
        </w:tc>
      </w:tr>
      <w:tr w14:paraId="60807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restart"/>
            <w:vAlign w:val="center"/>
          </w:tcPr>
          <w:p w14:paraId="17B14505">
            <w:pPr>
              <w:pStyle w:val="55"/>
              <w:spacing w:beforeLines="0" w:afterLines="0" w:line="240" w:lineRule="auto"/>
              <w:ind w:firstLine="0" w:firstLineChars="0"/>
              <w:rPr>
                <w:rFonts w:ascii="Times New Roman"/>
                <w:b/>
                <w:bCs/>
                <w:snapToGrid w:val="0"/>
                <w:color w:val="000000"/>
                <w:kern w:val="21"/>
                <w:szCs w:val="24"/>
              </w:rPr>
            </w:pPr>
            <w:r>
              <w:rPr>
                <w:rFonts w:ascii="Times New Roman"/>
                <w:b/>
                <w:bCs/>
                <w:snapToGrid w:val="0"/>
                <w:color w:val="000000"/>
                <w:kern w:val="21"/>
                <w:szCs w:val="24"/>
              </w:rPr>
              <w:t>废水</w:t>
            </w:r>
          </w:p>
        </w:tc>
        <w:tc>
          <w:tcPr>
            <w:tcW w:w="2591" w:type="dxa"/>
            <w:vAlign w:val="center"/>
          </w:tcPr>
          <w:p w14:paraId="3A16433A">
            <w:pPr>
              <w:pStyle w:val="55"/>
              <w:spacing w:beforeLines="0" w:afterLines="0" w:line="240" w:lineRule="auto"/>
              <w:ind w:firstLine="0" w:firstLineChars="0"/>
              <w:rPr>
                <w:rFonts w:ascii="Times New Roman"/>
                <w:snapToGrid w:val="0"/>
                <w:color w:val="000000"/>
                <w:kern w:val="21"/>
                <w:szCs w:val="24"/>
              </w:rPr>
            </w:pPr>
            <w:r>
              <w:rPr>
                <w:rFonts w:ascii="Times New Roman"/>
                <w:snapToGrid w:val="0"/>
                <w:color w:val="000000"/>
                <w:kern w:val="21"/>
                <w:szCs w:val="24"/>
              </w:rPr>
              <w:t>废水量（t/a）</w:t>
            </w:r>
          </w:p>
        </w:tc>
        <w:tc>
          <w:tcPr>
            <w:tcW w:w="1504" w:type="dxa"/>
            <w:vAlign w:val="center"/>
          </w:tcPr>
          <w:p w14:paraId="44A9D04F">
            <w:pPr>
              <w:spacing w:line="240" w:lineRule="auto"/>
              <w:ind w:firstLine="0" w:firstLineChars="0"/>
              <w:jc w:val="center"/>
              <w:rPr>
                <w:snapToGrid w:val="0"/>
                <w:color w:val="000000"/>
                <w:kern w:val="21"/>
              </w:rPr>
            </w:pPr>
            <w:r>
              <w:rPr>
                <w:snapToGrid w:val="0"/>
                <w:color w:val="000000"/>
                <w:kern w:val="21"/>
              </w:rPr>
              <w:t>/</w:t>
            </w:r>
          </w:p>
        </w:tc>
        <w:tc>
          <w:tcPr>
            <w:tcW w:w="1210" w:type="dxa"/>
            <w:vAlign w:val="center"/>
          </w:tcPr>
          <w:p w14:paraId="12C65DB1">
            <w:pPr>
              <w:spacing w:line="240" w:lineRule="auto"/>
              <w:ind w:firstLine="0" w:firstLineChars="0"/>
              <w:jc w:val="center"/>
              <w:rPr>
                <w:snapToGrid w:val="0"/>
                <w:color w:val="000000"/>
                <w:kern w:val="21"/>
              </w:rPr>
            </w:pPr>
            <w:r>
              <w:rPr>
                <w:snapToGrid w:val="0"/>
                <w:color w:val="000000"/>
                <w:kern w:val="21"/>
              </w:rPr>
              <w:t>/</w:t>
            </w:r>
          </w:p>
        </w:tc>
        <w:tc>
          <w:tcPr>
            <w:tcW w:w="1556" w:type="dxa"/>
            <w:vAlign w:val="center"/>
          </w:tcPr>
          <w:p w14:paraId="153DD7EC">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0DB8F21B">
            <w:pPr>
              <w:spacing w:line="240" w:lineRule="auto"/>
              <w:ind w:firstLine="0" w:firstLineChars="0"/>
              <w:jc w:val="center"/>
              <w:rPr>
                <w:snapToGrid w:val="0"/>
                <w:color w:val="000000"/>
                <w:kern w:val="21"/>
              </w:rPr>
            </w:pPr>
            <w:r>
              <w:rPr>
                <w:rFonts w:hint="eastAsia"/>
                <w:snapToGrid w:val="0"/>
                <w:color w:val="000000"/>
                <w:kern w:val="21"/>
              </w:rPr>
              <w:t>360</w:t>
            </w:r>
          </w:p>
        </w:tc>
        <w:tc>
          <w:tcPr>
            <w:tcW w:w="1557" w:type="dxa"/>
            <w:vAlign w:val="center"/>
          </w:tcPr>
          <w:p w14:paraId="4B6675CA">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0782F8A2">
            <w:pPr>
              <w:spacing w:line="240" w:lineRule="auto"/>
              <w:ind w:firstLine="0" w:firstLineChars="0"/>
              <w:jc w:val="center"/>
              <w:rPr>
                <w:rFonts w:hint="default" w:eastAsia="宋体"/>
                <w:snapToGrid w:val="0"/>
                <w:color w:val="000000"/>
                <w:kern w:val="21"/>
                <w:lang w:val="en-US" w:eastAsia="zh-CN"/>
              </w:rPr>
            </w:pPr>
            <w:r>
              <w:rPr>
                <w:rFonts w:hint="eastAsia"/>
                <w:snapToGrid w:val="0"/>
                <w:color w:val="000000"/>
                <w:kern w:val="21"/>
                <w:lang w:val="en-US" w:eastAsia="zh-CN"/>
              </w:rPr>
              <w:t>360</w:t>
            </w:r>
          </w:p>
        </w:tc>
        <w:tc>
          <w:tcPr>
            <w:tcW w:w="1223" w:type="dxa"/>
            <w:vAlign w:val="center"/>
          </w:tcPr>
          <w:p w14:paraId="2E20E3D7">
            <w:pPr>
              <w:spacing w:line="240" w:lineRule="auto"/>
              <w:ind w:firstLine="0" w:firstLineChars="0"/>
              <w:jc w:val="center"/>
              <w:rPr>
                <w:rFonts w:hint="default" w:eastAsia="宋体"/>
                <w:snapToGrid w:val="0"/>
                <w:color w:val="000000"/>
                <w:kern w:val="21"/>
                <w:lang w:val="en-US" w:eastAsia="zh-CN"/>
              </w:rPr>
            </w:pPr>
            <w:r>
              <w:rPr>
                <w:rFonts w:hint="eastAsia"/>
                <w:snapToGrid w:val="0"/>
                <w:color w:val="000000"/>
                <w:kern w:val="21"/>
                <w:lang w:val="en-US" w:eastAsia="zh-CN"/>
              </w:rPr>
              <w:t>+360</w:t>
            </w:r>
          </w:p>
        </w:tc>
      </w:tr>
      <w:tr w14:paraId="57FAA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56B84BD9">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5F148A14">
            <w:pPr>
              <w:spacing w:line="240" w:lineRule="auto"/>
              <w:ind w:firstLine="0" w:firstLineChars="0"/>
              <w:jc w:val="center"/>
              <w:rPr>
                <w:snapToGrid w:val="0"/>
                <w:color w:val="000000"/>
                <w:kern w:val="21"/>
              </w:rPr>
            </w:pPr>
            <w:r>
              <w:rPr>
                <w:color w:val="000000"/>
              </w:rPr>
              <w:t>COD</w:t>
            </w:r>
            <w:r>
              <w:rPr>
                <w:snapToGrid w:val="0"/>
                <w:color w:val="000000"/>
                <w:kern w:val="21"/>
              </w:rPr>
              <w:t>（t/a）</w:t>
            </w:r>
          </w:p>
        </w:tc>
        <w:tc>
          <w:tcPr>
            <w:tcW w:w="1504" w:type="dxa"/>
            <w:vAlign w:val="center"/>
          </w:tcPr>
          <w:p w14:paraId="756CA093">
            <w:pPr>
              <w:spacing w:line="240" w:lineRule="auto"/>
              <w:ind w:firstLine="0" w:firstLineChars="0"/>
              <w:jc w:val="center"/>
              <w:rPr>
                <w:snapToGrid w:val="0"/>
                <w:color w:val="000000"/>
                <w:kern w:val="21"/>
              </w:rPr>
            </w:pPr>
            <w:r>
              <w:rPr>
                <w:snapToGrid w:val="0"/>
                <w:color w:val="000000"/>
                <w:kern w:val="21"/>
              </w:rPr>
              <w:t>/</w:t>
            </w:r>
          </w:p>
        </w:tc>
        <w:tc>
          <w:tcPr>
            <w:tcW w:w="1210" w:type="dxa"/>
            <w:vAlign w:val="center"/>
          </w:tcPr>
          <w:p w14:paraId="0320F7FE">
            <w:pPr>
              <w:spacing w:line="240" w:lineRule="auto"/>
              <w:ind w:firstLine="0" w:firstLineChars="0"/>
              <w:jc w:val="center"/>
              <w:rPr>
                <w:snapToGrid w:val="0"/>
                <w:color w:val="000000"/>
                <w:kern w:val="21"/>
              </w:rPr>
            </w:pPr>
            <w:r>
              <w:rPr>
                <w:snapToGrid w:val="0"/>
                <w:color w:val="000000"/>
                <w:kern w:val="21"/>
              </w:rPr>
              <w:t>/</w:t>
            </w:r>
          </w:p>
        </w:tc>
        <w:tc>
          <w:tcPr>
            <w:tcW w:w="1556" w:type="dxa"/>
            <w:vAlign w:val="center"/>
          </w:tcPr>
          <w:p w14:paraId="45FEBA2F">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67CAAF95">
            <w:pPr>
              <w:widowControl/>
              <w:spacing w:line="240" w:lineRule="auto"/>
              <w:ind w:firstLine="0" w:firstLineChars="0"/>
              <w:jc w:val="center"/>
              <w:textAlignment w:val="center"/>
              <w:rPr>
                <w:snapToGrid w:val="0"/>
                <w:color w:val="000000"/>
                <w:kern w:val="21"/>
              </w:rPr>
            </w:pPr>
            <w:r>
              <w:rPr>
                <w:color w:val="000000"/>
                <w:kern w:val="0"/>
                <w:lang w:bidi="ar"/>
              </w:rPr>
              <w:t xml:space="preserve">0.018 </w:t>
            </w:r>
          </w:p>
        </w:tc>
        <w:tc>
          <w:tcPr>
            <w:tcW w:w="1557" w:type="dxa"/>
            <w:vAlign w:val="center"/>
          </w:tcPr>
          <w:p w14:paraId="21CEED0E">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754DB727">
            <w:pPr>
              <w:widowControl/>
              <w:spacing w:line="240" w:lineRule="auto"/>
              <w:ind w:firstLine="0" w:firstLineChars="0"/>
              <w:jc w:val="center"/>
              <w:textAlignment w:val="center"/>
              <w:rPr>
                <w:snapToGrid w:val="0"/>
                <w:color w:val="000000"/>
                <w:kern w:val="21"/>
              </w:rPr>
            </w:pPr>
            <w:r>
              <w:rPr>
                <w:color w:val="000000"/>
                <w:kern w:val="0"/>
                <w:lang w:bidi="ar"/>
              </w:rPr>
              <w:t xml:space="preserve">0.018 </w:t>
            </w:r>
          </w:p>
        </w:tc>
        <w:tc>
          <w:tcPr>
            <w:tcW w:w="1223" w:type="dxa"/>
            <w:vAlign w:val="center"/>
          </w:tcPr>
          <w:p w14:paraId="02A75885">
            <w:pPr>
              <w:widowControl/>
              <w:spacing w:line="240" w:lineRule="auto"/>
              <w:ind w:firstLine="0" w:firstLineChars="0"/>
              <w:jc w:val="center"/>
              <w:textAlignment w:val="center"/>
              <w:rPr>
                <w:snapToGrid w:val="0"/>
                <w:color w:val="000000"/>
                <w:kern w:val="21"/>
              </w:rPr>
            </w:pPr>
            <w:r>
              <w:rPr>
                <w:rFonts w:hint="eastAsia"/>
                <w:color w:val="000000"/>
                <w:kern w:val="0"/>
                <w:lang w:bidi="ar"/>
              </w:rPr>
              <w:t>+</w:t>
            </w:r>
            <w:r>
              <w:rPr>
                <w:color w:val="000000"/>
                <w:kern w:val="0"/>
                <w:lang w:bidi="ar"/>
              </w:rPr>
              <w:t xml:space="preserve">0.018 </w:t>
            </w:r>
          </w:p>
        </w:tc>
      </w:tr>
      <w:tr w14:paraId="060C8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18160371">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7E3DCF7C">
            <w:pPr>
              <w:spacing w:line="240" w:lineRule="auto"/>
              <w:ind w:firstLine="0" w:firstLineChars="0"/>
              <w:jc w:val="center"/>
              <w:rPr>
                <w:snapToGrid w:val="0"/>
                <w:color w:val="000000"/>
                <w:kern w:val="21"/>
              </w:rPr>
            </w:pPr>
            <w:r>
              <w:rPr>
                <w:color w:val="000000"/>
              </w:rPr>
              <w:t>SS</w:t>
            </w:r>
            <w:r>
              <w:rPr>
                <w:snapToGrid w:val="0"/>
                <w:color w:val="000000"/>
                <w:kern w:val="21"/>
              </w:rPr>
              <w:t>（t/a）</w:t>
            </w:r>
          </w:p>
        </w:tc>
        <w:tc>
          <w:tcPr>
            <w:tcW w:w="1504" w:type="dxa"/>
            <w:vAlign w:val="center"/>
          </w:tcPr>
          <w:p w14:paraId="44AE430F">
            <w:pPr>
              <w:spacing w:line="240" w:lineRule="auto"/>
              <w:ind w:firstLine="0" w:firstLineChars="0"/>
              <w:jc w:val="center"/>
              <w:rPr>
                <w:snapToGrid w:val="0"/>
                <w:color w:val="000000"/>
                <w:kern w:val="21"/>
              </w:rPr>
            </w:pPr>
          </w:p>
        </w:tc>
        <w:tc>
          <w:tcPr>
            <w:tcW w:w="1210" w:type="dxa"/>
            <w:vAlign w:val="center"/>
          </w:tcPr>
          <w:p w14:paraId="405ADF98">
            <w:pPr>
              <w:spacing w:line="240" w:lineRule="auto"/>
              <w:ind w:firstLine="0" w:firstLineChars="0"/>
              <w:jc w:val="center"/>
              <w:rPr>
                <w:snapToGrid w:val="0"/>
                <w:color w:val="000000"/>
                <w:kern w:val="21"/>
              </w:rPr>
            </w:pPr>
          </w:p>
        </w:tc>
        <w:tc>
          <w:tcPr>
            <w:tcW w:w="1556" w:type="dxa"/>
            <w:vAlign w:val="center"/>
          </w:tcPr>
          <w:p w14:paraId="1C53FB48">
            <w:pPr>
              <w:spacing w:line="240" w:lineRule="auto"/>
              <w:ind w:firstLine="0" w:firstLineChars="0"/>
              <w:jc w:val="center"/>
              <w:rPr>
                <w:snapToGrid w:val="0"/>
                <w:color w:val="000000"/>
                <w:kern w:val="21"/>
              </w:rPr>
            </w:pPr>
          </w:p>
        </w:tc>
        <w:tc>
          <w:tcPr>
            <w:tcW w:w="1542" w:type="dxa"/>
            <w:vAlign w:val="center"/>
          </w:tcPr>
          <w:p w14:paraId="018B6A26">
            <w:pPr>
              <w:widowControl/>
              <w:spacing w:line="240" w:lineRule="auto"/>
              <w:ind w:firstLine="0" w:firstLineChars="0"/>
              <w:jc w:val="center"/>
              <w:textAlignment w:val="center"/>
              <w:rPr>
                <w:snapToGrid w:val="0"/>
                <w:color w:val="000000"/>
                <w:kern w:val="21"/>
              </w:rPr>
            </w:pPr>
            <w:r>
              <w:rPr>
                <w:color w:val="000000"/>
                <w:kern w:val="0"/>
                <w:lang w:bidi="ar"/>
              </w:rPr>
              <w:t xml:space="preserve">0.0036 </w:t>
            </w:r>
          </w:p>
        </w:tc>
        <w:tc>
          <w:tcPr>
            <w:tcW w:w="1557" w:type="dxa"/>
            <w:vAlign w:val="center"/>
          </w:tcPr>
          <w:p w14:paraId="175EE812">
            <w:pPr>
              <w:spacing w:line="240" w:lineRule="auto"/>
              <w:ind w:firstLine="0" w:firstLineChars="0"/>
              <w:jc w:val="center"/>
              <w:rPr>
                <w:snapToGrid w:val="0"/>
                <w:color w:val="000000"/>
                <w:kern w:val="21"/>
              </w:rPr>
            </w:pPr>
          </w:p>
        </w:tc>
        <w:tc>
          <w:tcPr>
            <w:tcW w:w="1706" w:type="dxa"/>
            <w:vAlign w:val="center"/>
          </w:tcPr>
          <w:p w14:paraId="41C51E5C">
            <w:pPr>
              <w:widowControl/>
              <w:spacing w:line="240" w:lineRule="auto"/>
              <w:ind w:firstLine="0" w:firstLineChars="0"/>
              <w:jc w:val="center"/>
              <w:textAlignment w:val="center"/>
              <w:rPr>
                <w:snapToGrid w:val="0"/>
                <w:color w:val="000000"/>
                <w:kern w:val="21"/>
              </w:rPr>
            </w:pPr>
            <w:r>
              <w:rPr>
                <w:color w:val="000000"/>
                <w:kern w:val="0"/>
                <w:lang w:bidi="ar"/>
              </w:rPr>
              <w:t xml:space="preserve">0.0036 </w:t>
            </w:r>
          </w:p>
        </w:tc>
        <w:tc>
          <w:tcPr>
            <w:tcW w:w="1223" w:type="dxa"/>
            <w:vAlign w:val="center"/>
          </w:tcPr>
          <w:p w14:paraId="48C8A0C3">
            <w:pPr>
              <w:widowControl/>
              <w:spacing w:line="240" w:lineRule="auto"/>
              <w:ind w:firstLine="0" w:firstLineChars="0"/>
              <w:jc w:val="center"/>
              <w:textAlignment w:val="center"/>
              <w:rPr>
                <w:snapToGrid w:val="0"/>
                <w:color w:val="000000"/>
                <w:kern w:val="21"/>
              </w:rPr>
            </w:pPr>
            <w:r>
              <w:rPr>
                <w:rFonts w:hint="eastAsia"/>
                <w:color w:val="000000"/>
                <w:kern w:val="0"/>
                <w:lang w:bidi="ar"/>
              </w:rPr>
              <w:t>+</w:t>
            </w:r>
            <w:r>
              <w:rPr>
                <w:color w:val="000000"/>
                <w:kern w:val="0"/>
                <w:lang w:bidi="ar"/>
              </w:rPr>
              <w:t xml:space="preserve">0.0036 </w:t>
            </w:r>
          </w:p>
        </w:tc>
      </w:tr>
      <w:tr w14:paraId="4FD60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6EDD1673">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20EF7E47">
            <w:pPr>
              <w:spacing w:line="240" w:lineRule="auto"/>
              <w:ind w:firstLine="0" w:firstLineChars="0"/>
              <w:jc w:val="center"/>
              <w:rPr>
                <w:snapToGrid w:val="0"/>
                <w:color w:val="000000"/>
                <w:kern w:val="21"/>
              </w:rPr>
            </w:pPr>
            <w:r>
              <w:rPr>
                <w:color w:val="000000"/>
              </w:rPr>
              <w:t>NH</w:t>
            </w:r>
            <w:r>
              <w:rPr>
                <w:color w:val="000000"/>
                <w:vertAlign w:val="subscript"/>
              </w:rPr>
              <w:t>3</w:t>
            </w:r>
            <w:r>
              <w:rPr>
                <w:color w:val="000000"/>
              </w:rPr>
              <w:t>-N</w:t>
            </w:r>
            <w:r>
              <w:rPr>
                <w:snapToGrid w:val="0"/>
                <w:color w:val="000000"/>
                <w:kern w:val="21"/>
              </w:rPr>
              <w:t>（t/a）</w:t>
            </w:r>
          </w:p>
        </w:tc>
        <w:tc>
          <w:tcPr>
            <w:tcW w:w="1504" w:type="dxa"/>
            <w:vAlign w:val="center"/>
          </w:tcPr>
          <w:p w14:paraId="2882F6CE">
            <w:pPr>
              <w:spacing w:line="240" w:lineRule="auto"/>
              <w:ind w:firstLine="0" w:firstLineChars="0"/>
              <w:jc w:val="center"/>
              <w:rPr>
                <w:snapToGrid w:val="0"/>
                <w:color w:val="000000"/>
                <w:kern w:val="21"/>
              </w:rPr>
            </w:pPr>
          </w:p>
        </w:tc>
        <w:tc>
          <w:tcPr>
            <w:tcW w:w="1210" w:type="dxa"/>
            <w:vAlign w:val="center"/>
          </w:tcPr>
          <w:p w14:paraId="03421963">
            <w:pPr>
              <w:spacing w:line="240" w:lineRule="auto"/>
              <w:ind w:firstLine="0" w:firstLineChars="0"/>
              <w:jc w:val="center"/>
              <w:rPr>
                <w:snapToGrid w:val="0"/>
                <w:color w:val="000000"/>
                <w:kern w:val="21"/>
              </w:rPr>
            </w:pPr>
          </w:p>
        </w:tc>
        <w:tc>
          <w:tcPr>
            <w:tcW w:w="1556" w:type="dxa"/>
            <w:vAlign w:val="center"/>
          </w:tcPr>
          <w:p w14:paraId="259CC67A">
            <w:pPr>
              <w:spacing w:line="240" w:lineRule="auto"/>
              <w:ind w:firstLine="0" w:firstLineChars="0"/>
              <w:jc w:val="center"/>
              <w:rPr>
                <w:snapToGrid w:val="0"/>
                <w:color w:val="000000"/>
                <w:kern w:val="21"/>
              </w:rPr>
            </w:pPr>
          </w:p>
        </w:tc>
        <w:tc>
          <w:tcPr>
            <w:tcW w:w="1542" w:type="dxa"/>
            <w:vAlign w:val="center"/>
          </w:tcPr>
          <w:p w14:paraId="56674335">
            <w:pPr>
              <w:widowControl/>
              <w:spacing w:line="240" w:lineRule="auto"/>
              <w:ind w:firstLine="0" w:firstLineChars="0"/>
              <w:jc w:val="center"/>
              <w:textAlignment w:val="center"/>
              <w:rPr>
                <w:snapToGrid w:val="0"/>
                <w:color w:val="000000"/>
                <w:kern w:val="21"/>
              </w:rPr>
            </w:pPr>
            <w:r>
              <w:rPr>
                <w:color w:val="000000"/>
                <w:kern w:val="0"/>
                <w:lang w:bidi="ar"/>
              </w:rPr>
              <w:t xml:space="preserve">0.0018 </w:t>
            </w:r>
          </w:p>
        </w:tc>
        <w:tc>
          <w:tcPr>
            <w:tcW w:w="1557" w:type="dxa"/>
            <w:vAlign w:val="center"/>
          </w:tcPr>
          <w:p w14:paraId="14D20F5B">
            <w:pPr>
              <w:spacing w:line="240" w:lineRule="auto"/>
              <w:ind w:firstLine="0" w:firstLineChars="0"/>
              <w:jc w:val="center"/>
              <w:rPr>
                <w:snapToGrid w:val="0"/>
                <w:color w:val="000000"/>
                <w:kern w:val="21"/>
              </w:rPr>
            </w:pPr>
          </w:p>
        </w:tc>
        <w:tc>
          <w:tcPr>
            <w:tcW w:w="1706" w:type="dxa"/>
            <w:vAlign w:val="center"/>
          </w:tcPr>
          <w:p w14:paraId="447BC341">
            <w:pPr>
              <w:widowControl/>
              <w:spacing w:line="240" w:lineRule="auto"/>
              <w:ind w:firstLine="0" w:firstLineChars="0"/>
              <w:jc w:val="center"/>
              <w:textAlignment w:val="center"/>
              <w:rPr>
                <w:snapToGrid w:val="0"/>
                <w:color w:val="000000"/>
                <w:kern w:val="21"/>
              </w:rPr>
            </w:pPr>
            <w:r>
              <w:rPr>
                <w:color w:val="000000"/>
                <w:kern w:val="0"/>
                <w:lang w:bidi="ar"/>
              </w:rPr>
              <w:t xml:space="preserve">0.0018 </w:t>
            </w:r>
          </w:p>
        </w:tc>
        <w:tc>
          <w:tcPr>
            <w:tcW w:w="1223" w:type="dxa"/>
            <w:vAlign w:val="center"/>
          </w:tcPr>
          <w:p w14:paraId="1A0DA34F">
            <w:pPr>
              <w:widowControl/>
              <w:spacing w:line="240" w:lineRule="auto"/>
              <w:ind w:firstLine="0" w:firstLineChars="0"/>
              <w:jc w:val="center"/>
              <w:textAlignment w:val="center"/>
              <w:rPr>
                <w:snapToGrid w:val="0"/>
                <w:color w:val="000000"/>
                <w:kern w:val="21"/>
              </w:rPr>
            </w:pPr>
            <w:r>
              <w:rPr>
                <w:rFonts w:hint="eastAsia"/>
                <w:color w:val="000000"/>
                <w:kern w:val="0"/>
                <w:lang w:bidi="ar"/>
              </w:rPr>
              <w:t>+</w:t>
            </w:r>
            <w:r>
              <w:rPr>
                <w:color w:val="000000"/>
                <w:kern w:val="0"/>
                <w:lang w:bidi="ar"/>
              </w:rPr>
              <w:t xml:space="preserve">0.0018 </w:t>
            </w:r>
          </w:p>
        </w:tc>
      </w:tr>
      <w:tr w14:paraId="74939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5948D8A6">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68368485">
            <w:pPr>
              <w:spacing w:line="240" w:lineRule="auto"/>
              <w:ind w:firstLine="0" w:firstLineChars="0"/>
              <w:jc w:val="center"/>
              <w:rPr>
                <w:snapToGrid w:val="0"/>
                <w:color w:val="000000"/>
                <w:kern w:val="21"/>
              </w:rPr>
            </w:pPr>
            <w:r>
              <w:rPr>
                <w:color w:val="000000"/>
              </w:rPr>
              <w:t>TP</w:t>
            </w:r>
            <w:r>
              <w:rPr>
                <w:snapToGrid w:val="0"/>
                <w:color w:val="000000"/>
                <w:kern w:val="21"/>
              </w:rPr>
              <w:t>（t/a）</w:t>
            </w:r>
          </w:p>
        </w:tc>
        <w:tc>
          <w:tcPr>
            <w:tcW w:w="1504" w:type="dxa"/>
            <w:vAlign w:val="center"/>
          </w:tcPr>
          <w:p w14:paraId="05C90E8B">
            <w:pPr>
              <w:spacing w:line="240" w:lineRule="auto"/>
              <w:ind w:firstLine="0" w:firstLineChars="0"/>
              <w:jc w:val="center"/>
              <w:rPr>
                <w:snapToGrid w:val="0"/>
                <w:color w:val="000000"/>
                <w:kern w:val="21"/>
              </w:rPr>
            </w:pPr>
          </w:p>
        </w:tc>
        <w:tc>
          <w:tcPr>
            <w:tcW w:w="1210" w:type="dxa"/>
            <w:vAlign w:val="center"/>
          </w:tcPr>
          <w:p w14:paraId="0D67F8D8">
            <w:pPr>
              <w:spacing w:line="240" w:lineRule="auto"/>
              <w:ind w:firstLine="0" w:firstLineChars="0"/>
              <w:jc w:val="center"/>
              <w:rPr>
                <w:snapToGrid w:val="0"/>
                <w:color w:val="000000"/>
                <w:kern w:val="21"/>
              </w:rPr>
            </w:pPr>
          </w:p>
        </w:tc>
        <w:tc>
          <w:tcPr>
            <w:tcW w:w="1556" w:type="dxa"/>
            <w:vAlign w:val="center"/>
          </w:tcPr>
          <w:p w14:paraId="36AE1051">
            <w:pPr>
              <w:spacing w:line="240" w:lineRule="auto"/>
              <w:ind w:firstLine="0" w:firstLineChars="0"/>
              <w:jc w:val="center"/>
              <w:rPr>
                <w:snapToGrid w:val="0"/>
                <w:color w:val="000000"/>
                <w:kern w:val="21"/>
              </w:rPr>
            </w:pPr>
          </w:p>
        </w:tc>
        <w:tc>
          <w:tcPr>
            <w:tcW w:w="1542" w:type="dxa"/>
            <w:vAlign w:val="center"/>
          </w:tcPr>
          <w:p w14:paraId="285E5E43">
            <w:pPr>
              <w:widowControl/>
              <w:spacing w:line="240" w:lineRule="auto"/>
              <w:ind w:firstLine="0" w:firstLineChars="0"/>
              <w:jc w:val="center"/>
              <w:textAlignment w:val="center"/>
              <w:rPr>
                <w:snapToGrid w:val="0"/>
                <w:color w:val="000000"/>
                <w:kern w:val="21"/>
              </w:rPr>
            </w:pPr>
            <w:r>
              <w:rPr>
                <w:color w:val="000000"/>
                <w:kern w:val="0"/>
                <w:lang w:bidi="ar"/>
              </w:rPr>
              <w:t xml:space="preserve">0.0002 </w:t>
            </w:r>
          </w:p>
        </w:tc>
        <w:tc>
          <w:tcPr>
            <w:tcW w:w="1557" w:type="dxa"/>
            <w:vAlign w:val="center"/>
          </w:tcPr>
          <w:p w14:paraId="1E34B918">
            <w:pPr>
              <w:spacing w:line="240" w:lineRule="auto"/>
              <w:ind w:firstLine="0" w:firstLineChars="0"/>
              <w:jc w:val="center"/>
              <w:rPr>
                <w:snapToGrid w:val="0"/>
                <w:color w:val="000000"/>
                <w:kern w:val="21"/>
              </w:rPr>
            </w:pPr>
          </w:p>
        </w:tc>
        <w:tc>
          <w:tcPr>
            <w:tcW w:w="1706" w:type="dxa"/>
            <w:vAlign w:val="center"/>
          </w:tcPr>
          <w:p w14:paraId="36869948">
            <w:pPr>
              <w:widowControl/>
              <w:spacing w:line="240" w:lineRule="auto"/>
              <w:ind w:firstLine="0" w:firstLineChars="0"/>
              <w:jc w:val="center"/>
              <w:textAlignment w:val="center"/>
              <w:rPr>
                <w:snapToGrid w:val="0"/>
                <w:color w:val="000000"/>
                <w:kern w:val="21"/>
              </w:rPr>
            </w:pPr>
            <w:r>
              <w:rPr>
                <w:color w:val="000000"/>
                <w:kern w:val="0"/>
                <w:lang w:bidi="ar"/>
              </w:rPr>
              <w:t xml:space="preserve">0.0002 </w:t>
            </w:r>
          </w:p>
        </w:tc>
        <w:tc>
          <w:tcPr>
            <w:tcW w:w="1223" w:type="dxa"/>
            <w:vAlign w:val="center"/>
          </w:tcPr>
          <w:p w14:paraId="3B460A84">
            <w:pPr>
              <w:widowControl/>
              <w:spacing w:line="240" w:lineRule="auto"/>
              <w:ind w:firstLine="0" w:firstLineChars="0"/>
              <w:jc w:val="center"/>
              <w:textAlignment w:val="center"/>
              <w:rPr>
                <w:snapToGrid w:val="0"/>
                <w:color w:val="000000"/>
                <w:kern w:val="21"/>
              </w:rPr>
            </w:pPr>
            <w:r>
              <w:rPr>
                <w:rFonts w:hint="eastAsia"/>
                <w:color w:val="000000"/>
                <w:kern w:val="0"/>
                <w:lang w:bidi="ar"/>
              </w:rPr>
              <w:t>+</w:t>
            </w:r>
            <w:r>
              <w:rPr>
                <w:color w:val="000000"/>
                <w:kern w:val="0"/>
                <w:lang w:bidi="ar"/>
              </w:rPr>
              <w:t xml:space="preserve">0.0002 </w:t>
            </w:r>
          </w:p>
        </w:tc>
      </w:tr>
      <w:tr w14:paraId="416D0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vAlign w:val="center"/>
          </w:tcPr>
          <w:p w14:paraId="35E3F13D">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5819E87A">
            <w:pPr>
              <w:spacing w:line="240" w:lineRule="auto"/>
              <w:ind w:firstLine="0" w:firstLineChars="0"/>
              <w:jc w:val="center"/>
              <w:rPr>
                <w:snapToGrid w:val="0"/>
                <w:color w:val="000000"/>
                <w:kern w:val="21"/>
              </w:rPr>
            </w:pPr>
            <w:r>
              <w:rPr>
                <w:color w:val="000000"/>
              </w:rPr>
              <w:t>TN</w:t>
            </w:r>
            <w:r>
              <w:rPr>
                <w:snapToGrid w:val="0"/>
                <w:color w:val="000000"/>
                <w:kern w:val="21"/>
              </w:rPr>
              <w:t>（t/a）</w:t>
            </w:r>
          </w:p>
        </w:tc>
        <w:tc>
          <w:tcPr>
            <w:tcW w:w="1504" w:type="dxa"/>
            <w:vAlign w:val="center"/>
          </w:tcPr>
          <w:p w14:paraId="7073EEEA">
            <w:pPr>
              <w:spacing w:line="240" w:lineRule="auto"/>
              <w:ind w:firstLine="0" w:firstLineChars="0"/>
              <w:jc w:val="center"/>
              <w:rPr>
                <w:snapToGrid w:val="0"/>
                <w:color w:val="000000"/>
                <w:kern w:val="21"/>
              </w:rPr>
            </w:pPr>
            <w:r>
              <w:rPr>
                <w:snapToGrid w:val="0"/>
                <w:color w:val="000000"/>
                <w:kern w:val="21"/>
              </w:rPr>
              <w:t>/</w:t>
            </w:r>
          </w:p>
        </w:tc>
        <w:tc>
          <w:tcPr>
            <w:tcW w:w="1210" w:type="dxa"/>
            <w:vAlign w:val="center"/>
          </w:tcPr>
          <w:p w14:paraId="2AC73911">
            <w:pPr>
              <w:spacing w:line="240" w:lineRule="auto"/>
              <w:ind w:firstLine="0" w:firstLineChars="0"/>
              <w:jc w:val="center"/>
              <w:rPr>
                <w:snapToGrid w:val="0"/>
                <w:color w:val="000000"/>
                <w:kern w:val="21"/>
              </w:rPr>
            </w:pPr>
            <w:r>
              <w:rPr>
                <w:snapToGrid w:val="0"/>
                <w:color w:val="000000"/>
                <w:kern w:val="21"/>
              </w:rPr>
              <w:t>/</w:t>
            </w:r>
          </w:p>
        </w:tc>
        <w:tc>
          <w:tcPr>
            <w:tcW w:w="1556" w:type="dxa"/>
            <w:vAlign w:val="center"/>
          </w:tcPr>
          <w:p w14:paraId="7B1FB84E">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5FC657DA">
            <w:pPr>
              <w:widowControl/>
              <w:spacing w:line="240" w:lineRule="auto"/>
              <w:ind w:firstLine="0" w:firstLineChars="0"/>
              <w:jc w:val="center"/>
              <w:textAlignment w:val="center"/>
              <w:rPr>
                <w:snapToGrid w:val="0"/>
                <w:color w:val="000000"/>
                <w:kern w:val="21"/>
              </w:rPr>
            </w:pPr>
            <w:r>
              <w:rPr>
                <w:color w:val="000000"/>
                <w:kern w:val="0"/>
                <w:lang w:bidi="ar"/>
              </w:rPr>
              <w:t xml:space="preserve">0.0054 </w:t>
            </w:r>
          </w:p>
        </w:tc>
        <w:tc>
          <w:tcPr>
            <w:tcW w:w="1557" w:type="dxa"/>
            <w:vAlign w:val="center"/>
          </w:tcPr>
          <w:p w14:paraId="0D690CB6">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22143088">
            <w:pPr>
              <w:widowControl/>
              <w:spacing w:line="240" w:lineRule="auto"/>
              <w:ind w:firstLine="0" w:firstLineChars="0"/>
              <w:jc w:val="center"/>
              <w:textAlignment w:val="center"/>
              <w:rPr>
                <w:snapToGrid w:val="0"/>
                <w:color w:val="000000"/>
                <w:kern w:val="21"/>
              </w:rPr>
            </w:pPr>
            <w:r>
              <w:rPr>
                <w:color w:val="000000"/>
                <w:kern w:val="0"/>
                <w:lang w:bidi="ar"/>
              </w:rPr>
              <w:t xml:space="preserve">0.0054 </w:t>
            </w:r>
          </w:p>
        </w:tc>
        <w:tc>
          <w:tcPr>
            <w:tcW w:w="1223" w:type="dxa"/>
            <w:vAlign w:val="center"/>
          </w:tcPr>
          <w:p w14:paraId="541CAC3F">
            <w:pPr>
              <w:widowControl/>
              <w:spacing w:line="240" w:lineRule="auto"/>
              <w:ind w:firstLine="0" w:firstLineChars="0"/>
              <w:jc w:val="center"/>
              <w:textAlignment w:val="center"/>
              <w:rPr>
                <w:snapToGrid w:val="0"/>
                <w:color w:val="000000"/>
                <w:kern w:val="21"/>
              </w:rPr>
            </w:pPr>
            <w:r>
              <w:rPr>
                <w:rFonts w:hint="eastAsia"/>
                <w:color w:val="000000"/>
                <w:kern w:val="0"/>
                <w:lang w:bidi="ar"/>
              </w:rPr>
              <w:t>+</w:t>
            </w:r>
            <w:r>
              <w:rPr>
                <w:color w:val="000000"/>
                <w:kern w:val="0"/>
                <w:lang w:bidi="ar"/>
              </w:rPr>
              <w:t xml:space="preserve">0.0054 </w:t>
            </w:r>
          </w:p>
        </w:tc>
      </w:tr>
      <w:tr w14:paraId="2C80A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restart"/>
            <w:vAlign w:val="center"/>
          </w:tcPr>
          <w:p w14:paraId="47E8823A">
            <w:pPr>
              <w:pStyle w:val="55"/>
              <w:spacing w:beforeLines="0" w:afterLines="0" w:line="240" w:lineRule="auto"/>
              <w:ind w:firstLine="0" w:firstLineChars="0"/>
              <w:rPr>
                <w:rFonts w:ascii="Times New Roman"/>
                <w:b/>
                <w:bCs/>
                <w:snapToGrid w:val="0"/>
                <w:color w:val="000000"/>
                <w:kern w:val="21"/>
                <w:szCs w:val="24"/>
              </w:rPr>
            </w:pPr>
            <w:r>
              <w:rPr>
                <w:rFonts w:ascii="Times New Roman"/>
                <w:b/>
                <w:bCs/>
                <w:snapToGrid w:val="0"/>
                <w:color w:val="000000"/>
                <w:kern w:val="21"/>
                <w:szCs w:val="24"/>
              </w:rPr>
              <w:t>一般工业</w:t>
            </w:r>
          </w:p>
          <w:p w14:paraId="17AE7226">
            <w:pPr>
              <w:pStyle w:val="55"/>
              <w:spacing w:beforeLines="0" w:afterLines="0" w:line="240" w:lineRule="auto"/>
              <w:ind w:firstLine="0" w:firstLineChars="0"/>
              <w:rPr>
                <w:rFonts w:ascii="Times New Roman"/>
                <w:b/>
                <w:bCs/>
                <w:snapToGrid w:val="0"/>
                <w:color w:val="000000"/>
                <w:kern w:val="21"/>
                <w:szCs w:val="24"/>
              </w:rPr>
            </w:pPr>
            <w:r>
              <w:rPr>
                <w:rFonts w:ascii="Times New Roman"/>
                <w:b/>
                <w:bCs/>
                <w:snapToGrid w:val="0"/>
                <w:color w:val="000000"/>
                <w:kern w:val="21"/>
                <w:szCs w:val="24"/>
              </w:rPr>
              <w:t>固体废物</w:t>
            </w:r>
          </w:p>
        </w:tc>
        <w:tc>
          <w:tcPr>
            <w:tcW w:w="2591" w:type="dxa"/>
            <w:vAlign w:val="center"/>
          </w:tcPr>
          <w:p w14:paraId="12313DAD">
            <w:pPr>
              <w:pStyle w:val="89"/>
              <w:ind w:firstLine="0" w:firstLineChars="0"/>
              <w:rPr>
                <w:color w:val="000000"/>
                <w:sz w:val="24"/>
                <w:szCs w:val="24"/>
              </w:rPr>
            </w:pPr>
            <w:r>
              <w:rPr>
                <w:color w:val="000000"/>
                <w:sz w:val="24"/>
                <w:szCs w:val="24"/>
              </w:rPr>
              <w:t>废边角料</w:t>
            </w:r>
            <w:r>
              <w:rPr>
                <w:snapToGrid w:val="0"/>
                <w:color w:val="000000"/>
                <w:kern w:val="21"/>
                <w:sz w:val="24"/>
                <w:szCs w:val="24"/>
              </w:rPr>
              <w:t>（t/a）</w:t>
            </w:r>
          </w:p>
        </w:tc>
        <w:tc>
          <w:tcPr>
            <w:tcW w:w="1504" w:type="dxa"/>
            <w:vAlign w:val="center"/>
          </w:tcPr>
          <w:p w14:paraId="2B194FC2">
            <w:pPr>
              <w:spacing w:line="240" w:lineRule="auto"/>
              <w:ind w:firstLine="0" w:firstLineChars="0"/>
              <w:jc w:val="center"/>
            </w:pPr>
            <w:r>
              <w:rPr>
                <w:snapToGrid w:val="0"/>
                <w:color w:val="000000"/>
                <w:kern w:val="21"/>
              </w:rPr>
              <w:t>/</w:t>
            </w:r>
          </w:p>
        </w:tc>
        <w:tc>
          <w:tcPr>
            <w:tcW w:w="1210" w:type="dxa"/>
            <w:vAlign w:val="center"/>
          </w:tcPr>
          <w:p w14:paraId="5045C088">
            <w:pPr>
              <w:spacing w:line="240" w:lineRule="auto"/>
              <w:ind w:firstLine="0" w:firstLineChars="0"/>
              <w:jc w:val="center"/>
            </w:pPr>
            <w:r>
              <w:rPr>
                <w:snapToGrid w:val="0"/>
                <w:color w:val="000000"/>
                <w:kern w:val="21"/>
              </w:rPr>
              <w:t>/</w:t>
            </w:r>
          </w:p>
        </w:tc>
        <w:tc>
          <w:tcPr>
            <w:tcW w:w="1556" w:type="dxa"/>
            <w:vAlign w:val="center"/>
          </w:tcPr>
          <w:p w14:paraId="56266995">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1889807E">
            <w:pPr>
              <w:spacing w:line="240" w:lineRule="auto"/>
              <w:ind w:firstLine="0" w:firstLineChars="0"/>
              <w:jc w:val="center"/>
              <w:rPr>
                <w:rFonts w:hint="eastAsia" w:eastAsia="宋体"/>
                <w:lang w:eastAsia="zh-CN"/>
              </w:rPr>
            </w:pPr>
            <w:r>
              <w:rPr>
                <w:rFonts w:hint="eastAsia"/>
                <w:color w:val="000000"/>
                <w:lang w:eastAsia="zh-CN"/>
              </w:rPr>
              <w:t>1.2</w:t>
            </w:r>
          </w:p>
        </w:tc>
        <w:tc>
          <w:tcPr>
            <w:tcW w:w="1557" w:type="dxa"/>
            <w:vAlign w:val="center"/>
          </w:tcPr>
          <w:p w14:paraId="4CA5E2F7">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0CE8554C">
            <w:pPr>
              <w:spacing w:line="240" w:lineRule="auto"/>
              <w:ind w:firstLine="0" w:firstLineChars="0"/>
              <w:jc w:val="center"/>
              <w:rPr>
                <w:rFonts w:hint="eastAsia" w:eastAsia="宋体"/>
                <w:lang w:eastAsia="zh-CN"/>
              </w:rPr>
            </w:pPr>
            <w:r>
              <w:rPr>
                <w:rFonts w:hint="eastAsia"/>
                <w:color w:val="000000"/>
                <w:lang w:eastAsia="zh-CN"/>
              </w:rPr>
              <w:t>1.2</w:t>
            </w:r>
          </w:p>
        </w:tc>
        <w:tc>
          <w:tcPr>
            <w:tcW w:w="1223" w:type="dxa"/>
            <w:vAlign w:val="center"/>
          </w:tcPr>
          <w:p w14:paraId="70251D8C">
            <w:pPr>
              <w:spacing w:line="240" w:lineRule="auto"/>
              <w:ind w:firstLine="0" w:firstLineChars="0"/>
              <w:jc w:val="center"/>
              <w:rPr>
                <w:rFonts w:hint="eastAsia" w:eastAsia="宋体"/>
                <w:lang w:eastAsia="zh-CN"/>
              </w:rPr>
            </w:pPr>
            <w:r>
              <w:rPr>
                <w:color w:val="000000"/>
              </w:rPr>
              <w:t>+</w:t>
            </w:r>
            <w:r>
              <w:rPr>
                <w:rFonts w:hint="eastAsia"/>
                <w:color w:val="000000"/>
                <w:lang w:eastAsia="zh-CN"/>
              </w:rPr>
              <w:t>1.2</w:t>
            </w:r>
          </w:p>
        </w:tc>
      </w:tr>
      <w:tr w14:paraId="2821F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80" w:type="dxa"/>
            <w:vMerge w:val="continue"/>
            <w:vAlign w:val="center"/>
          </w:tcPr>
          <w:p w14:paraId="47700E6F">
            <w:pPr>
              <w:pStyle w:val="55"/>
              <w:spacing w:beforeLines="0" w:afterLines="0" w:line="240" w:lineRule="auto"/>
              <w:ind w:firstLine="0" w:firstLineChars="0"/>
              <w:rPr>
                <w:rFonts w:ascii="Times New Roman"/>
                <w:b/>
                <w:bCs/>
                <w:snapToGrid w:val="0"/>
                <w:color w:val="000000"/>
                <w:kern w:val="21"/>
                <w:szCs w:val="24"/>
              </w:rPr>
            </w:pPr>
          </w:p>
        </w:tc>
        <w:tc>
          <w:tcPr>
            <w:tcW w:w="2591" w:type="dxa"/>
            <w:vAlign w:val="center"/>
          </w:tcPr>
          <w:p w14:paraId="58055F49">
            <w:pPr>
              <w:pStyle w:val="89"/>
              <w:ind w:firstLine="0" w:firstLineChars="0"/>
              <w:rPr>
                <w:snapToGrid w:val="0"/>
                <w:color w:val="000000"/>
                <w:kern w:val="21"/>
                <w:sz w:val="24"/>
                <w:szCs w:val="24"/>
              </w:rPr>
            </w:pPr>
            <w:r>
              <w:rPr>
                <w:rFonts w:hint="eastAsia"/>
                <w:color w:val="000000"/>
                <w:sz w:val="24"/>
                <w:szCs w:val="24"/>
                <w:lang w:eastAsia="zh-CN"/>
              </w:rPr>
              <w:t>袋式除尘器</w:t>
            </w:r>
            <w:r>
              <w:rPr>
                <w:color w:val="000000"/>
                <w:sz w:val="24"/>
                <w:szCs w:val="24"/>
              </w:rPr>
              <w:t>收集粉尘</w:t>
            </w:r>
            <w:r>
              <w:rPr>
                <w:snapToGrid w:val="0"/>
                <w:color w:val="000000"/>
                <w:kern w:val="21"/>
                <w:sz w:val="24"/>
                <w:szCs w:val="24"/>
              </w:rPr>
              <w:t>（t/a）</w:t>
            </w:r>
          </w:p>
        </w:tc>
        <w:tc>
          <w:tcPr>
            <w:tcW w:w="1504" w:type="dxa"/>
            <w:vAlign w:val="center"/>
          </w:tcPr>
          <w:p w14:paraId="6B864449">
            <w:pPr>
              <w:snapToGrid w:val="0"/>
              <w:spacing w:line="240" w:lineRule="auto"/>
              <w:ind w:firstLine="0" w:firstLineChars="0"/>
              <w:jc w:val="center"/>
            </w:pPr>
            <w:r>
              <w:t>/</w:t>
            </w:r>
          </w:p>
        </w:tc>
        <w:tc>
          <w:tcPr>
            <w:tcW w:w="1210" w:type="dxa"/>
            <w:vAlign w:val="center"/>
          </w:tcPr>
          <w:p w14:paraId="405619B8">
            <w:pPr>
              <w:spacing w:line="240" w:lineRule="auto"/>
              <w:ind w:firstLine="0" w:firstLineChars="0"/>
              <w:jc w:val="center"/>
            </w:pPr>
            <w:r>
              <w:t>/</w:t>
            </w:r>
          </w:p>
        </w:tc>
        <w:tc>
          <w:tcPr>
            <w:tcW w:w="1556" w:type="dxa"/>
            <w:vAlign w:val="center"/>
          </w:tcPr>
          <w:p w14:paraId="225F6FDB">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7D7AF34D">
            <w:pPr>
              <w:spacing w:line="240" w:lineRule="auto"/>
              <w:ind w:firstLine="0" w:firstLineChars="0"/>
              <w:jc w:val="center"/>
              <w:rPr>
                <w:rFonts w:hint="eastAsia" w:eastAsia="宋体"/>
                <w:lang w:eastAsia="zh-CN"/>
              </w:rPr>
            </w:pPr>
            <w:r>
              <w:rPr>
                <w:rFonts w:hint="eastAsia"/>
                <w:color w:val="000000"/>
                <w:lang w:eastAsia="zh-CN"/>
              </w:rPr>
              <w:t>0.28</w:t>
            </w:r>
          </w:p>
        </w:tc>
        <w:tc>
          <w:tcPr>
            <w:tcW w:w="1557" w:type="dxa"/>
            <w:vAlign w:val="center"/>
          </w:tcPr>
          <w:p w14:paraId="19D85068">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4A51847E">
            <w:pPr>
              <w:spacing w:line="240" w:lineRule="auto"/>
              <w:ind w:firstLine="0" w:firstLineChars="0"/>
              <w:jc w:val="center"/>
              <w:rPr>
                <w:rFonts w:hint="eastAsia" w:eastAsia="宋体"/>
                <w:lang w:eastAsia="zh-CN"/>
              </w:rPr>
            </w:pPr>
            <w:r>
              <w:rPr>
                <w:rFonts w:hint="eastAsia"/>
                <w:color w:val="000000"/>
                <w:lang w:eastAsia="zh-CN"/>
              </w:rPr>
              <w:t>0.28</w:t>
            </w:r>
          </w:p>
        </w:tc>
        <w:tc>
          <w:tcPr>
            <w:tcW w:w="1223" w:type="dxa"/>
            <w:vAlign w:val="center"/>
          </w:tcPr>
          <w:p w14:paraId="178C72FB">
            <w:pPr>
              <w:spacing w:line="240" w:lineRule="auto"/>
              <w:ind w:firstLine="0" w:firstLineChars="0"/>
              <w:jc w:val="center"/>
              <w:rPr>
                <w:rFonts w:hint="eastAsia" w:eastAsia="宋体"/>
                <w:lang w:eastAsia="zh-CN"/>
              </w:rPr>
            </w:pPr>
            <w:r>
              <w:rPr>
                <w:color w:val="000000"/>
              </w:rPr>
              <w:t>+</w:t>
            </w:r>
            <w:r>
              <w:rPr>
                <w:rFonts w:hint="eastAsia"/>
                <w:color w:val="000000"/>
                <w:lang w:eastAsia="zh-CN"/>
              </w:rPr>
              <w:t>0.28</w:t>
            </w:r>
          </w:p>
        </w:tc>
      </w:tr>
      <w:tr w14:paraId="57A481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restart"/>
            <w:vAlign w:val="center"/>
          </w:tcPr>
          <w:p w14:paraId="11EE4BE4">
            <w:pPr>
              <w:pStyle w:val="55"/>
              <w:spacing w:beforeLines="0" w:afterLines="0" w:line="240" w:lineRule="auto"/>
              <w:ind w:firstLine="0" w:firstLineChars="0"/>
              <w:rPr>
                <w:rFonts w:ascii="Times New Roman"/>
                <w:b/>
                <w:bCs/>
                <w:snapToGrid w:val="0"/>
                <w:color w:val="000000"/>
                <w:kern w:val="21"/>
                <w:szCs w:val="24"/>
              </w:rPr>
            </w:pPr>
            <w:r>
              <w:rPr>
                <w:rFonts w:ascii="Times New Roman"/>
                <w:b/>
                <w:bCs/>
                <w:snapToGrid w:val="0"/>
                <w:color w:val="000000"/>
                <w:kern w:val="21"/>
                <w:szCs w:val="24"/>
              </w:rPr>
              <w:t>危险废物</w:t>
            </w:r>
          </w:p>
        </w:tc>
        <w:tc>
          <w:tcPr>
            <w:tcW w:w="2591" w:type="dxa"/>
            <w:vAlign w:val="center"/>
          </w:tcPr>
          <w:p w14:paraId="7F438CD2">
            <w:pPr>
              <w:pStyle w:val="89"/>
              <w:ind w:firstLine="0" w:firstLineChars="0"/>
              <w:rPr>
                <w:color w:val="000000"/>
                <w:spacing w:val="-8"/>
                <w:kern w:val="0"/>
                <w:sz w:val="24"/>
                <w:szCs w:val="24"/>
              </w:rPr>
            </w:pPr>
            <w:r>
              <w:rPr>
                <w:bCs/>
                <w:color w:val="000000"/>
                <w:sz w:val="24"/>
                <w:szCs w:val="24"/>
              </w:rPr>
              <w:t>废活性炭</w:t>
            </w:r>
            <w:r>
              <w:rPr>
                <w:snapToGrid w:val="0"/>
                <w:color w:val="000000"/>
                <w:kern w:val="21"/>
                <w:sz w:val="24"/>
                <w:szCs w:val="24"/>
              </w:rPr>
              <w:t>（t/a）</w:t>
            </w:r>
          </w:p>
        </w:tc>
        <w:tc>
          <w:tcPr>
            <w:tcW w:w="1504" w:type="dxa"/>
            <w:vAlign w:val="center"/>
          </w:tcPr>
          <w:p w14:paraId="5F216806">
            <w:pPr>
              <w:snapToGrid w:val="0"/>
              <w:spacing w:line="240" w:lineRule="auto"/>
              <w:ind w:firstLine="0" w:firstLineChars="0"/>
              <w:jc w:val="center"/>
            </w:pPr>
            <w:r>
              <w:t>/</w:t>
            </w:r>
          </w:p>
        </w:tc>
        <w:tc>
          <w:tcPr>
            <w:tcW w:w="1210" w:type="dxa"/>
            <w:vAlign w:val="center"/>
          </w:tcPr>
          <w:p w14:paraId="3ECAE153">
            <w:pPr>
              <w:spacing w:line="240" w:lineRule="auto"/>
              <w:ind w:firstLine="0" w:firstLineChars="0"/>
              <w:jc w:val="center"/>
              <w:rPr>
                <w:snapToGrid w:val="0"/>
                <w:color w:val="000000"/>
                <w:kern w:val="21"/>
              </w:rPr>
            </w:pPr>
            <w:r>
              <w:t>/</w:t>
            </w:r>
          </w:p>
        </w:tc>
        <w:tc>
          <w:tcPr>
            <w:tcW w:w="1556" w:type="dxa"/>
            <w:vAlign w:val="center"/>
          </w:tcPr>
          <w:p w14:paraId="5D679B50">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21BDB3C2">
            <w:pPr>
              <w:spacing w:line="240" w:lineRule="auto"/>
              <w:ind w:firstLine="0" w:firstLineChars="0"/>
              <w:jc w:val="center"/>
              <w:rPr>
                <w:rFonts w:hint="default" w:eastAsia="宋体"/>
                <w:lang w:val="en-US" w:eastAsia="zh-CN"/>
              </w:rPr>
            </w:pPr>
            <w:r>
              <w:t>1</w:t>
            </w:r>
            <w:r>
              <w:rPr>
                <w:rFonts w:hint="eastAsia"/>
                <w:lang w:val="en-US" w:eastAsia="zh-CN"/>
              </w:rPr>
              <w:t>.5</w:t>
            </w:r>
          </w:p>
        </w:tc>
        <w:tc>
          <w:tcPr>
            <w:tcW w:w="1557" w:type="dxa"/>
            <w:vAlign w:val="center"/>
          </w:tcPr>
          <w:p w14:paraId="2CED1361">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3912A47E">
            <w:pPr>
              <w:spacing w:line="240" w:lineRule="auto"/>
              <w:ind w:firstLine="0" w:firstLineChars="0"/>
              <w:jc w:val="center"/>
              <w:rPr>
                <w:rFonts w:hint="default" w:eastAsia="宋体"/>
                <w:lang w:val="en-US" w:eastAsia="zh-CN"/>
              </w:rPr>
            </w:pPr>
            <w:r>
              <w:t>1</w:t>
            </w:r>
            <w:r>
              <w:rPr>
                <w:rFonts w:hint="eastAsia"/>
                <w:lang w:val="en-US" w:eastAsia="zh-CN"/>
              </w:rPr>
              <w:t>.5</w:t>
            </w:r>
          </w:p>
        </w:tc>
        <w:tc>
          <w:tcPr>
            <w:tcW w:w="1223" w:type="dxa"/>
            <w:vAlign w:val="center"/>
          </w:tcPr>
          <w:p w14:paraId="10F9B88E">
            <w:pPr>
              <w:spacing w:line="240" w:lineRule="auto"/>
              <w:ind w:firstLine="0" w:firstLineChars="0"/>
              <w:jc w:val="center"/>
              <w:rPr>
                <w:rFonts w:hint="default" w:eastAsia="宋体"/>
                <w:lang w:val="en-US" w:eastAsia="zh-CN"/>
              </w:rPr>
            </w:pPr>
            <w:r>
              <w:t>+1</w:t>
            </w:r>
            <w:r>
              <w:rPr>
                <w:rFonts w:hint="eastAsia"/>
                <w:lang w:val="en-US" w:eastAsia="zh-CN"/>
              </w:rPr>
              <w:t>.5</w:t>
            </w:r>
          </w:p>
        </w:tc>
      </w:tr>
      <w:tr w14:paraId="4CAA09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tcPr>
          <w:p w14:paraId="1BA017B8">
            <w:pPr>
              <w:pStyle w:val="55"/>
              <w:spacing w:beforeLines="0" w:afterLines="0" w:line="240" w:lineRule="auto"/>
              <w:ind w:firstLine="0" w:firstLineChars="0"/>
              <w:rPr>
                <w:rFonts w:ascii="Times New Roman"/>
                <w:snapToGrid w:val="0"/>
                <w:color w:val="000000"/>
                <w:kern w:val="21"/>
                <w:szCs w:val="24"/>
              </w:rPr>
            </w:pPr>
          </w:p>
        </w:tc>
        <w:tc>
          <w:tcPr>
            <w:tcW w:w="2591" w:type="dxa"/>
            <w:vAlign w:val="center"/>
          </w:tcPr>
          <w:p w14:paraId="3BD8934A">
            <w:pPr>
              <w:pStyle w:val="89"/>
              <w:ind w:firstLine="0" w:firstLineChars="0"/>
              <w:rPr>
                <w:bCs/>
                <w:color w:val="000000"/>
                <w:kern w:val="0"/>
                <w:sz w:val="24"/>
                <w:szCs w:val="24"/>
              </w:rPr>
            </w:pPr>
            <w:r>
              <w:rPr>
                <w:snapToGrid w:val="0"/>
                <w:color w:val="000000"/>
                <w:kern w:val="21"/>
                <w:sz w:val="24"/>
                <w:szCs w:val="24"/>
              </w:rPr>
              <w:t>废催化剂（t/a）</w:t>
            </w:r>
          </w:p>
        </w:tc>
        <w:tc>
          <w:tcPr>
            <w:tcW w:w="1504" w:type="dxa"/>
            <w:vAlign w:val="center"/>
          </w:tcPr>
          <w:p w14:paraId="0FF4D503">
            <w:pPr>
              <w:snapToGrid w:val="0"/>
              <w:spacing w:line="240" w:lineRule="auto"/>
              <w:ind w:firstLine="0" w:firstLineChars="0"/>
              <w:jc w:val="center"/>
            </w:pPr>
            <w:r>
              <w:t>/</w:t>
            </w:r>
          </w:p>
        </w:tc>
        <w:tc>
          <w:tcPr>
            <w:tcW w:w="1210" w:type="dxa"/>
            <w:vAlign w:val="center"/>
          </w:tcPr>
          <w:p w14:paraId="450BB9D7">
            <w:pPr>
              <w:spacing w:line="240" w:lineRule="auto"/>
              <w:ind w:firstLine="0" w:firstLineChars="0"/>
              <w:jc w:val="center"/>
              <w:rPr>
                <w:snapToGrid w:val="0"/>
                <w:color w:val="000000"/>
                <w:kern w:val="21"/>
              </w:rPr>
            </w:pPr>
            <w:r>
              <w:t>/</w:t>
            </w:r>
          </w:p>
        </w:tc>
        <w:tc>
          <w:tcPr>
            <w:tcW w:w="1556" w:type="dxa"/>
            <w:vAlign w:val="center"/>
          </w:tcPr>
          <w:p w14:paraId="6303C539">
            <w:pPr>
              <w:spacing w:line="240" w:lineRule="auto"/>
              <w:ind w:firstLine="0" w:firstLineChars="0"/>
              <w:jc w:val="center"/>
              <w:rPr>
                <w:snapToGrid w:val="0"/>
                <w:color w:val="000000"/>
                <w:kern w:val="21"/>
              </w:rPr>
            </w:pPr>
            <w:r>
              <w:rPr>
                <w:snapToGrid w:val="0"/>
                <w:color w:val="000000"/>
                <w:kern w:val="21"/>
              </w:rPr>
              <w:t>/</w:t>
            </w:r>
          </w:p>
        </w:tc>
        <w:tc>
          <w:tcPr>
            <w:tcW w:w="1542" w:type="dxa"/>
            <w:vAlign w:val="center"/>
          </w:tcPr>
          <w:p w14:paraId="5A5F8490">
            <w:pPr>
              <w:spacing w:line="240" w:lineRule="auto"/>
              <w:ind w:firstLine="0" w:firstLineChars="0"/>
              <w:jc w:val="center"/>
            </w:pPr>
            <w:r>
              <w:t>0.1</w:t>
            </w:r>
          </w:p>
        </w:tc>
        <w:tc>
          <w:tcPr>
            <w:tcW w:w="1557" w:type="dxa"/>
            <w:vAlign w:val="center"/>
          </w:tcPr>
          <w:p w14:paraId="0AE6CF5C">
            <w:pPr>
              <w:spacing w:line="240" w:lineRule="auto"/>
              <w:ind w:firstLine="0" w:firstLineChars="0"/>
              <w:jc w:val="center"/>
              <w:rPr>
                <w:snapToGrid w:val="0"/>
                <w:color w:val="000000"/>
                <w:kern w:val="21"/>
              </w:rPr>
            </w:pPr>
            <w:r>
              <w:rPr>
                <w:snapToGrid w:val="0"/>
                <w:color w:val="000000"/>
                <w:kern w:val="21"/>
              </w:rPr>
              <w:t>/</w:t>
            </w:r>
          </w:p>
        </w:tc>
        <w:tc>
          <w:tcPr>
            <w:tcW w:w="1706" w:type="dxa"/>
            <w:vAlign w:val="center"/>
          </w:tcPr>
          <w:p w14:paraId="1C1DBE0F">
            <w:pPr>
              <w:spacing w:line="240" w:lineRule="auto"/>
              <w:ind w:firstLine="0" w:firstLineChars="0"/>
              <w:jc w:val="center"/>
            </w:pPr>
            <w:r>
              <w:t>0.1</w:t>
            </w:r>
          </w:p>
        </w:tc>
        <w:tc>
          <w:tcPr>
            <w:tcW w:w="1223" w:type="dxa"/>
            <w:vAlign w:val="center"/>
          </w:tcPr>
          <w:p w14:paraId="5BC08CA6">
            <w:pPr>
              <w:spacing w:line="240" w:lineRule="auto"/>
              <w:ind w:firstLine="0" w:firstLineChars="0"/>
              <w:jc w:val="center"/>
            </w:pPr>
            <w:r>
              <w:t>+0.1</w:t>
            </w:r>
          </w:p>
        </w:tc>
      </w:tr>
      <w:tr w14:paraId="17D93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tcPr>
          <w:p w14:paraId="50969B60">
            <w:pPr>
              <w:pStyle w:val="55"/>
              <w:spacing w:beforeLines="0" w:afterLines="0" w:line="240" w:lineRule="auto"/>
              <w:ind w:firstLine="0" w:firstLineChars="0"/>
              <w:rPr>
                <w:rFonts w:ascii="Times New Roman"/>
                <w:snapToGrid w:val="0"/>
                <w:color w:val="000000"/>
                <w:kern w:val="21"/>
                <w:szCs w:val="24"/>
              </w:rPr>
            </w:pPr>
          </w:p>
        </w:tc>
        <w:tc>
          <w:tcPr>
            <w:tcW w:w="2591" w:type="dxa"/>
            <w:shd w:val="clear" w:color="auto" w:fill="auto"/>
            <w:vAlign w:val="center"/>
          </w:tcPr>
          <w:p w14:paraId="7555D371">
            <w:pPr>
              <w:pStyle w:val="89"/>
              <w:ind w:firstLine="0" w:firstLineChars="0"/>
              <w:rPr>
                <w:rFonts w:ascii="Times New Roman" w:hAnsi="Times New Roman" w:eastAsia="宋体" w:cs="Times New Roman"/>
                <w:snapToGrid w:val="0"/>
                <w:color w:val="000000"/>
                <w:kern w:val="21"/>
                <w:sz w:val="24"/>
                <w:szCs w:val="24"/>
                <w:lang w:val="en-US" w:eastAsia="zh-CN" w:bidi="ar-SA"/>
              </w:rPr>
            </w:pPr>
            <w:r>
              <w:rPr>
                <w:snapToGrid w:val="0"/>
                <w:color w:val="000000"/>
                <w:kern w:val="21"/>
                <w:sz w:val="24"/>
                <w:szCs w:val="24"/>
              </w:rPr>
              <w:t>废包装桶（t/a）</w:t>
            </w:r>
          </w:p>
        </w:tc>
        <w:tc>
          <w:tcPr>
            <w:tcW w:w="1504" w:type="dxa"/>
            <w:shd w:val="clear" w:color="auto" w:fill="auto"/>
            <w:vAlign w:val="center"/>
          </w:tcPr>
          <w:p w14:paraId="19C37932">
            <w:pPr>
              <w:snapToGrid w:val="0"/>
              <w:spacing w:line="240" w:lineRule="auto"/>
              <w:ind w:firstLine="0" w:firstLineChars="0"/>
              <w:jc w:val="center"/>
              <w:rPr>
                <w:rFonts w:ascii="Times New Roman" w:hAnsi="Times New Roman" w:eastAsia="宋体" w:cs="Times New Roman"/>
                <w:kern w:val="2"/>
                <w:sz w:val="24"/>
                <w:szCs w:val="24"/>
                <w:lang w:val="en-US" w:eastAsia="zh-CN" w:bidi="ar-SA"/>
              </w:rPr>
            </w:pPr>
            <w:r>
              <w:t>/</w:t>
            </w:r>
          </w:p>
        </w:tc>
        <w:tc>
          <w:tcPr>
            <w:tcW w:w="1210" w:type="dxa"/>
            <w:shd w:val="clear" w:color="auto" w:fill="auto"/>
            <w:vAlign w:val="center"/>
          </w:tcPr>
          <w:p w14:paraId="75D95BDC">
            <w:pPr>
              <w:spacing w:line="240" w:lineRule="auto"/>
              <w:ind w:firstLine="0" w:firstLineChars="0"/>
              <w:jc w:val="center"/>
              <w:rPr>
                <w:rFonts w:ascii="Times New Roman" w:hAnsi="Times New Roman" w:eastAsia="宋体" w:cs="Times New Roman"/>
                <w:kern w:val="2"/>
                <w:sz w:val="24"/>
                <w:szCs w:val="24"/>
                <w:lang w:val="en-US" w:eastAsia="zh-CN" w:bidi="ar-SA"/>
              </w:rPr>
            </w:pPr>
            <w:r>
              <w:t>/</w:t>
            </w:r>
          </w:p>
        </w:tc>
        <w:tc>
          <w:tcPr>
            <w:tcW w:w="1556" w:type="dxa"/>
            <w:shd w:val="clear" w:color="auto" w:fill="auto"/>
            <w:vAlign w:val="center"/>
          </w:tcPr>
          <w:p w14:paraId="0639DFBB">
            <w:pPr>
              <w:spacing w:line="240" w:lineRule="auto"/>
              <w:ind w:firstLine="0" w:firstLineChars="0"/>
              <w:jc w:val="center"/>
              <w:rPr>
                <w:rFonts w:ascii="Times New Roman" w:hAnsi="Times New Roman" w:eastAsia="宋体" w:cs="Times New Roman"/>
                <w:snapToGrid w:val="0"/>
                <w:color w:val="000000"/>
                <w:kern w:val="21"/>
                <w:sz w:val="24"/>
                <w:szCs w:val="24"/>
                <w:lang w:val="en-US" w:eastAsia="zh-CN" w:bidi="ar-SA"/>
              </w:rPr>
            </w:pPr>
            <w:r>
              <w:t>/</w:t>
            </w:r>
          </w:p>
        </w:tc>
        <w:tc>
          <w:tcPr>
            <w:tcW w:w="1542" w:type="dxa"/>
            <w:shd w:val="clear" w:color="auto" w:fill="auto"/>
            <w:vAlign w:val="center"/>
          </w:tcPr>
          <w:p w14:paraId="6C3811F2">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lang w:val="en-US" w:eastAsia="zh-CN"/>
              </w:rPr>
              <w:t>0.</w:t>
            </w:r>
            <w:r>
              <w:rPr>
                <w:rFonts w:hint="eastAsia"/>
              </w:rPr>
              <w:t>2</w:t>
            </w:r>
          </w:p>
        </w:tc>
        <w:tc>
          <w:tcPr>
            <w:tcW w:w="1557" w:type="dxa"/>
            <w:shd w:val="clear" w:color="auto" w:fill="auto"/>
            <w:vAlign w:val="center"/>
          </w:tcPr>
          <w:p w14:paraId="4D1BA0D5">
            <w:pPr>
              <w:spacing w:line="240" w:lineRule="auto"/>
              <w:ind w:firstLine="0" w:firstLineChars="0"/>
              <w:jc w:val="center"/>
              <w:rPr>
                <w:rFonts w:ascii="Times New Roman" w:hAnsi="Times New Roman" w:eastAsia="宋体" w:cs="Times New Roman"/>
                <w:snapToGrid w:val="0"/>
                <w:color w:val="000000"/>
                <w:kern w:val="21"/>
                <w:sz w:val="24"/>
                <w:szCs w:val="24"/>
                <w:lang w:val="en-US" w:eastAsia="zh-CN" w:bidi="ar-SA"/>
              </w:rPr>
            </w:pPr>
            <w:r>
              <w:t>/</w:t>
            </w:r>
          </w:p>
        </w:tc>
        <w:tc>
          <w:tcPr>
            <w:tcW w:w="1706" w:type="dxa"/>
            <w:shd w:val="clear" w:color="auto" w:fill="auto"/>
            <w:vAlign w:val="center"/>
          </w:tcPr>
          <w:p w14:paraId="1C4F583E">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lang w:val="en-US" w:eastAsia="zh-CN"/>
              </w:rPr>
              <w:t>0.</w:t>
            </w:r>
            <w:r>
              <w:rPr>
                <w:rFonts w:hint="eastAsia"/>
              </w:rPr>
              <w:t>2</w:t>
            </w:r>
          </w:p>
        </w:tc>
        <w:tc>
          <w:tcPr>
            <w:tcW w:w="1223" w:type="dxa"/>
            <w:shd w:val="clear" w:color="auto" w:fill="auto"/>
            <w:vAlign w:val="center"/>
          </w:tcPr>
          <w:p w14:paraId="10782CB0">
            <w:pPr>
              <w:spacing w:line="240" w:lineRule="auto"/>
              <w:ind w:firstLine="0" w:firstLineChars="0"/>
              <w:jc w:val="center"/>
              <w:rPr>
                <w:rFonts w:ascii="Times New Roman" w:hAnsi="Times New Roman" w:eastAsia="宋体" w:cs="Times New Roman"/>
                <w:kern w:val="2"/>
                <w:sz w:val="24"/>
                <w:szCs w:val="24"/>
                <w:lang w:val="en-US" w:eastAsia="zh-CN" w:bidi="ar-SA"/>
              </w:rPr>
            </w:pPr>
            <w:r>
              <w:t>+</w:t>
            </w:r>
            <w:r>
              <w:rPr>
                <w:rFonts w:hint="eastAsia"/>
                <w:lang w:val="en-US" w:eastAsia="zh-CN"/>
              </w:rPr>
              <w:t>0.</w:t>
            </w:r>
            <w:r>
              <w:rPr>
                <w:rFonts w:hint="eastAsia"/>
              </w:rPr>
              <w:t>2</w:t>
            </w:r>
          </w:p>
        </w:tc>
      </w:tr>
      <w:tr w14:paraId="12BC8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80" w:type="dxa"/>
            <w:vMerge w:val="continue"/>
          </w:tcPr>
          <w:p w14:paraId="1580B245">
            <w:pPr>
              <w:pStyle w:val="55"/>
              <w:spacing w:beforeLines="0" w:afterLines="0" w:line="240" w:lineRule="auto"/>
              <w:ind w:firstLine="0" w:firstLineChars="0"/>
              <w:rPr>
                <w:rFonts w:ascii="Times New Roman"/>
                <w:snapToGrid w:val="0"/>
                <w:color w:val="000000"/>
                <w:kern w:val="21"/>
                <w:szCs w:val="24"/>
              </w:rPr>
            </w:pPr>
          </w:p>
        </w:tc>
        <w:tc>
          <w:tcPr>
            <w:tcW w:w="2591" w:type="dxa"/>
            <w:vAlign w:val="center"/>
          </w:tcPr>
          <w:p w14:paraId="329772CD">
            <w:pPr>
              <w:pStyle w:val="89"/>
              <w:ind w:firstLine="0" w:firstLineChars="0"/>
              <w:rPr>
                <w:rFonts w:hint="eastAsia" w:eastAsia="宋体"/>
                <w:snapToGrid w:val="0"/>
                <w:color w:val="000000"/>
                <w:kern w:val="21"/>
                <w:sz w:val="24"/>
                <w:szCs w:val="24"/>
                <w:lang w:eastAsia="zh-CN"/>
              </w:rPr>
            </w:pPr>
            <w:r>
              <w:rPr>
                <w:rFonts w:hint="eastAsia"/>
                <w:snapToGrid w:val="0"/>
                <w:color w:val="000000"/>
                <w:kern w:val="21"/>
                <w:sz w:val="24"/>
                <w:szCs w:val="24"/>
                <w:lang w:eastAsia="zh-CN"/>
              </w:rPr>
              <w:t>废抹布</w:t>
            </w:r>
            <w:r>
              <w:rPr>
                <w:snapToGrid w:val="0"/>
                <w:color w:val="000000"/>
                <w:kern w:val="21"/>
                <w:sz w:val="24"/>
                <w:szCs w:val="24"/>
              </w:rPr>
              <w:t>（t/a）</w:t>
            </w:r>
          </w:p>
        </w:tc>
        <w:tc>
          <w:tcPr>
            <w:tcW w:w="1504" w:type="dxa"/>
            <w:vAlign w:val="center"/>
          </w:tcPr>
          <w:p w14:paraId="21C3F3AB">
            <w:pPr>
              <w:snapToGrid w:val="0"/>
              <w:spacing w:line="240" w:lineRule="auto"/>
              <w:ind w:firstLine="0" w:firstLineChars="0"/>
              <w:jc w:val="center"/>
            </w:pPr>
            <w:r>
              <w:t>/</w:t>
            </w:r>
          </w:p>
        </w:tc>
        <w:tc>
          <w:tcPr>
            <w:tcW w:w="1210" w:type="dxa"/>
            <w:vAlign w:val="center"/>
          </w:tcPr>
          <w:p w14:paraId="14E4072D">
            <w:pPr>
              <w:spacing w:line="240" w:lineRule="auto"/>
              <w:ind w:firstLine="0" w:firstLineChars="0"/>
              <w:jc w:val="center"/>
            </w:pPr>
            <w:r>
              <w:t>/</w:t>
            </w:r>
          </w:p>
        </w:tc>
        <w:tc>
          <w:tcPr>
            <w:tcW w:w="1556" w:type="dxa"/>
            <w:vAlign w:val="center"/>
          </w:tcPr>
          <w:p w14:paraId="657C1E6F">
            <w:pPr>
              <w:spacing w:line="240" w:lineRule="auto"/>
              <w:ind w:firstLine="0" w:firstLineChars="0"/>
              <w:jc w:val="center"/>
              <w:rPr>
                <w:snapToGrid w:val="0"/>
                <w:color w:val="000000"/>
                <w:kern w:val="21"/>
              </w:rPr>
            </w:pPr>
            <w:r>
              <w:t>/</w:t>
            </w:r>
          </w:p>
        </w:tc>
        <w:tc>
          <w:tcPr>
            <w:tcW w:w="1542" w:type="dxa"/>
            <w:vAlign w:val="center"/>
          </w:tcPr>
          <w:p w14:paraId="5E260C0B">
            <w:pPr>
              <w:spacing w:line="240" w:lineRule="auto"/>
              <w:ind w:firstLine="0" w:firstLineChars="0"/>
              <w:jc w:val="center"/>
              <w:rPr>
                <w:rFonts w:hint="default" w:eastAsia="宋体"/>
                <w:lang w:val="en-US" w:eastAsia="zh-CN"/>
              </w:rPr>
            </w:pPr>
            <w:r>
              <w:rPr>
                <w:rFonts w:hint="eastAsia"/>
                <w:lang w:val="en-US" w:eastAsia="zh-CN"/>
              </w:rPr>
              <w:t>0.05</w:t>
            </w:r>
          </w:p>
        </w:tc>
        <w:tc>
          <w:tcPr>
            <w:tcW w:w="1557" w:type="dxa"/>
            <w:vAlign w:val="center"/>
          </w:tcPr>
          <w:p w14:paraId="2EDF58C6">
            <w:pPr>
              <w:spacing w:line="240" w:lineRule="auto"/>
              <w:ind w:firstLine="0" w:firstLineChars="0"/>
              <w:jc w:val="center"/>
              <w:rPr>
                <w:snapToGrid w:val="0"/>
                <w:color w:val="000000"/>
                <w:kern w:val="21"/>
              </w:rPr>
            </w:pPr>
            <w:r>
              <w:t>/</w:t>
            </w:r>
          </w:p>
        </w:tc>
        <w:tc>
          <w:tcPr>
            <w:tcW w:w="1706" w:type="dxa"/>
            <w:vAlign w:val="center"/>
          </w:tcPr>
          <w:p w14:paraId="42449054">
            <w:pPr>
              <w:spacing w:line="240" w:lineRule="auto"/>
              <w:ind w:firstLine="0" w:firstLineChars="0"/>
              <w:jc w:val="center"/>
              <w:rPr>
                <w:rFonts w:hint="default" w:eastAsia="宋体"/>
                <w:lang w:val="en-US" w:eastAsia="zh-CN"/>
              </w:rPr>
            </w:pPr>
            <w:r>
              <w:rPr>
                <w:rFonts w:hint="eastAsia"/>
                <w:lang w:val="en-US" w:eastAsia="zh-CN"/>
              </w:rPr>
              <w:t>0.05</w:t>
            </w:r>
          </w:p>
        </w:tc>
        <w:tc>
          <w:tcPr>
            <w:tcW w:w="1223" w:type="dxa"/>
            <w:vAlign w:val="center"/>
          </w:tcPr>
          <w:p w14:paraId="51B4FC77">
            <w:pPr>
              <w:spacing w:line="240" w:lineRule="auto"/>
              <w:ind w:firstLine="0" w:firstLineChars="0"/>
              <w:jc w:val="center"/>
              <w:rPr>
                <w:rFonts w:hint="default" w:eastAsia="宋体"/>
                <w:lang w:val="en-US" w:eastAsia="zh-CN"/>
              </w:rPr>
            </w:pPr>
            <w:r>
              <w:t>+</w:t>
            </w:r>
            <w:r>
              <w:rPr>
                <w:rFonts w:hint="eastAsia"/>
                <w:lang w:val="en-US" w:eastAsia="zh-CN"/>
              </w:rPr>
              <w:t>0.05</w:t>
            </w:r>
          </w:p>
        </w:tc>
      </w:tr>
    </w:tbl>
    <w:p w14:paraId="6C130E34">
      <w:pPr>
        <w:pStyle w:val="55"/>
        <w:spacing w:beforeLines="0" w:afterLines="0" w:line="240" w:lineRule="auto"/>
        <w:ind w:firstLine="0" w:firstLineChars="0"/>
        <w:jc w:val="left"/>
        <w:rPr>
          <w:rFonts w:hAnsi="宋体"/>
          <w:snapToGrid w:val="0"/>
          <w:color w:val="000000"/>
          <w:spacing w:val="-6"/>
          <w:kern w:val="21"/>
          <w:szCs w:val="21"/>
        </w:rPr>
        <w:sectPr>
          <w:footerReference r:id="rId9" w:type="default"/>
          <w:pgSz w:w="16838" w:h="11906" w:orient="landscape"/>
          <w:pgMar w:top="1417" w:right="1701" w:bottom="1417" w:left="1701" w:header="851" w:footer="850" w:gutter="0"/>
          <w:pgNumType w:fmt="decimal"/>
          <w:cols w:space="720" w:num="1"/>
          <w:docGrid w:linePitch="312" w:charSpace="0"/>
        </w:sect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p w14:paraId="139853E9">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7456" behindDoc="0" locked="0" layoutInCell="1" allowOverlap="1">
            <wp:simplePos x="0" y="0"/>
            <wp:positionH relativeFrom="column">
              <wp:posOffset>-1170305</wp:posOffset>
            </wp:positionH>
            <wp:positionV relativeFrom="paragraph">
              <wp:posOffset>1288415</wp:posOffset>
            </wp:positionV>
            <wp:extent cx="7960360" cy="5898515"/>
            <wp:effectExtent l="0" t="0" r="14605" b="10160"/>
            <wp:wrapSquare wrapText="bothSides"/>
            <wp:docPr id="23" name="图片 23" descr="64bf3cd6-3981-4280-beb3-7677a8730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4bf3cd6-3981-4280-beb3-7677a8730c4b"/>
                    <pic:cNvPicPr>
                      <a:picLocks noChangeAspect="1"/>
                    </pic:cNvPicPr>
                  </pic:nvPicPr>
                  <pic:blipFill>
                    <a:blip r:embed="rId31"/>
                    <a:stretch>
                      <a:fillRect/>
                    </a:stretch>
                  </pic:blipFill>
                  <pic:spPr>
                    <a:xfrm rot="16200000">
                      <a:off x="0" y="0"/>
                      <a:ext cx="7960360" cy="5898515"/>
                    </a:xfrm>
                    <a:prstGeom prst="rect">
                      <a:avLst/>
                    </a:prstGeom>
                  </pic:spPr>
                </pic:pic>
              </a:graphicData>
            </a:graphic>
          </wp:anchor>
        </w:drawing>
      </w:r>
    </w:p>
    <w:p w14:paraId="6265FD91">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8480" behindDoc="0" locked="0" layoutInCell="1" allowOverlap="1">
            <wp:simplePos x="0" y="0"/>
            <wp:positionH relativeFrom="column">
              <wp:posOffset>-1004570</wp:posOffset>
            </wp:positionH>
            <wp:positionV relativeFrom="paragraph">
              <wp:posOffset>839470</wp:posOffset>
            </wp:positionV>
            <wp:extent cx="7637145" cy="6075680"/>
            <wp:effectExtent l="0" t="0" r="5080" b="13335"/>
            <wp:wrapSquare wrapText="bothSides"/>
            <wp:docPr id="24" name="图片 24" descr="10d62e6d-9d99-4c55-a325-65a08c5408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0d62e6d-9d99-4c55-a325-65a08c54082e"/>
                    <pic:cNvPicPr>
                      <a:picLocks noChangeAspect="1"/>
                    </pic:cNvPicPr>
                  </pic:nvPicPr>
                  <pic:blipFill>
                    <a:blip r:embed="rId32"/>
                    <a:stretch>
                      <a:fillRect/>
                    </a:stretch>
                  </pic:blipFill>
                  <pic:spPr>
                    <a:xfrm rot="16200000">
                      <a:off x="0" y="0"/>
                      <a:ext cx="7637145" cy="6075680"/>
                    </a:xfrm>
                    <a:prstGeom prst="rect">
                      <a:avLst/>
                    </a:prstGeom>
                  </pic:spPr>
                </pic:pic>
              </a:graphicData>
            </a:graphic>
          </wp:anchor>
        </w:drawing>
      </w:r>
    </w:p>
    <w:p w14:paraId="0E24EC84">
      <w:pPr>
        <w:ind w:left="0" w:leftChars="0" w:firstLine="0" w:firstLineChars="0"/>
        <w:rPr>
          <w:rFonts w:hint="eastAsia" w:eastAsia="宋体"/>
          <w:lang w:eastAsia="zh-CN"/>
        </w:rPr>
      </w:pPr>
    </w:p>
    <w:p w14:paraId="1CFF17B7">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9504" behindDoc="0" locked="0" layoutInCell="1" allowOverlap="1">
            <wp:simplePos x="0" y="0"/>
            <wp:positionH relativeFrom="column">
              <wp:posOffset>-982980</wp:posOffset>
            </wp:positionH>
            <wp:positionV relativeFrom="paragraph">
              <wp:posOffset>1120775</wp:posOffset>
            </wp:positionV>
            <wp:extent cx="7559040" cy="5525135"/>
            <wp:effectExtent l="0" t="0" r="6985" b="0"/>
            <wp:wrapSquare wrapText="bothSides"/>
            <wp:docPr id="25" name="图片 25" descr="c3d9afdc-6f90-491d-9e44-984ce11ea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3d9afdc-6f90-491d-9e44-984ce11ead24"/>
                    <pic:cNvPicPr>
                      <a:picLocks noChangeAspect="1"/>
                    </pic:cNvPicPr>
                  </pic:nvPicPr>
                  <pic:blipFill>
                    <a:blip r:embed="rId33"/>
                    <a:stretch>
                      <a:fillRect/>
                    </a:stretch>
                  </pic:blipFill>
                  <pic:spPr>
                    <a:xfrm rot="16200000">
                      <a:off x="0" y="0"/>
                      <a:ext cx="7559040" cy="5525135"/>
                    </a:xfrm>
                    <a:prstGeom prst="rect">
                      <a:avLst/>
                    </a:prstGeom>
                  </pic:spPr>
                </pic:pic>
              </a:graphicData>
            </a:graphic>
          </wp:anchor>
        </w:drawing>
      </w:r>
    </w:p>
    <w:p w14:paraId="2EFCDBE4">
      <w:pPr>
        <w:ind w:left="0" w:leftChars="0" w:firstLine="0" w:firstLineChars="0"/>
        <w:rPr>
          <w:rFonts w:hint="eastAsia" w:eastAsia="宋体"/>
          <w:lang w:eastAsia="zh-CN"/>
        </w:rPr>
      </w:pPr>
    </w:p>
    <w:p w14:paraId="58DD10A2">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0528" behindDoc="0" locked="0" layoutInCell="1" allowOverlap="1">
            <wp:simplePos x="0" y="0"/>
            <wp:positionH relativeFrom="column">
              <wp:posOffset>-1098550</wp:posOffset>
            </wp:positionH>
            <wp:positionV relativeFrom="paragraph">
              <wp:posOffset>1582420</wp:posOffset>
            </wp:positionV>
            <wp:extent cx="7764780" cy="4255770"/>
            <wp:effectExtent l="0" t="0" r="11430" b="7620"/>
            <wp:wrapSquare wrapText="bothSides"/>
            <wp:docPr id="26" name="图片 26" descr="93972257-5b80-416b-941c-476365ae4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3972257-5b80-416b-941c-476365ae4ea0"/>
                    <pic:cNvPicPr>
                      <a:picLocks noChangeAspect="1"/>
                    </pic:cNvPicPr>
                  </pic:nvPicPr>
                  <pic:blipFill>
                    <a:blip r:embed="rId34"/>
                    <a:stretch>
                      <a:fillRect/>
                    </a:stretch>
                  </pic:blipFill>
                  <pic:spPr>
                    <a:xfrm rot="16200000">
                      <a:off x="0" y="0"/>
                      <a:ext cx="7764780" cy="4255770"/>
                    </a:xfrm>
                    <a:prstGeom prst="rect">
                      <a:avLst/>
                    </a:prstGeom>
                  </pic:spPr>
                </pic:pic>
              </a:graphicData>
            </a:graphic>
          </wp:anchor>
        </w:drawing>
      </w:r>
    </w:p>
    <w:p w14:paraId="0E0EA1D3">
      <w:pPr>
        <w:ind w:left="0" w:leftChars="0" w:firstLine="0" w:firstLineChars="0"/>
        <w:rPr>
          <w:rFonts w:hint="eastAsia" w:eastAsia="宋体"/>
          <w:lang w:eastAsia="zh-CN"/>
        </w:rPr>
      </w:pPr>
    </w:p>
    <w:p w14:paraId="09D963D9">
      <w:pPr>
        <w:ind w:left="0" w:leftChars="0" w:firstLine="0" w:firstLineChars="0"/>
        <w:rPr>
          <w:rFonts w:hint="eastAsia" w:eastAsia="宋体"/>
          <w:lang w:eastAsia="zh-CN"/>
        </w:rPr>
      </w:pPr>
    </w:p>
    <w:p w14:paraId="685EF314">
      <w:pPr>
        <w:ind w:left="0" w:leftChars="0" w:firstLine="0" w:firstLineChars="0"/>
        <w:rPr>
          <w:rFonts w:hint="eastAsia" w:eastAsia="宋体"/>
          <w:lang w:eastAsia="zh-CN"/>
        </w:rPr>
      </w:pPr>
    </w:p>
    <w:p w14:paraId="6FC4C6B2">
      <w:pPr>
        <w:ind w:left="0" w:leftChars="0" w:firstLine="0" w:firstLineChars="0"/>
        <w:rPr>
          <w:rFonts w:hint="eastAsia" w:eastAsia="宋体"/>
          <w:lang w:eastAsia="zh-CN"/>
        </w:rPr>
      </w:pPr>
    </w:p>
    <w:p w14:paraId="5BB9B11D">
      <w:pPr>
        <w:ind w:left="0" w:leftChars="0" w:firstLine="0" w:firstLineChars="0"/>
        <w:rPr>
          <w:rFonts w:hint="eastAsia" w:eastAsia="宋体"/>
          <w:lang w:eastAsia="zh-CN"/>
        </w:rPr>
      </w:pPr>
    </w:p>
    <w:p w14:paraId="762108D2">
      <w:pPr>
        <w:ind w:left="0" w:leftChars="0" w:firstLine="0" w:firstLineChars="0"/>
        <w:rPr>
          <w:rFonts w:hint="eastAsia" w:eastAsia="宋体"/>
          <w:lang w:eastAsia="zh-CN"/>
        </w:rPr>
      </w:pPr>
    </w:p>
    <w:p w14:paraId="3E4E85A0">
      <w:pPr>
        <w:ind w:left="0" w:leftChars="0" w:firstLine="0" w:firstLineChars="0"/>
        <w:rPr>
          <w:rFonts w:hint="eastAsia" w:eastAsia="宋体"/>
          <w:lang w:eastAsia="zh-CN"/>
        </w:rPr>
      </w:pPr>
    </w:p>
    <w:p w14:paraId="780CF550">
      <w:pPr>
        <w:ind w:left="0" w:leftChars="0" w:firstLine="0" w:firstLineChars="0"/>
        <w:rPr>
          <w:rFonts w:hint="eastAsia" w:eastAsia="宋体"/>
          <w:lang w:eastAsia="zh-CN"/>
        </w:rPr>
      </w:pPr>
    </w:p>
    <w:p w14:paraId="14CB6D28">
      <w:pPr>
        <w:ind w:left="0" w:leftChars="0" w:firstLine="0" w:firstLineChars="0"/>
        <w:rPr>
          <w:rFonts w:hint="eastAsia" w:eastAsia="宋体"/>
          <w:lang w:eastAsia="zh-CN"/>
        </w:rPr>
      </w:pPr>
    </w:p>
    <w:p w14:paraId="4C6861D8">
      <w:pPr>
        <w:ind w:left="0" w:leftChars="0" w:firstLine="0" w:firstLineChars="0"/>
        <w:rPr>
          <w:rFonts w:hint="eastAsia" w:eastAsia="宋体"/>
          <w:lang w:eastAsia="zh-CN"/>
        </w:rPr>
      </w:pPr>
    </w:p>
    <w:p w14:paraId="3F24E127">
      <w:pPr>
        <w:ind w:left="0" w:leftChars="0" w:firstLine="0" w:firstLineChars="0"/>
        <w:rPr>
          <w:rFonts w:hint="eastAsia" w:eastAsia="宋体"/>
          <w:lang w:eastAsia="zh-CN"/>
        </w:rPr>
      </w:pPr>
    </w:p>
    <w:p w14:paraId="2747F53F">
      <w:pPr>
        <w:ind w:left="0" w:leftChars="0" w:firstLine="0" w:firstLineChars="0"/>
        <w:rPr>
          <w:rFonts w:hint="eastAsia" w:eastAsia="宋体"/>
          <w:lang w:eastAsia="zh-CN"/>
        </w:rPr>
      </w:pPr>
    </w:p>
    <w:p w14:paraId="40CDA82A">
      <w:pPr>
        <w:ind w:left="0" w:leftChars="0" w:firstLine="0" w:firstLineChars="0"/>
        <w:rPr>
          <w:rFonts w:hint="eastAsia" w:eastAsia="宋体"/>
          <w:lang w:eastAsia="zh-CN"/>
        </w:rPr>
      </w:pPr>
    </w:p>
    <w:p w14:paraId="28EEBD98">
      <w:pPr>
        <w:ind w:left="0" w:leftChars="0" w:firstLine="0" w:firstLineChars="0"/>
        <w:rPr>
          <w:rFonts w:hint="eastAsia" w:eastAsia="宋体"/>
          <w:lang w:eastAsia="zh-CN"/>
        </w:rPr>
      </w:pPr>
    </w:p>
    <w:p w14:paraId="42A48D72">
      <w:pPr>
        <w:ind w:left="0" w:leftChars="0" w:firstLine="0" w:firstLineChars="0"/>
        <w:rPr>
          <w:rFonts w:hint="eastAsia" w:eastAsia="宋体"/>
          <w:lang w:eastAsia="zh-CN"/>
        </w:rPr>
      </w:pPr>
    </w:p>
    <w:p w14:paraId="616F934C">
      <w:pPr>
        <w:ind w:left="0" w:leftChars="0" w:firstLine="0" w:firstLineChars="0"/>
        <w:rPr>
          <w:rFonts w:hint="eastAsia" w:eastAsia="宋体"/>
          <w:lang w:eastAsia="zh-CN"/>
        </w:rPr>
      </w:pPr>
    </w:p>
    <w:p w14:paraId="105FCD75">
      <w:pPr>
        <w:ind w:left="0" w:leftChars="0" w:firstLine="0" w:firstLineChars="0"/>
        <w:rPr>
          <w:rFonts w:hint="eastAsia" w:eastAsia="宋体"/>
          <w:lang w:eastAsia="zh-CN"/>
        </w:rPr>
      </w:pPr>
    </w:p>
    <w:p w14:paraId="70B91959">
      <w:pPr>
        <w:ind w:left="0" w:leftChars="0" w:firstLine="0" w:firstLineChars="0"/>
        <w:rPr>
          <w:rFonts w:hint="eastAsia" w:eastAsia="宋体"/>
          <w:lang w:eastAsia="zh-CN"/>
        </w:rPr>
      </w:pPr>
    </w:p>
    <w:p w14:paraId="1E57951C">
      <w:pPr>
        <w:ind w:left="0" w:leftChars="0" w:firstLine="0" w:firstLineChars="0"/>
        <w:rPr>
          <w:rFonts w:hint="eastAsia" w:eastAsia="宋体"/>
          <w:lang w:eastAsia="zh-CN"/>
        </w:rPr>
      </w:pPr>
    </w:p>
    <w:p w14:paraId="2DE8ED27">
      <w:pPr>
        <w:ind w:left="0" w:leftChars="0" w:firstLine="0" w:firstLineChars="0"/>
        <w:rPr>
          <w:rFonts w:hint="eastAsia" w:eastAsia="宋体"/>
          <w:lang w:eastAsia="zh-CN"/>
        </w:rPr>
      </w:pPr>
    </w:p>
    <w:p w14:paraId="0BACA6DC">
      <w:pPr>
        <w:ind w:left="0" w:leftChars="0" w:firstLine="0" w:firstLineChars="0"/>
        <w:rPr>
          <w:rFonts w:hint="eastAsia" w:eastAsia="宋体"/>
          <w:lang w:eastAsia="zh-CN"/>
        </w:rPr>
      </w:pPr>
    </w:p>
    <w:p w14:paraId="5359D59C">
      <w:pPr>
        <w:ind w:left="0" w:leftChars="0" w:firstLine="0" w:firstLineChars="0"/>
        <w:rPr>
          <w:rFonts w:hint="eastAsia" w:eastAsia="宋体"/>
          <w:lang w:eastAsia="zh-CN"/>
        </w:rPr>
      </w:pPr>
    </w:p>
    <w:p w14:paraId="4A0D2E27">
      <w:pPr>
        <w:ind w:left="0" w:leftChars="0" w:firstLine="0" w:firstLineChars="0"/>
        <w:rPr>
          <w:rFonts w:hint="eastAsia" w:eastAsia="宋体"/>
          <w:lang w:eastAsia="zh-CN"/>
        </w:rPr>
      </w:pPr>
    </w:p>
    <w:p w14:paraId="3FE026D7">
      <w:pPr>
        <w:ind w:left="0" w:leftChars="0" w:firstLine="0" w:firstLineChars="0"/>
        <w:rPr>
          <w:rFonts w:hint="eastAsia" w:eastAsia="宋体"/>
          <w:lang w:eastAsia="zh-CN"/>
        </w:rPr>
      </w:pPr>
    </w:p>
    <w:p w14:paraId="591728F5">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1552" behindDoc="0" locked="0" layoutInCell="1" allowOverlap="1">
            <wp:simplePos x="0" y="0"/>
            <wp:positionH relativeFrom="column">
              <wp:posOffset>-1235075</wp:posOffset>
            </wp:positionH>
            <wp:positionV relativeFrom="paragraph">
              <wp:posOffset>940435</wp:posOffset>
            </wp:positionV>
            <wp:extent cx="8025765" cy="5781040"/>
            <wp:effectExtent l="0" t="0" r="10160" b="5715"/>
            <wp:wrapSquare wrapText="bothSides"/>
            <wp:docPr id="27" name="图片 27" descr="d524c6fe-2e30-4b09-802c-6e01b49e4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524c6fe-2e30-4b09-802c-6e01b49e4d43"/>
                    <pic:cNvPicPr>
                      <a:picLocks noChangeAspect="1"/>
                    </pic:cNvPicPr>
                  </pic:nvPicPr>
                  <pic:blipFill>
                    <a:blip r:embed="rId35"/>
                    <a:stretch>
                      <a:fillRect/>
                    </a:stretch>
                  </pic:blipFill>
                  <pic:spPr>
                    <a:xfrm rot="16200000">
                      <a:off x="0" y="0"/>
                      <a:ext cx="8025765" cy="5781040"/>
                    </a:xfrm>
                    <a:prstGeom prst="rect">
                      <a:avLst/>
                    </a:prstGeom>
                  </pic:spPr>
                </pic:pic>
              </a:graphicData>
            </a:graphic>
          </wp:anchor>
        </w:drawing>
      </w:r>
    </w:p>
    <w:p w14:paraId="0CCDCDCB">
      <w:pPr>
        <w:ind w:left="0" w:leftChars="0" w:firstLine="0" w:firstLineChars="0"/>
        <w:rPr>
          <w:rFonts w:hint="eastAsia" w:eastAsia="宋体"/>
          <w:lang w:eastAsia="zh-CN"/>
        </w:rPr>
      </w:pPr>
    </w:p>
    <w:p w14:paraId="00ED3C3C">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2576" behindDoc="0" locked="0" layoutInCell="1" allowOverlap="1">
            <wp:simplePos x="0" y="0"/>
            <wp:positionH relativeFrom="column">
              <wp:posOffset>-1108075</wp:posOffset>
            </wp:positionH>
            <wp:positionV relativeFrom="paragraph">
              <wp:posOffset>1713865</wp:posOffset>
            </wp:positionV>
            <wp:extent cx="7934960" cy="4904105"/>
            <wp:effectExtent l="0" t="0" r="3175" b="5080"/>
            <wp:wrapSquare wrapText="bothSides"/>
            <wp:docPr id="28" name="图片 28" descr="27193878-4ba1-4f82-937e-fd5b86f46a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7193878-4ba1-4f82-937e-fd5b86f46a84"/>
                    <pic:cNvPicPr>
                      <a:picLocks noChangeAspect="1"/>
                    </pic:cNvPicPr>
                  </pic:nvPicPr>
                  <pic:blipFill>
                    <a:blip r:embed="rId36"/>
                    <a:stretch>
                      <a:fillRect/>
                    </a:stretch>
                  </pic:blipFill>
                  <pic:spPr>
                    <a:xfrm rot="16200000">
                      <a:off x="0" y="0"/>
                      <a:ext cx="7934960" cy="4904105"/>
                    </a:xfrm>
                    <a:prstGeom prst="rect">
                      <a:avLst/>
                    </a:prstGeom>
                  </pic:spPr>
                </pic:pic>
              </a:graphicData>
            </a:graphic>
          </wp:anchor>
        </w:drawing>
      </w:r>
    </w:p>
    <w:p w14:paraId="27CC9CCC">
      <w:pPr>
        <w:ind w:left="0" w:leftChars="0" w:firstLine="0" w:firstLineChars="0"/>
        <w:rPr>
          <w:rFonts w:hint="eastAsia" w:eastAsia="宋体"/>
          <w:lang w:eastAsia="zh-CN"/>
        </w:rPr>
      </w:pPr>
    </w:p>
    <w:p w14:paraId="5C875C31">
      <w:pPr>
        <w:ind w:left="0" w:leftChars="0" w:firstLine="0" w:firstLineChars="0"/>
        <w:rPr>
          <w:rFonts w:hint="eastAsia" w:eastAsia="宋体"/>
          <w:lang w:eastAsia="zh-CN"/>
        </w:rPr>
      </w:pPr>
    </w:p>
    <w:p w14:paraId="5F499D6D">
      <w:pPr>
        <w:ind w:left="0" w:leftChars="0" w:firstLine="0" w:firstLineChars="0"/>
        <w:rPr>
          <w:rFonts w:hint="eastAsia" w:eastAsia="宋体"/>
          <w:lang w:eastAsia="zh-CN"/>
        </w:rPr>
      </w:pPr>
    </w:p>
    <w:p w14:paraId="4606D920">
      <w:pPr>
        <w:ind w:left="0" w:leftChars="0" w:firstLine="0" w:firstLineChars="0"/>
        <w:rPr>
          <w:rFonts w:hint="eastAsia" w:eastAsia="宋体"/>
          <w:lang w:eastAsia="zh-CN"/>
        </w:rPr>
      </w:pPr>
    </w:p>
    <w:p w14:paraId="2DEA0A76">
      <w:pPr>
        <w:ind w:left="0" w:leftChars="0" w:firstLine="0" w:firstLineChars="0"/>
        <w:rPr>
          <w:rFonts w:hint="eastAsia" w:eastAsia="宋体"/>
          <w:lang w:eastAsia="zh-CN"/>
        </w:rPr>
      </w:pPr>
    </w:p>
    <w:p w14:paraId="35A578FA">
      <w:pPr>
        <w:ind w:left="0" w:leftChars="0" w:firstLine="0" w:firstLineChars="0"/>
        <w:rPr>
          <w:rFonts w:hint="eastAsia" w:eastAsia="宋体"/>
          <w:lang w:eastAsia="zh-CN"/>
        </w:rPr>
      </w:pPr>
    </w:p>
    <w:p w14:paraId="78520331">
      <w:pPr>
        <w:ind w:left="0" w:leftChars="0" w:firstLine="0" w:firstLineChars="0"/>
        <w:rPr>
          <w:rFonts w:hint="eastAsia" w:eastAsia="宋体"/>
          <w:lang w:eastAsia="zh-CN"/>
        </w:rPr>
      </w:pPr>
    </w:p>
    <w:p w14:paraId="5D571D98">
      <w:pPr>
        <w:ind w:left="0" w:leftChars="0" w:firstLine="0" w:firstLineChars="0"/>
        <w:rPr>
          <w:rFonts w:hint="eastAsia" w:eastAsia="宋体"/>
          <w:lang w:eastAsia="zh-CN"/>
        </w:rPr>
      </w:pPr>
    </w:p>
    <w:p w14:paraId="0CE453C5">
      <w:pPr>
        <w:ind w:left="0" w:leftChars="0" w:firstLine="0" w:firstLineChars="0"/>
        <w:rPr>
          <w:rFonts w:hint="eastAsia" w:eastAsia="宋体"/>
          <w:lang w:eastAsia="zh-CN"/>
        </w:rPr>
      </w:pPr>
    </w:p>
    <w:p w14:paraId="2AF16BED">
      <w:pPr>
        <w:ind w:left="0" w:leftChars="0" w:firstLine="0" w:firstLineChars="0"/>
        <w:rPr>
          <w:rFonts w:hint="eastAsia" w:eastAsia="宋体"/>
          <w:lang w:eastAsia="zh-CN"/>
        </w:rPr>
      </w:pPr>
    </w:p>
    <w:p w14:paraId="56D13A0C">
      <w:pPr>
        <w:ind w:left="0" w:leftChars="0" w:firstLine="0" w:firstLineChars="0"/>
        <w:rPr>
          <w:rFonts w:hint="eastAsia" w:eastAsia="宋体"/>
          <w:lang w:eastAsia="zh-CN"/>
        </w:rPr>
      </w:pPr>
    </w:p>
    <w:p w14:paraId="055F3E64">
      <w:pPr>
        <w:ind w:left="0" w:leftChars="0" w:firstLine="0" w:firstLineChars="0"/>
        <w:rPr>
          <w:rFonts w:hint="eastAsia" w:eastAsia="宋体"/>
          <w:lang w:eastAsia="zh-CN"/>
        </w:rPr>
      </w:pPr>
    </w:p>
    <w:p w14:paraId="5B8949A0">
      <w:pPr>
        <w:ind w:left="0" w:leftChars="0" w:firstLine="0" w:firstLineChars="0"/>
        <w:rPr>
          <w:rFonts w:hint="eastAsia" w:eastAsia="宋体"/>
          <w:lang w:eastAsia="zh-CN"/>
        </w:rPr>
      </w:pPr>
    </w:p>
    <w:p w14:paraId="78CFCA4F">
      <w:pPr>
        <w:ind w:left="0" w:leftChars="0" w:firstLine="0" w:firstLineChars="0"/>
        <w:rPr>
          <w:rFonts w:hint="eastAsia" w:eastAsia="宋体"/>
          <w:lang w:eastAsia="zh-CN"/>
        </w:rPr>
      </w:pPr>
    </w:p>
    <w:p w14:paraId="22ABA360">
      <w:pPr>
        <w:ind w:left="0" w:leftChars="0" w:firstLine="0" w:firstLineChars="0"/>
        <w:rPr>
          <w:rFonts w:hint="eastAsia" w:eastAsia="宋体"/>
          <w:lang w:eastAsia="zh-CN"/>
        </w:rPr>
      </w:pPr>
    </w:p>
    <w:p w14:paraId="12026075">
      <w:pPr>
        <w:ind w:left="0" w:leftChars="0" w:firstLine="0" w:firstLineChars="0"/>
        <w:rPr>
          <w:rFonts w:hint="eastAsia" w:eastAsia="宋体"/>
          <w:lang w:eastAsia="zh-CN"/>
        </w:rPr>
      </w:pPr>
    </w:p>
    <w:p w14:paraId="04D399D2">
      <w:pPr>
        <w:ind w:left="0" w:leftChars="0" w:firstLine="0" w:firstLineChars="0"/>
        <w:rPr>
          <w:rFonts w:hint="eastAsia" w:eastAsia="宋体"/>
          <w:lang w:eastAsia="zh-CN"/>
        </w:rPr>
      </w:pPr>
    </w:p>
    <w:p w14:paraId="6BE13A54">
      <w:pPr>
        <w:ind w:left="0" w:leftChars="0" w:firstLine="0" w:firstLineChars="0"/>
        <w:rPr>
          <w:rFonts w:hint="eastAsia" w:eastAsia="宋体"/>
          <w:lang w:eastAsia="zh-CN"/>
        </w:rPr>
      </w:pPr>
    </w:p>
    <w:p w14:paraId="4BBD4076">
      <w:pPr>
        <w:ind w:left="0" w:leftChars="0" w:firstLine="0" w:firstLineChars="0"/>
        <w:rPr>
          <w:rFonts w:hint="eastAsia" w:eastAsia="宋体"/>
          <w:lang w:eastAsia="zh-CN"/>
        </w:rPr>
      </w:pPr>
    </w:p>
    <w:p w14:paraId="33268D6A">
      <w:pPr>
        <w:ind w:left="0" w:leftChars="0" w:firstLine="0" w:firstLineChars="0"/>
        <w:rPr>
          <w:rFonts w:hint="eastAsia" w:eastAsia="宋体"/>
          <w:lang w:eastAsia="zh-CN"/>
        </w:rPr>
      </w:pPr>
    </w:p>
    <w:p w14:paraId="5F9EC323">
      <w:pPr>
        <w:ind w:left="0" w:leftChars="0" w:firstLine="0" w:firstLineChars="0"/>
        <w:rPr>
          <w:rFonts w:hint="eastAsia" w:eastAsia="宋体"/>
          <w:lang w:eastAsia="zh-CN"/>
        </w:rPr>
      </w:pPr>
    </w:p>
    <w:p w14:paraId="38B97F56">
      <w:pPr>
        <w:ind w:left="0" w:leftChars="0" w:firstLine="0" w:firstLineChars="0"/>
        <w:rPr>
          <w:rFonts w:hint="eastAsia" w:eastAsia="宋体"/>
          <w:lang w:eastAsia="zh-CN"/>
        </w:rPr>
      </w:pPr>
    </w:p>
    <w:p w14:paraId="05F8D31F">
      <w:pPr>
        <w:ind w:left="0" w:leftChars="0" w:firstLine="0" w:firstLineChars="0"/>
        <w:rPr>
          <w:rFonts w:hint="eastAsia" w:eastAsia="宋体"/>
          <w:lang w:eastAsia="zh-CN"/>
        </w:rPr>
      </w:pPr>
    </w:p>
    <w:p w14:paraId="475FB90E">
      <w:pPr>
        <w:ind w:left="0" w:leftChars="0" w:firstLine="0" w:firstLineChars="0"/>
        <w:rPr>
          <w:rFonts w:hint="eastAsia" w:eastAsia="宋体"/>
          <w:lang w:eastAsia="zh-CN"/>
        </w:rPr>
      </w:pPr>
    </w:p>
    <w:p w14:paraId="2CA2F0EC">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3600" behindDoc="0" locked="0" layoutInCell="1" allowOverlap="1">
            <wp:simplePos x="0" y="0"/>
            <wp:positionH relativeFrom="column">
              <wp:posOffset>-1497330</wp:posOffset>
            </wp:positionH>
            <wp:positionV relativeFrom="paragraph">
              <wp:posOffset>1892300</wp:posOffset>
            </wp:positionV>
            <wp:extent cx="8418830" cy="4881880"/>
            <wp:effectExtent l="0" t="0" r="10160" b="8890"/>
            <wp:wrapSquare wrapText="bothSides"/>
            <wp:docPr id="29" name="图片 29" descr="dd431a60-a318-4b7d-9e28-9280b395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d431a60-a318-4b7d-9e28-9280b3958456"/>
                    <pic:cNvPicPr>
                      <a:picLocks noChangeAspect="1"/>
                    </pic:cNvPicPr>
                  </pic:nvPicPr>
                  <pic:blipFill>
                    <a:blip r:embed="rId37"/>
                    <a:stretch>
                      <a:fillRect/>
                    </a:stretch>
                  </pic:blipFill>
                  <pic:spPr>
                    <a:xfrm rot="16200000">
                      <a:off x="0" y="0"/>
                      <a:ext cx="8418830" cy="4881880"/>
                    </a:xfrm>
                    <a:prstGeom prst="rect">
                      <a:avLst/>
                    </a:prstGeom>
                  </pic:spPr>
                </pic:pic>
              </a:graphicData>
            </a:graphic>
          </wp:anchor>
        </w:drawing>
      </w:r>
    </w:p>
    <w:p w14:paraId="33DC8D81">
      <w:pPr>
        <w:ind w:left="0" w:leftChars="0" w:firstLine="0" w:firstLineChars="0"/>
        <w:rPr>
          <w:rFonts w:hint="eastAsia" w:eastAsia="宋体"/>
          <w:lang w:eastAsia="zh-CN"/>
        </w:rPr>
      </w:pPr>
    </w:p>
    <w:p w14:paraId="3D4E4BDD">
      <w:pPr>
        <w:ind w:left="0" w:leftChars="0" w:firstLine="0" w:firstLineChars="0"/>
        <w:rPr>
          <w:rFonts w:hint="eastAsia" w:eastAsia="宋体"/>
          <w:lang w:eastAsia="zh-CN"/>
        </w:rPr>
      </w:pPr>
    </w:p>
    <w:p w14:paraId="76D2085F">
      <w:pPr>
        <w:ind w:left="0" w:leftChars="0" w:firstLine="0" w:firstLineChars="0"/>
        <w:rPr>
          <w:rFonts w:hint="eastAsia" w:eastAsia="宋体"/>
          <w:lang w:eastAsia="zh-CN"/>
        </w:rPr>
      </w:pPr>
    </w:p>
    <w:p w14:paraId="20EE6F5F">
      <w:pPr>
        <w:ind w:left="0" w:leftChars="0" w:firstLine="0" w:firstLineChars="0"/>
        <w:rPr>
          <w:rFonts w:hint="eastAsia" w:eastAsia="宋体"/>
          <w:lang w:eastAsia="zh-CN"/>
        </w:rPr>
      </w:pPr>
    </w:p>
    <w:p w14:paraId="6EEA7FB5">
      <w:pPr>
        <w:ind w:left="0" w:leftChars="0" w:firstLine="0" w:firstLineChars="0"/>
        <w:rPr>
          <w:rFonts w:hint="eastAsia" w:eastAsia="宋体"/>
          <w:lang w:eastAsia="zh-CN"/>
        </w:rPr>
      </w:pPr>
    </w:p>
    <w:p w14:paraId="48286E6B">
      <w:pPr>
        <w:ind w:left="0" w:leftChars="0" w:firstLine="0" w:firstLineChars="0"/>
        <w:rPr>
          <w:rFonts w:hint="eastAsia" w:eastAsia="宋体"/>
          <w:lang w:eastAsia="zh-CN"/>
        </w:rPr>
      </w:pPr>
    </w:p>
    <w:p w14:paraId="1A5F6D13">
      <w:pPr>
        <w:ind w:left="0" w:leftChars="0" w:firstLine="0" w:firstLineChars="0"/>
        <w:rPr>
          <w:rFonts w:hint="eastAsia" w:eastAsia="宋体"/>
          <w:lang w:eastAsia="zh-CN"/>
        </w:rPr>
      </w:pPr>
    </w:p>
    <w:p w14:paraId="12062BB7">
      <w:pPr>
        <w:ind w:left="0" w:leftChars="0" w:firstLine="0" w:firstLineChars="0"/>
        <w:rPr>
          <w:rFonts w:hint="eastAsia" w:eastAsia="宋体"/>
          <w:lang w:eastAsia="zh-CN"/>
        </w:rPr>
      </w:pPr>
    </w:p>
    <w:p w14:paraId="50D0DB67">
      <w:pPr>
        <w:ind w:left="0" w:leftChars="0" w:firstLine="0" w:firstLineChars="0"/>
        <w:rPr>
          <w:rFonts w:hint="eastAsia" w:eastAsia="宋体"/>
          <w:lang w:eastAsia="zh-CN"/>
        </w:rPr>
      </w:pPr>
    </w:p>
    <w:p w14:paraId="72AC3C64">
      <w:pPr>
        <w:ind w:left="0" w:leftChars="0" w:firstLine="0" w:firstLineChars="0"/>
        <w:rPr>
          <w:rFonts w:hint="eastAsia" w:eastAsia="宋体"/>
          <w:lang w:eastAsia="zh-CN"/>
        </w:rPr>
      </w:pPr>
    </w:p>
    <w:p w14:paraId="2544FA9E">
      <w:pPr>
        <w:ind w:left="0" w:leftChars="0" w:firstLine="0" w:firstLineChars="0"/>
        <w:rPr>
          <w:rFonts w:hint="eastAsia" w:eastAsia="宋体"/>
          <w:lang w:eastAsia="zh-CN"/>
        </w:rPr>
      </w:pPr>
    </w:p>
    <w:p w14:paraId="6E87779C">
      <w:pPr>
        <w:ind w:left="0" w:leftChars="0" w:firstLine="0" w:firstLineChars="0"/>
        <w:rPr>
          <w:rFonts w:hint="eastAsia" w:eastAsia="宋体"/>
          <w:lang w:eastAsia="zh-CN"/>
        </w:rPr>
      </w:pPr>
    </w:p>
    <w:p w14:paraId="68FC7FA7">
      <w:pPr>
        <w:ind w:left="0" w:leftChars="0" w:firstLine="0" w:firstLineChars="0"/>
        <w:rPr>
          <w:rFonts w:hint="eastAsia" w:eastAsia="宋体"/>
          <w:lang w:eastAsia="zh-CN"/>
        </w:rPr>
      </w:pPr>
    </w:p>
    <w:p w14:paraId="5F0A1AF1">
      <w:pPr>
        <w:ind w:left="0" w:leftChars="0" w:firstLine="0" w:firstLineChars="0"/>
        <w:rPr>
          <w:rFonts w:hint="eastAsia" w:eastAsia="宋体"/>
          <w:lang w:eastAsia="zh-CN"/>
        </w:rPr>
      </w:pPr>
    </w:p>
    <w:p w14:paraId="4919F624">
      <w:pPr>
        <w:ind w:left="0" w:leftChars="0" w:firstLine="0" w:firstLineChars="0"/>
        <w:rPr>
          <w:rFonts w:hint="eastAsia" w:eastAsia="宋体"/>
          <w:lang w:eastAsia="zh-CN"/>
        </w:rPr>
      </w:pPr>
    </w:p>
    <w:p w14:paraId="053D4F37">
      <w:pPr>
        <w:ind w:left="0" w:leftChars="0" w:firstLine="0" w:firstLineChars="0"/>
        <w:rPr>
          <w:rFonts w:hint="eastAsia" w:eastAsia="宋体"/>
          <w:lang w:eastAsia="zh-CN"/>
        </w:rPr>
      </w:pPr>
    </w:p>
    <w:p w14:paraId="3F00EB9F">
      <w:pPr>
        <w:ind w:left="0" w:leftChars="0" w:firstLine="0" w:firstLineChars="0"/>
        <w:rPr>
          <w:rFonts w:hint="eastAsia" w:eastAsia="宋体"/>
          <w:lang w:eastAsia="zh-CN"/>
        </w:rPr>
      </w:pPr>
    </w:p>
    <w:p w14:paraId="5159BA49">
      <w:pPr>
        <w:ind w:left="0" w:leftChars="0" w:firstLine="0" w:firstLineChars="0"/>
        <w:rPr>
          <w:rFonts w:hint="eastAsia" w:eastAsia="宋体"/>
          <w:lang w:eastAsia="zh-CN"/>
        </w:rPr>
      </w:pPr>
    </w:p>
    <w:p w14:paraId="5F70F456">
      <w:pPr>
        <w:ind w:left="0" w:leftChars="0" w:firstLine="0" w:firstLineChars="0"/>
        <w:rPr>
          <w:rFonts w:hint="eastAsia" w:eastAsia="宋体"/>
          <w:lang w:eastAsia="zh-CN"/>
        </w:rPr>
      </w:pPr>
    </w:p>
    <w:p w14:paraId="37595A09">
      <w:pPr>
        <w:ind w:left="0" w:leftChars="0" w:firstLine="0" w:firstLineChars="0"/>
        <w:rPr>
          <w:rFonts w:hint="eastAsia" w:eastAsia="宋体"/>
          <w:lang w:eastAsia="zh-CN"/>
        </w:rPr>
      </w:pPr>
    </w:p>
    <w:p w14:paraId="0A3F0DDC">
      <w:pPr>
        <w:ind w:left="0" w:leftChars="0" w:firstLine="0" w:firstLineChars="0"/>
        <w:rPr>
          <w:rFonts w:hint="eastAsia" w:eastAsia="宋体"/>
          <w:lang w:eastAsia="zh-CN"/>
        </w:rPr>
      </w:pPr>
    </w:p>
    <w:p w14:paraId="70CF1F0E">
      <w:pPr>
        <w:ind w:left="0" w:leftChars="0" w:firstLine="0" w:firstLineChars="0"/>
        <w:rPr>
          <w:rFonts w:hint="eastAsia" w:eastAsia="宋体"/>
          <w:lang w:eastAsia="zh-CN"/>
        </w:rPr>
      </w:pPr>
    </w:p>
    <w:p w14:paraId="351A10DB">
      <w:pPr>
        <w:ind w:left="0" w:leftChars="0" w:firstLine="0" w:firstLineChars="0"/>
        <w:rPr>
          <w:rFonts w:hint="eastAsia" w:eastAsia="宋体"/>
          <w:lang w:eastAsia="zh-CN"/>
        </w:rPr>
      </w:pPr>
    </w:p>
    <w:p w14:paraId="761CF492">
      <w:pPr>
        <w:ind w:left="0" w:leftChars="0" w:firstLine="0" w:firstLineChars="0"/>
        <w:rPr>
          <w:rFonts w:hint="eastAsia" w:eastAsia="宋体"/>
          <w:lang w:eastAsia="zh-CN"/>
        </w:rPr>
      </w:pPr>
    </w:p>
    <w:p w14:paraId="681510AF">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4624" behindDoc="0" locked="0" layoutInCell="1" allowOverlap="1">
            <wp:simplePos x="0" y="0"/>
            <wp:positionH relativeFrom="column">
              <wp:posOffset>-1535430</wp:posOffset>
            </wp:positionH>
            <wp:positionV relativeFrom="paragraph">
              <wp:posOffset>1624330</wp:posOffset>
            </wp:positionV>
            <wp:extent cx="8433435" cy="5153660"/>
            <wp:effectExtent l="0" t="0" r="12700" b="9525"/>
            <wp:wrapSquare wrapText="bothSides"/>
            <wp:docPr id="30" name="图片 30" descr="b0928662-8e6b-4fd5-bafd-4ec05d764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b0928662-8e6b-4fd5-bafd-4ec05d7649bd"/>
                    <pic:cNvPicPr>
                      <a:picLocks noChangeAspect="1"/>
                    </pic:cNvPicPr>
                  </pic:nvPicPr>
                  <pic:blipFill>
                    <a:blip r:embed="rId38"/>
                    <a:stretch>
                      <a:fillRect/>
                    </a:stretch>
                  </pic:blipFill>
                  <pic:spPr>
                    <a:xfrm rot="16200000">
                      <a:off x="0" y="0"/>
                      <a:ext cx="8433435" cy="5153660"/>
                    </a:xfrm>
                    <a:prstGeom prst="rect">
                      <a:avLst/>
                    </a:prstGeom>
                  </pic:spPr>
                </pic:pic>
              </a:graphicData>
            </a:graphic>
          </wp:anchor>
        </w:drawing>
      </w:r>
    </w:p>
    <w:p w14:paraId="61A9DA48">
      <w:pPr>
        <w:ind w:left="0" w:leftChars="0" w:firstLine="0" w:firstLineChars="0"/>
        <w:rPr>
          <w:rFonts w:hint="eastAsia" w:eastAsia="宋体"/>
          <w:lang w:eastAsia="zh-CN"/>
        </w:rPr>
      </w:pPr>
    </w:p>
    <w:p w14:paraId="0A26C5F0">
      <w:pPr>
        <w:ind w:left="0" w:leftChars="0" w:firstLine="0" w:firstLineChars="0"/>
        <w:rPr>
          <w:rFonts w:hint="eastAsia" w:eastAsia="宋体"/>
          <w:lang w:eastAsia="zh-CN"/>
        </w:rPr>
      </w:pPr>
    </w:p>
    <w:p w14:paraId="3759F0E2">
      <w:pPr>
        <w:ind w:left="0" w:leftChars="0" w:firstLine="0" w:firstLineChars="0"/>
        <w:rPr>
          <w:rFonts w:hint="eastAsia" w:eastAsia="宋体"/>
          <w:lang w:eastAsia="zh-CN"/>
        </w:rPr>
      </w:pPr>
    </w:p>
    <w:p w14:paraId="02C494CC">
      <w:pPr>
        <w:ind w:left="0" w:leftChars="0" w:firstLine="0" w:firstLineChars="0"/>
        <w:rPr>
          <w:rFonts w:hint="eastAsia" w:eastAsia="宋体"/>
          <w:lang w:eastAsia="zh-CN"/>
        </w:rPr>
      </w:pPr>
    </w:p>
    <w:p w14:paraId="0EE25FF2">
      <w:pPr>
        <w:ind w:left="0" w:leftChars="0" w:firstLine="0" w:firstLineChars="0"/>
        <w:rPr>
          <w:rFonts w:hint="eastAsia" w:eastAsia="宋体"/>
          <w:lang w:eastAsia="zh-CN"/>
        </w:rPr>
      </w:pPr>
    </w:p>
    <w:p w14:paraId="70799B2B">
      <w:pPr>
        <w:ind w:left="0" w:leftChars="0" w:firstLine="0" w:firstLineChars="0"/>
        <w:rPr>
          <w:rFonts w:hint="eastAsia" w:eastAsia="宋体"/>
          <w:lang w:eastAsia="zh-CN"/>
        </w:rPr>
      </w:pPr>
    </w:p>
    <w:p w14:paraId="35937233">
      <w:pPr>
        <w:ind w:left="0" w:leftChars="0" w:firstLine="0" w:firstLineChars="0"/>
        <w:rPr>
          <w:rFonts w:hint="eastAsia" w:eastAsia="宋体"/>
          <w:lang w:eastAsia="zh-CN"/>
        </w:rPr>
      </w:pPr>
    </w:p>
    <w:p w14:paraId="70AC102E">
      <w:pPr>
        <w:ind w:left="0" w:leftChars="0" w:firstLine="0" w:firstLineChars="0"/>
        <w:rPr>
          <w:rFonts w:hint="eastAsia" w:eastAsia="宋体"/>
          <w:lang w:eastAsia="zh-CN"/>
        </w:rPr>
      </w:pPr>
    </w:p>
    <w:p w14:paraId="0A256D17">
      <w:pPr>
        <w:ind w:left="0" w:leftChars="0" w:firstLine="0" w:firstLineChars="0"/>
        <w:rPr>
          <w:rFonts w:hint="eastAsia" w:eastAsia="宋体"/>
          <w:lang w:eastAsia="zh-CN"/>
        </w:rPr>
      </w:pPr>
    </w:p>
    <w:p w14:paraId="35B67035">
      <w:pPr>
        <w:ind w:left="0" w:leftChars="0" w:firstLine="0" w:firstLineChars="0"/>
        <w:rPr>
          <w:rFonts w:hint="eastAsia" w:eastAsia="宋体"/>
          <w:lang w:eastAsia="zh-CN"/>
        </w:rPr>
      </w:pPr>
    </w:p>
    <w:p w14:paraId="13F28C44">
      <w:pPr>
        <w:ind w:left="0" w:leftChars="0" w:firstLine="0" w:firstLineChars="0"/>
        <w:rPr>
          <w:rFonts w:hint="eastAsia" w:eastAsia="宋体"/>
          <w:lang w:eastAsia="zh-CN"/>
        </w:rPr>
      </w:pPr>
    </w:p>
    <w:p w14:paraId="5C8E1A06">
      <w:pPr>
        <w:ind w:left="0" w:leftChars="0" w:firstLine="0" w:firstLineChars="0"/>
        <w:rPr>
          <w:rFonts w:hint="eastAsia" w:eastAsia="宋体"/>
          <w:lang w:eastAsia="zh-CN"/>
        </w:rPr>
      </w:pPr>
    </w:p>
    <w:p w14:paraId="2D03CA80">
      <w:pPr>
        <w:ind w:left="0" w:leftChars="0" w:firstLine="0" w:firstLineChars="0"/>
        <w:rPr>
          <w:rFonts w:hint="eastAsia" w:eastAsia="宋体"/>
          <w:lang w:eastAsia="zh-CN"/>
        </w:rPr>
      </w:pPr>
    </w:p>
    <w:p w14:paraId="3539217E">
      <w:pPr>
        <w:ind w:left="0" w:leftChars="0" w:firstLine="0" w:firstLineChars="0"/>
        <w:rPr>
          <w:rFonts w:hint="eastAsia" w:eastAsia="宋体"/>
          <w:lang w:eastAsia="zh-CN"/>
        </w:rPr>
      </w:pPr>
    </w:p>
    <w:p w14:paraId="143CEC7B">
      <w:pPr>
        <w:ind w:left="0" w:leftChars="0" w:firstLine="0" w:firstLineChars="0"/>
        <w:rPr>
          <w:rFonts w:hint="eastAsia" w:eastAsia="宋体"/>
          <w:lang w:eastAsia="zh-CN"/>
        </w:rPr>
      </w:pPr>
    </w:p>
    <w:p w14:paraId="26751D86">
      <w:pPr>
        <w:ind w:left="0" w:leftChars="0" w:firstLine="0" w:firstLineChars="0"/>
        <w:rPr>
          <w:rFonts w:hint="eastAsia" w:eastAsia="宋体"/>
          <w:lang w:eastAsia="zh-CN"/>
        </w:rPr>
      </w:pPr>
    </w:p>
    <w:p w14:paraId="58F23DD7">
      <w:pPr>
        <w:ind w:left="0" w:leftChars="0" w:firstLine="0" w:firstLineChars="0"/>
        <w:rPr>
          <w:rFonts w:hint="eastAsia" w:eastAsia="宋体"/>
          <w:lang w:eastAsia="zh-CN"/>
        </w:rPr>
      </w:pPr>
    </w:p>
    <w:p w14:paraId="4FF28997">
      <w:pPr>
        <w:ind w:left="0" w:leftChars="0" w:firstLine="0" w:firstLineChars="0"/>
        <w:rPr>
          <w:rFonts w:hint="eastAsia" w:eastAsia="宋体"/>
          <w:lang w:eastAsia="zh-CN"/>
        </w:rPr>
      </w:pPr>
    </w:p>
    <w:p w14:paraId="060DFF10">
      <w:pPr>
        <w:ind w:left="0" w:leftChars="0" w:firstLine="0" w:firstLineChars="0"/>
        <w:rPr>
          <w:rFonts w:hint="eastAsia" w:eastAsia="宋体"/>
          <w:lang w:eastAsia="zh-CN"/>
        </w:rPr>
      </w:pPr>
    </w:p>
    <w:p w14:paraId="658AF909">
      <w:pPr>
        <w:ind w:left="0" w:leftChars="0" w:firstLine="0" w:firstLineChars="0"/>
        <w:rPr>
          <w:rFonts w:hint="eastAsia" w:eastAsia="宋体"/>
          <w:lang w:eastAsia="zh-CN"/>
        </w:rPr>
      </w:pPr>
    </w:p>
    <w:p w14:paraId="4B92CFAB">
      <w:pPr>
        <w:ind w:left="0" w:leftChars="0" w:firstLine="0" w:firstLineChars="0"/>
        <w:rPr>
          <w:rFonts w:hint="eastAsia" w:eastAsia="宋体"/>
          <w:lang w:eastAsia="zh-CN"/>
        </w:rPr>
      </w:pPr>
    </w:p>
    <w:p w14:paraId="79932F7C">
      <w:pPr>
        <w:ind w:left="0" w:leftChars="0" w:firstLine="0" w:firstLineChars="0"/>
        <w:rPr>
          <w:rFonts w:hint="eastAsia" w:eastAsia="宋体"/>
          <w:lang w:eastAsia="zh-CN"/>
        </w:rPr>
      </w:pPr>
    </w:p>
    <w:p w14:paraId="1799B9CD">
      <w:pPr>
        <w:ind w:left="0" w:leftChars="0" w:firstLine="0" w:firstLineChars="0"/>
        <w:rPr>
          <w:rFonts w:hint="eastAsia" w:eastAsia="宋体"/>
          <w:lang w:eastAsia="zh-CN"/>
        </w:rPr>
      </w:pPr>
    </w:p>
    <w:p w14:paraId="53F4183D">
      <w:pPr>
        <w:ind w:left="0" w:leftChars="0" w:firstLine="0" w:firstLineChars="0"/>
        <w:rPr>
          <w:rFonts w:hint="eastAsia" w:eastAsia="宋体"/>
          <w:lang w:eastAsia="zh-CN"/>
        </w:rPr>
      </w:pPr>
    </w:p>
    <w:p w14:paraId="735FB7DB">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95104" behindDoc="0" locked="0" layoutInCell="1" allowOverlap="1">
            <wp:simplePos x="0" y="0"/>
            <wp:positionH relativeFrom="column">
              <wp:posOffset>40005</wp:posOffset>
            </wp:positionH>
            <wp:positionV relativeFrom="paragraph">
              <wp:posOffset>23495</wp:posOffset>
            </wp:positionV>
            <wp:extent cx="5482590" cy="8317230"/>
            <wp:effectExtent l="0" t="0" r="3810" b="3810"/>
            <wp:wrapSquare wrapText="bothSides"/>
            <wp:docPr id="66" name="图片 66" descr="b823f403-9eab-4a73-9a2c-147d9bddc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b823f403-9eab-4a73-9a2c-147d9bddc3d2"/>
                    <pic:cNvPicPr>
                      <a:picLocks noChangeAspect="1"/>
                    </pic:cNvPicPr>
                  </pic:nvPicPr>
                  <pic:blipFill>
                    <a:blip r:embed="rId39"/>
                    <a:stretch>
                      <a:fillRect/>
                    </a:stretch>
                  </pic:blipFill>
                  <pic:spPr>
                    <a:xfrm>
                      <a:off x="0" y="0"/>
                      <a:ext cx="5482590" cy="8317230"/>
                    </a:xfrm>
                    <a:prstGeom prst="rect">
                      <a:avLst/>
                    </a:prstGeom>
                  </pic:spPr>
                </pic:pic>
              </a:graphicData>
            </a:graphic>
          </wp:anchor>
        </w:drawing>
      </w:r>
    </w:p>
    <w:p w14:paraId="56F5CE93">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5648" behindDoc="0" locked="0" layoutInCell="1" allowOverlap="1">
            <wp:simplePos x="0" y="0"/>
            <wp:positionH relativeFrom="column">
              <wp:posOffset>304800</wp:posOffset>
            </wp:positionH>
            <wp:positionV relativeFrom="paragraph">
              <wp:posOffset>-38735</wp:posOffset>
            </wp:positionV>
            <wp:extent cx="5765800" cy="8717915"/>
            <wp:effectExtent l="0" t="0" r="10160" b="14605"/>
            <wp:wrapSquare wrapText="bothSides"/>
            <wp:docPr id="31" name="图片 31" descr="c3a037d6-7ad6-4a54-bbdc-46f07d1c5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3a037d6-7ad6-4a54-bbdc-46f07d1c52f2"/>
                    <pic:cNvPicPr>
                      <a:picLocks noChangeAspect="1"/>
                    </pic:cNvPicPr>
                  </pic:nvPicPr>
                  <pic:blipFill>
                    <a:blip r:embed="rId40"/>
                    <a:stretch>
                      <a:fillRect/>
                    </a:stretch>
                  </pic:blipFill>
                  <pic:spPr>
                    <a:xfrm>
                      <a:off x="0" y="0"/>
                      <a:ext cx="5765800" cy="8717915"/>
                    </a:xfrm>
                    <a:prstGeom prst="rect">
                      <a:avLst/>
                    </a:prstGeom>
                  </pic:spPr>
                </pic:pic>
              </a:graphicData>
            </a:graphic>
          </wp:anchor>
        </w:drawing>
      </w:r>
    </w:p>
    <w:p w14:paraId="6EE016BB">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6672" behindDoc="0" locked="0" layoutInCell="1" allowOverlap="1">
            <wp:simplePos x="0" y="0"/>
            <wp:positionH relativeFrom="column">
              <wp:posOffset>88900</wp:posOffset>
            </wp:positionH>
            <wp:positionV relativeFrom="paragraph">
              <wp:posOffset>120015</wp:posOffset>
            </wp:positionV>
            <wp:extent cx="5577205" cy="8477885"/>
            <wp:effectExtent l="0" t="0" r="635" b="10795"/>
            <wp:wrapSquare wrapText="bothSides"/>
            <wp:docPr id="33" name="图片 33" descr="4e6d931c-65ce-4002-a5a3-268feae13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4e6d931c-65ce-4002-a5a3-268feae13be0"/>
                    <pic:cNvPicPr>
                      <a:picLocks noChangeAspect="1"/>
                    </pic:cNvPicPr>
                  </pic:nvPicPr>
                  <pic:blipFill>
                    <a:blip r:embed="rId41"/>
                    <a:srcRect r="56921"/>
                    <a:stretch>
                      <a:fillRect/>
                    </a:stretch>
                  </pic:blipFill>
                  <pic:spPr>
                    <a:xfrm>
                      <a:off x="0" y="0"/>
                      <a:ext cx="5577205" cy="8477885"/>
                    </a:xfrm>
                    <a:prstGeom prst="rect">
                      <a:avLst/>
                    </a:prstGeom>
                  </pic:spPr>
                </pic:pic>
              </a:graphicData>
            </a:graphic>
          </wp:anchor>
        </w:drawing>
      </w:r>
    </w:p>
    <w:p w14:paraId="5D12276D">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7696" behindDoc="0" locked="0" layoutInCell="1" allowOverlap="1">
            <wp:simplePos x="0" y="0"/>
            <wp:positionH relativeFrom="column">
              <wp:posOffset>-38100</wp:posOffset>
            </wp:positionH>
            <wp:positionV relativeFrom="paragraph">
              <wp:posOffset>-10160</wp:posOffset>
            </wp:positionV>
            <wp:extent cx="5901055" cy="8899525"/>
            <wp:effectExtent l="0" t="0" r="12065" b="635"/>
            <wp:wrapSquare wrapText="bothSides"/>
            <wp:docPr id="34" name="图片 34" descr="4e6d931c-65ce-4002-a5a3-268feae13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4e6d931c-65ce-4002-a5a3-268feae13be0"/>
                    <pic:cNvPicPr>
                      <a:picLocks noChangeAspect="1"/>
                    </pic:cNvPicPr>
                  </pic:nvPicPr>
                  <pic:blipFill>
                    <a:blip r:embed="rId41"/>
                    <a:srcRect l="56578"/>
                    <a:stretch>
                      <a:fillRect/>
                    </a:stretch>
                  </pic:blipFill>
                  <pic:spPr>
                    <a:xfrm>
                      <a:off x="0" y="0"/>
                      <a:ext cx="5901055" cy="8899525"/>
                    </a:xfrm>
                    <a:prstGeom prst="rect">
                      <a:avLst/>
                    </a:prstGeom>
                  </pic:spPr>
                </pic:pic>
              </a:graphicData>
            </a:graphic>
          </wp:anchor>
        </w:drawing>
      </w:r>
    </w:p>
    <w:p w14:paraId="701A2501">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78720" behindDoc="0" locked="0" layoutInCell="1" allowOverlap="1">
            <wp:simplePos x="0" y="0"/>
            <wp:positionH relativeFrom="column">
              <wp:posOffset>-145415</wp:posOffset>
            </wp:positionH>
            <wp:positionV relativeFrom="paragraph">
              <wp:posOffset>38100</wp:posOffset>
            </wp:positionV>
            <wp:extent cx="5448300" cy="8114665"/>
            <wp:effectExtent l="0" t="0" r="7620" b="8255"/>
            <wp:wrapSquare wrapText="bothSides"/>
            <wp:docPr id="35" name="图片 35" descr="b35739e4-0409-4183-b9df-373eb1937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b35739e4-0409-4183-b9df-373eb1937c6e"/>
                    <pic:cNvPicPr>
                      <a:picLocks noChangeAspect="1"/>
                    </pic:cNvPicPr>
                  </pic:nvPicPr>
                  <pic:blipFill>
                    <a:blip r:embed="rId42"/>
                    <a:stretch>
                      <a:fillRect/>
                    </a:stretch>
                  </pic:blipFill>
                  <pic:spPr>
                    <a:xfrm>
                      <a:off x="0" y="0"/>
                      <a:ext cx="5448300" cy="8114665"/>
                    </a:xfrm>
                    <a:prstGeom prst="rect">
                      <a:avLst/>
                    </a:prstGeom>
                  </pic:spPr>
                </pic:pic>
              </a:graphicData>
            </a:graphic>
          </wp:anchor>
        </w:drawing>
      </w:r>
    </w:p>
    <w:p w14:paraId="1F44375C">
      <w:pPr>
        <w:ind w:left="0" w:leftChars="0" w:firstLine="0" w:firstLineChars="0"/>
        <w:rPr>
          <w:rFonts w:hint="eastAsia" w:eastAsia="宋体"/>
          <w:lang w:eastAsia="zh-CN"/>
        </w:rPr>
      </w:pPr>
    </w:p>
    <w:p w14:paraId="78076993">
      <w:pPr>
        <w:ind w:left="0" w:leftChars="0" w:firstLine="0" w:firstLineChars="0"/>
        <w:rPr>
          <w:rFonts w:hint="eastAsia" w:eastAsia="宋体"/>
          <w:lang w:eastAsia="zh-CN"/>
        </w:rPr>
      </w:pPr>
    </w:p>
    <w:p w14:paraId="1C3A7DD7">
      <w:pPr>
        <w:ind w:left="0" w:leftChars="0" w:firstLine="0" w:firstLineChars="0"/>
        <w:rPr>
          <w:rFonts w:hint="eastAsia" w:eastAsia="宋体"/>
          <w:lang w:eastAsia="zh-CN"/>
        </w:rPr>
      </w:pPr>
    </w:p>
    <w:p w14:paraId="3AB8B2EE">
      <w:pPr>
        <w:ind w:left="0" w:leftChars="0" w:firstLine="0" w:firstLineChars="0"/>
        <w:rPr>
          <w:rFonts w:hint="eastAsia" w:eastAsia="宋体"/>
          <w:lang w:eastAsia="zh-CN"/>
        </w:rPr>
      </w:pPr>
    </w:p>
    <w:p w14:paraId="2903B002">
      <w:pPr>
        <w:ind w:left="0" w:leftChars="0" w:firstLine="0" w:firstLineChars="0"/>
        <w:rPr>
          <w:rFonts w:hint="eastAsia" w:eastAsia="宋体"/>
          <w:lang w:eastAsia="zh-CN"/>
        </w:rPr>
      </w:pPr>
    </w:p>
    <w:p w14:paraId="12A11BF7">
      <w:pPr>
        <w:ind w:left="0" w:leftChars="0" w:firstLine="0" w:firstLineChars="0"/>
        <w:rPr>
          <w:rFonts w:hint="eastAsia" w:eastAsia="宋体"/>
          <w:lang w:eastAsia="zh-CN"/>
        </w:rPr>
      </w:pPr>
    </w:p>
    <w:p w14:paraId="2DDFAE29">
      <w:pPr>
        <w:ind w:left="0" w:leftChars="0" w:firstLine="0" w:firstLineChars="0"/>
        <w:rPr>
          <w:rFonts w:hint="eastAsia" w:eastAsia="宋体"/>
          <w:lang w:eastAsia="zh-CN"/>
        </w:rPr>
      </w:pPr>
    </w:p>
    <w:p w14:paraId="4E791068">
      <w:pPr>
        <w:ind w:left="0" w:leftChars="0" w:firstLine="0" w:firstLineChars="0"/>
        <w:rPr>
          <w:rFonts w:hint="eastAsia" w:eastAsia="宋体"/>
          <w:lang w:eastAsia="zh-CN"/>
        </w:rPr>
      </w:pPr>
    </w:p>
    <w:p w14:paraId="0F827649">
      <w:pPr>
        <w:ind w:left="0" w:leftChars="0" w:firstLine="0" w:firstLineChars="0"/>
        <w:rPr>
          <w:rFonts w:hint="eastAsia" w:eastAsia="宋体"/>
          <w:lang w:eastAsia="zh-CN"/>
        </w:rPr>
      </w:pPr>
    </w:p>
    <w:p w14:paraId="23335CEE">
      <w:pPr>
        <w:ind w:left="0" w:leftChars="0" w:firstLine="0" w:firstLineChars="0"/>
        <w:rPr>
          <w:rFonts w:hint="eastAsia" w:eastAsia="宋体"/>
          <w:lang w:eastAsia="zh-CN"/>
        </w:rPr>
      </w:pPr>
    </w:p>
    <w:p w14:paraId="377DFEBD">
      <w:pPr>
        <w:ind w:left="0" w:leftChars="0" w:firstLine="0" w:firstLineChars="0"/>
        <w:rPr>
          <w:rFonts w:hint="eastAsia" w:eastAsia="宋体"/>
          <w:lang w:eastAsia="zh-CN"/>
        </w:rPr>
      </w:pPr>
    </w:p>
    <w:p w14:paraId="0D7CBE6F">
      <w:pPr>
        <w:ind w:left="0" w:leftChars="0" w:firstLine="0" w:firstLineChars="0"/>
        <w:rPr>
          <w:rFonts w:hint="eastAsia" w:eastAsia="宋体"/>
          <w:lang w:eastAsia="zh-CN"/>
        </w:rPr>
      </w:pPr>
    </w:p>
    <w:p w14:paraId="77191780">
      <w:pPr>
        <w:ind w:left="0" w:leftChars="0" w:firstLine="0" w:firstLineChars="0"/>
        <w:rPr>
          <w:rFonts w:hint="eastAsia" w:eastAsia="宋体"/>
          <w:lang w:eastAsia="zh-CN"/>
        </w:rPr>
      </w:pPr>
    </w:p>
    <w:p w14:paraId="06AFEA4B">
      <w:pPr>
        <w:ind w:left="0" w:leftChars="0" w:firstLine="0" w:firstLineChars="0"/>
        <w:rPr>
          <w:rFonts w:hint="eastAsia" w:eastAsia="宋体"/>
          <w:lang w:eastAsia="zh-CN"/>
        </w:rPr>
      </w:pPr>
    </w:p>
    <w:p w14:paraId="403A9675">
      <w:pPr>
        <w:ind w:left="0" w:leftChars="0" w:firstLine="0" w:firstLineChars="0"/>
        <w:rPr>
          <w:rFonts w:hint="eastAsia" w:eastAsia="宋体"/>
          <w:lang w:eastAsia="zh-CN"/>
        </w:rPr>
      </w:pPr>
    </w:p>
    <w:p w14:paraId="5CEA676E">
      <w:pPr>
        <w:ind w:left="0" w:leftChars="0" w:firstLine="0" w:firstLineChars="0"/>
        <w:rPr>
          <w:rFonts w:hint="eastAsia" w:eastAsia="宋体"/>
          <w:lang w:eastAsia="zh-CN"/>
        </w:rPr>
      </w:pPr>
    </w:p>
    <w:p w14:paraId="31043B16">
      <w:pPr>
        <w:ind w:left="0" w:leftChars="0" w:firstLine="0" w:firstLineChars="0"/>
        <w:rPr>
          <w:rFonts w:hint="eastAsia" w:eastAsia="宋体"/>
          <w:lang w:eastAsia="zh-CN"/>
        </w:rPr>
      </w:pPr>
    </w:p>
    <w:p w14:paraId="3B369C08">
      <w:pPr>
        <w:ind w:left="0" w:leftChars="0" w:firstLine="0" w:firstLineChars="0"/>
        <w:rPr>
          <w:rFonts w:hint="eastAsia" w:eastAsia="宋体"/>
          <w:lang w:eastAsia="zh-CN"/>
        </w:rPr>
      </w:pPr>
    </w:p>
    <w:p w14:paraId="04B3FCBC">
      <w:pPr>
        <w:ind w:left="0" w:leftChars="0" w:firstLine="0" w:firstLineChars="0"/>
        <w:rPr>
          <w:rFonts w:hint="eastAsia" w:eastAsia="宋体"/>
          <w:lang w:eastAsia="zh-CN"/>
        </w:rPr>
      </w:pPr>
    </w:p>
    <w:p w14:paraId="206B0F63">
      <w:pPr>
        <w:ind w:left="0" w:leftChars="0" w:firstLine="0" w:firstLineChars="0"/>
        <w:rPr>
          <w:rFonts w:hint="eastAsia" w:eastAsia="宋体"/>
          <w:lang w:eastAsia="zh-CN"/>
        </w:rPr>
      </w:pPr>
    </w:p>
    <w:p w14:paraId="6FA18392">
      <w:pPr>
        <w:ind w:left="0" w:leftChars="0" w:firstLine="0" w:firstLineChars="0"/>
        <w:rPr>
          <w:rFonts w:hint="eastAsia" w:eastAsia="宋体"/>
          <w:lang w:eastAsia="zh-CN"/>
        </w:rPr>
      </w:pPr>
    </w:p>
    <w:p w14:paraId="42BF41E1">
      <w:pPr>
        <w:ind w:left="0" w:leftChars="0" w:firstLine="0" w:firstLineChars="0"/>
        <w:rPr>
          <w:rFonts w:hint="eastAsia" w:eastAsia="宋体"/>
          <w:lang w:eastAsia="zh-CN"/>
        </w:rPr>
      </w:pPr>
    </w:p>
    <w:p w14:paraId="435B11A4">
      <w:pPr>
        <w:ind w:left="0" w:leftChars="0" w:firstLine="0" w:firstLineChars="0"/>
        <w:rPr>
          <w:rFonts w:hint="eastAsia" w:eastAsia="宋体"/>
          <w:lang w:eastAsia="zh-CN"/>
        </w:rPr>
      </w:pPr>
    </w:p>
    <w:p w14:paraId="00442338">
      <w:pPr>
        <w:ind w:left="0" w:leftChars="0" w:firstLine="0" w:firstLineChars="0"/>
        <w:rPr>
          <w:rFonts w:hint="eastAsia" w:eastAsia="宋体"/>
          <w:lang w:eastAsia="zh-CN"/>
        </w:rPr>
      </w:pPr>
    </w:p>
    <w:p w14:paraId="6B94EAAE">
      <w:pPr>
        <w:ind w:left="0" w:leftChars="0" w:firstLine="0" w:firstLineChars="0"/>
        <w:rPr>
          <w:rFonts w:hint="eastAsia" w:eastAsia="宋体"/>
          <w:lang w:eastAsia="zh-CN"/>
        </w:rPr>
      </w:pPr>
      <w:r>
        <w:rPr>
          <w:rFonts w:hint="default"/>
          <w:lang w:val="en-US" w:eastAsia="zh-CN"/>
        </w:rPr>
        <w:drawing>
          <wp:anchor distT="0" distB="0" distL="114300" distR="114300" simplePos="0" relativeHeight="251679744" behindDoc="0" locked="0" layoutInCell="1" allowOverlap="1">
            <wp:simplePos x="0" y="0"/>
            <wp:positionH relativeFrom="column">
              <wp:posOffset>-25400</wp:posOffset>
            </wp:positionH>
            <wp:positionV relativeFrom="paragraph">
              <wp:posOffset>266065</wp:posOffset>
            </wp:positionV>
            <wp:extent cx="5852795" cy="8130540"/>
            <wp:effectExtent l="0" t="0" r="14605" b="7620"/>
            <wp:wrapSquare wrapText="bothSides"/>
            <wp:docPr id="36" name="图片 1" descr="租赁协议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租赁协议_2"/>
                    <pic:cNvPicPr>
                      <a:picLocks noChangeAspect="1"/>
                    </pic:cNvPicPr>
                  </pic:nvPicPr>
                  <pic:blipFill>
                    <a:blip r:embed="rId43"/>
                    <a:stretch>
                      <a:fillRect/>
                    </a:stretch>
                  </pic:blipFill>
                  <pic:spPr>
                    <a:xfrm>
                      <a:off x="0" y="0"/>
                      <a:ext cx="5852795" cy="8130540"/>
                    </a:xfrm>
                    <a:prstGeom prst="rect">
                      <a:avLst/>
                    </a:prstGeom>
                    <a:noFill/>
                    <a:ln>
                      <a:noFill/>
                    </a:ln>
                  </pic:spPr>
                </pic:pic>
              </a:graphicData>
            </a:graphic>
          </wp:anchor>
        </w:drawing>
      </w:r>
    </w:p>
    <w:p w14:paraId="47A6AAEA">
      <w:pPr>
        <w:ind w:left="0" w:leftChars="0" w:firstLine="0" w:firstLineChars="0"/>
        <w:rPr>
          <w:rFonts w:hint="eastAsia" w:eastAsia="宋体"/>
          <w:lang w:eastAsia="zh-CN"/>
        </w:rPr>
      </w:pPr>
      <w:r>
        <w:rPr>
          <w:rFonts w:hint="default"/>
          <w:lang w:val="en-US" w:eastAsia="zh-CN"/>
        </w:rPr>
        <w:drawing>
          <wp:anchor distT="0" distB="0" distL="114300" distR="114300" simplePos="0" relativeHeight="251680768" behindDoc="0" locked="0" layoutInCell="1" allowOverlap="1">
            <wp:simplePos x="0" y="0"/>
            <wp:positionH relativeFrom="column">
              <wp:posOffset>-101600</wp:posOffset>
            </wp:positionH>
            <wp:positionV relativeFrom="paragraph">
              <wp:posOffset>88265</wp:posOffset>
            </wp:positionV>
            <wp:extent cx="5273040" cy="8267065"/>
            <wp:effectExtent l="0" t="0" r="0" b="8255"/>
            <wp:wrapSquare wrapText="bothSides"/>
            <wp:docPr id="37" name="图片 2" descr="租赁协议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descr="租赁协议_3"/>
                    <pic:cNvPicPr>
                      <a:picLocks noChangeAspect="1"/>
                    </pic:cNvPicPr>
                  </pic:nvPicPr>
                  <pic:blipFill>
                    <a:blip r:embed="rId44"/>
                    <a:stretch>
                      <a:fillRect/>
                    </a:stretch>
                  </pic:blipFill>
                  <pic:spPr>
                    <a:xfrm>
                      <a:off x="0" y="0"/>
                      <a:ext cx="5273040" cy="8267065"/>
                    </a:xfrm>
                    <a:prstGeom prst="rect">
                      <a:avLst/>
                    </a:prstGeom>
                    <a:noFill/>
                    <a:ln>
                      <a:noFill/>
                    </a:ln>
                  </pic:spPr>
                </pic:pic>
              </a:graphicData>
            </a:graphic>
          </wp:anchor>
        </w:drawing>
      </w:r>
    </w:p>
    <w:p w14:paraId="0078EB8F">
      <w:pPr>
        <w:ind w:left="0" w:leftChars="0" w:firstLine="0" w:firstLineChars="0"/>
        <w:rPr>
          <w:rFonts w:hint="eastAsia" w:eastAsia="宋体"/>
          <w:lang w:eastAsia="zh-CN"/>
        </w:rPr>
      </w:pPr>
    </w:p>
    <w:p w14:paraId="42337D97">
      <w:pPr>
        <w:ind w:left="0" w:leftChars="0" w:firstLine="0" w:firstLineChars="0"/>
        <w:rPr>
          <w:rFonts w:hint="eastAsia" w:eastAsia="宋体"/>
          <w:lang w:eastAsia="zh-CN"/>
        </w:rPr>
      </w:pPr>
    </w:p>
    <w:p w14:paraId="6BBEC2A9">
      <w:pPr>
        <w:ind w:left="0" w:leftChars="0" w:firstLine="0" w:firstLineChars="0"/>
        <w:rPr>
          <w:rFonts w:hint="eastAsia" w:eastAsia="宋体"/>
          <w:lang w:eastAsia="zh-CN"/>
        </w:rPr>
      </w:pPr>
    </w:p>
    <w:p w14:paraId="03BD24F0">
      <w:pPr>
        <w:ind w:left="0" w:leftChars="0" w:firstLine="0" w:firstLineChars="0"/>
        <w:rPr>
          <w:rFonts w:hint="eastAsia" w:eastAsia="宋体"/>
          <w:lang w:eastAsia="zh-CN"/>
        </w:rPr>
      </w:pPr>
    </w:p>
    <w:p w14:paraId="1CE0BE6A">
      <w:pPr>
        <w:ind w:left="0" w:leftChars="0" w:firstLine="0" w:firstLineChars="0"/>
        <w:rPr>
          <w:rFonts w:hint="eastAsia" w:eastAsia="宋体"/>
          <w:lang w:eastAsia="zh-CN"/>
        </w:rPr>
      </w:pPr>
    </w:p>
    <w:p w14:paraId="5F26BF19">
      <w:pPr>
        <w:ind w:left="0" w:leftChars="0" w:firstLine="0" w:firstLineChars="0"/>
        <w:rPr>
          <w:rFonts w:hint="eastAsia" w:eastAsia="宋体"/>
          <w:lang w:eastAsia="zh-CN"/>
        </w:rPr>
      </w:pPr>
    </w:p>
    <w:p w14:paraId="7DEDF29B">
      <w:pPr>
        <w:ind w:left="0" w:leftChars="0" w:firstLine="0" w:firstLineChars="0"/>
        <w:rPr>
          <w:rFonts w:hint="eastAsia" w:eastAsia="宋体"/>
          <w:lang w:eastAsia="zh-CN"/>
        </w:rPr>
      </w:pPr>
    </w:p>
    <w:p w14:paraId="09A07733">
      <w:pPr>
        <w:ind w:left="0" w:leftChars="0" w:firstLine="0" w:firstLineChars="0"/>
        <w:rPr>
          <w:rFonts w:hint="eastAsia" w:eastAsia="宋体"/>
          <w:lang w:eastAsia="zh-CN"/>
        </w:rPr>
      </w:pPr>
    </w:p>
    <w:p w14:paraId="7720C763">
      <w:pPr>
        <w:ind w:left="0" w:leftChars="0" w:firstLine="0" w:firstLineChars="0"/>
        <w:rPr>
          <w:rFonts w:hint="eastAsia" w:eastAsia="宋体"/>
          <w:lang w:eastAsia="zh-CN"/>
        </w:rPr>
      </w:pPr>
    </w:p>
    <w:p w14:paraId="3294246A">
      <w:pPr>
        <w:ind w:left="0" w:leftChars="0" w:firstLine="0" w:firstLineChars="0"/>
        <w:rPr>
          <w:rFonts w:hint="eastAsia" w:eastAsia="宋体"/>
          <w:lang w:eastAsia="zh-CN"/>
        </w:rPr>
      </w:pPr>
    </w:p>
    <w:p w14:paraId="4034076E">
      <w:pPr>
        <w:ind w:left="0" w:leftChars="0" w:firstLine="0" w:firstLineChars="0"/>
        <w:rPr>
          <w:rFonts w:hint="eastAsia" w:eastAsia="宋体"/>
          <w:lang w:eastAsia="zh-CN"/>
        </w:rPr>
      </w:pPr>
    </w:p>
    <w:p w14:paraId="078F80FA">
      <w:pPr>
        <w:ind w:left="0" w:leftChars="0" w:firstLine="0" w:firstLineChars="0"/>
        <w:rPr>
          <w:rFonts w:hint="eastAsia" w:eastAsia="宋体"/>
          <w:lang w:eastAsia="zh-CN"/>
        </w:rPr>
      </w:pPr>
    </w:p>
    <w:p w14:paraId="47FB0F76">
      <w:pPr>
        <w:ind w:left="0" w:leftChars="0" w:firstLine="0" w:firstLineChars="0"/>
        <w:rPr>
          <w:rFonts w:hint="eastAsia" w:eastAsia="宋体"/>
          <w:lang w:eastAsia="zh-CN"/>
        </w:rPr>
      </w:pPr>
    </w:p>
    <w:p w14:paraId="2C181DCA">
      <w:pPr>
        <w:ind w:left="0" w:leftChars="0" w:firstLine="0" w:firstLineChars="0"/>
        <w:rPr>
          <w:rFonts w:hint="eastAsia" w:eastAsia="宋体"/>
          <w:lang w:eastAsia="zh-CN"/>
        </w:rPr>
      </w:pPr>
    </w:p>
    <w:p w14:paraId="0BA3C0C6">
      <w:pPr>
        <w:ind w:left="0" w:leftChars="0" w:firstLine="0" w:firstLineChars="0"/>
        <w:rPr>
          <w:rFonts w:hint="eastAsia" w:eastAsia="宋体"/>
          <w:lang w:eastAsia="zh-CN"/>
        </w:rPr>
      </w:pPr>
    </w:p>
    <w:p w14:paraId="54D7DB9C">
      <w:pPr>
        <w:ind w:left="0" w:leftChars="0" w:firstLine="0" w:firstLineChars="0"/>
        <w:rPr>
          <w:rFonts w:hint="eastAsia" w:eastAsia="宋体"/>
          <w:lang w:eastAsia="zh-CN"/>
        </w:rPr>
      </w:pPr>
    </w:p>
    <w:p w14:paraId="7BAF9C50">
      <w:pPr>
        <w:ind w:left="0" w:leftChars="0" w:firstLine="0" w:firstLineChars="0"/>
        <w:rPr>
          <w:rFonts w:hint="eastAsia" w:eastAsia="宋体"/>
          <w:lang w:eastAsia="zh-CN"/>
        </w:rPr>
      </w:pPr>
    </w:p>
    <w:p w14:paraId="624BCAB1">
      <w:pPr>
        <w:ind w:left="0" w:leftChars="0" w:firstLine="0" w:firstLineChars="0"/>
        <w:rPr>
          <w:rFonts w:hint="eastAsia" w:eastAsia="宋体"/>
          <w:lang w:eastAsia="zh-CN"/>
        </w:rPr>
      </w:pPr>
    </w:p>
    <w:p w14:paraId="4EB7D13D">
      <w:pPr>
        <w:ind w:left="0" w:leftChars="0" w:firstLine="0" w:firstLineChars="0"/>
        <w:rPr>
          <w:rFonts w:hint="eastAsia" w:eastAsia="宋体"/>
          <w:lang w:eastAsia="zh-CN"/>
        </w:rPr>
      </w:pPr>
    </w:p>
    <w:p w14:paraId="117CD5DB">
      <w:pPr>
        <w:ind w:left="0" w:leftChars="0" w:firstLine="0" w:firstLineChars="0"/>
        <w:rPr>
          <w:rFonts w:hint="eastAsia" w:eastAsia="宋体"/>
          <w:lang w:eastAsia="zh-CN"/>
        </w:rPr>
      </w:pPr>
    </w:p>
    <w:p w14:paraId="7D047A8D">
      <w:pPr>
        <w:ind w:left="0" w:leftChars="0" w:firstLine="0" w:firstLineChars="0"/>
        <w:rPr>
          <w:rFonts w:hint="eastAsia" w:eastAsia="宋体"/>
          <w:lang w:eastAsia="zh-CN"/>
        </w:rPr>
      </w:pPr>
    </w:p>
    <w:p w14:paraId="47FDD8F6">
      <w:pPr>
        <w:ind w:left="0" w:leftChars="0" w:firstLine="0" w:firstLineChars="0"/>
        <w:rPr>
          <w:rFonts w:hint="eastAsia" w:eastAsia="宋体"/>
          <w:lang w:eastAsia="zh-CN"/>
        </w:rPr>
      </w:pPr>
    </w:p>
    <w:p w14:paraId="7DF1D9C3">
      <w:pPr>
        <w:ind w:left="0" w:leftChars="0" w:firstLine="0" w:firstLineChars="0"/>
        <w:rPr>
          <w:rFonts w:hint="eastAsia" w:eastAsia="宋体"/>
          <w:lang w:eastAsia="zh-CN"/>
        </w:rPr>
      </w:pPr>
    </w:p>
    <w:p w14:paraId="116B513A">
      <w:pPr>
        <w:ind w:left="0" w:leftChars="0" w:firstLine="0" w:firstLineChars="0"/>
        <w:rPr>
          <w:rFonts w:hint="eastAsia" w:eastAsia="宋体"/>
          <w:lang w:eastAsia="zh-CN"/>
        </w:rPr>
      </w:pPr>
    </w:p>
    <w:p w14:paraId="308BD0F9">
      <w:pPr>
        <w:ind w:left="0" w:leftChars="0" w:firstLine="0" w:firstLineChars="0"/>
        <w:rPr>
          <w:rFonts w:hint="eastAsia" w:eastAsia="宋体"/>
          <w:lang w:eastAsia="zh-CN"/>
        </w:rPr>
      </w:pPr>
      <w:r>
        <w:rPr>
          <w:rFonts w:hint="default"/>
          <w:lang w:val="en-US" w:eastAsia="zh-CN"/>
        </w:rPr>
        <w:drawing>
          <wp:anchor distT="0" distB="0" distL="114300" distR="114300" simplePos="0" relativeHeight="251681792" behindDoc="0" locked="0" layoutInCell="1" allowOverlap="1">
            <wp:simplePos x="0" y="0"/>
            <wp:positionH relativeFrom="column">
              <wp:posOffset>450215</wp:posOffset>
            </wp:positionH>
            <wp:positionV relativeFrom="paragraph">
              <wp:posOffset>-4445</wp:posOffset>
            </wp:positionV>
            <wp:extent cx="4836160" cy="8470900"/>
            <wp:effectExtent l="0" t="0" r="10160" b="2540"/>
            <wp:wrapSquare wrapText="bothSides"/>
            <wp:docPr id="38" name="图片 3" descr="租赁协议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descr="租赁协议_4"/>
                    <pic:cNvPicPr>
                      <a:picLocks noChangeAspect="1"/>
                    </pic:cNvPicPr>
                  </pic:nvPicPr>
                  <pic:blipFill>
                    <a:blip r:embed="rId45"/>
                    <a:stretch>
                      <a:fillRect/>
                    </a:stretch>
                  </pic:blipFill>
                  <pic:spPr>
                    <a:xfrm>
                      <a:off x="0" y="0"/>
                      <a:ext cx="4836160" cy="8470900"/>
                    </a:xfrm>
                    <a:prstGeom prst="rect">
                      <a:avLst/>
                    </a:prstGeom>
                    <a:noFill/>
                    <a:ln>
                      <a:noFill/>
                    </a:ln>
                  </pic:spPr>
                </pic:pic>
              </a:graphicData>
            </a:graphic>
          </wp:anchor>
        </w:drawing>
      </w:r>
    </w:p>
    <w:p w14:paraId="1DCC9A90">
      <w:pPr>
        <w:ind w:left="0" w:leftChars="0" w:firstLine="0" w:firstLineChars="0"/>
        <w:rPr>
          <w:rFonts w:hint="eastAsia" w:eastAsia="宋体"/>
          <w:lang w:eastAsia="zh-CN"/>
        </w:rPr>
      </w:pPr>
    </w:p>
    <w:p w14:paraId="7B175927">
      <w:pPr>
        <w:ind w:left="0" w:leftChars="0" w:firstLine="0" w:firstLineChars="0"/>
        <w:rPr>
          <w:rFonts w:hint="eastAsia" w:eastAsia="宋体"/>
          <w:lang w:eastAsia="zh-CN"/>
        </w:rPr>
      </w:pPr>
    </w:p>
    <w:p w14:paraId="5DACD92E">
      <w:pPr>
        <w:ind w:left="0" w:leftChars="0" w:firstLine="0" w:firstLineChars="0"/>
        <w:rPr>
          <w:rFonts w:hint="eastAsia" w:eastAsia="宋体"/>
          <w:lang w:eastAsia="zh-CN"/>
        </w:rPr>
      </w:pPr>
    </w:p>
    <w:p w14:paraId="03265706">
      <w:pPr>
        <w:ind w:left="0" w:leftChars="0" w:firstLine="0" w:firstLineChars="0"/>
        <w:rPr>
          <w:rFonts w:hint="eastAsia" w:eastAsia="宋体"/>
          <w:lang w:eastAsia="zh-CN"/>
        </w:rPr>
      </w:pPr>
    </w:p>
    <w:p w14:paraId="491C6028">
      <w:pPr>
        <w:ind w:left="0" w:leftChars="0" w:firstLine="0" w:firstLineChars="0"/>
        <w:rPr>
          <w:rFonts w:hint="eastAsia" w:eastAsia="宋体"/>
          <w:lang w:eastAsia="zh-CN"/>
        </w:rPr>
      </w:pPr>
    </w:p>
    <w:p w14:paraId="5031BAFC">
      <w:pPr>
        <w:ind w:left="0" w:leftChars="0" w:firstLine="0" w:firstLineChars="0"/>
        <w:rPr>
          <w:rFonts w:hint="eastAsia" w:eastAsia="宋体"/>
          <w:lang w:eastAsia="zh-CN"/>
        </w:rPr>
      </w:pPr>
    </w:p>
    <w:p w14:paraId="1E4B3C01">
      <w:pPr>
        <w:ind w:left="0" w:leftChars="0" w:firstLine="0" w:firstLineChars="0"/>
        <w:rPr>
          <w:rFonts w:hint="eastAsia" w:eastAsia="宋体"/>
          <w:lang w:eastAsia="zh-CN"/>
        </w:rPr>
      </w:pPr>
    </w:p>
    <w:p w14:paraId="73BAF389">
      <w:pPr>
        <w:ind w:left="0" w:leftChars="0" w:firstLine="0" w:firstLineChars="0"/>
        <w:rPr>
          <w:rFonts w:hint="eastAsia" w:eastAsia="宋体"/>
          <w:lang w:eastAsia="zh-CN"/>
        </w:rPr>
      </w:pPr>
    </w:p>
    <w:p w14:paraId="46444AB2">
      <w:pPr>
        <w:ind w:left="0" w:leftChars="0" w:firstLine="0" w:firstLineChars="0"/>
        <w:rPr>
          <w:rFonts w:hint="eastAsia" w:eastAsia="宋体"/>
          <w:lang w:eastAsia="zh-CN"/>
        </w:rPr>
      </w:pPr>
    </w:p>
    <w:p w14:paraId="587681F9">
      <w:pPr>
        <w:ind w:left="0" w:leftChars="0" w:firstLine="0" w:firstLineChars="0"/>
        <w:rPr>
          <w:rFonts w:hint="eastAsia" w:eastAsia="宋体"/>
          <w:lang w:eastAsia="zh-CN"/>
        </w:rPr>
      </w:pPr>
    </w:p>
    <w:p w14:paraId="67ECF88B">
      <w:pPr>
        <w:ind w:left="0" w:leftChars="0" w:firstLine="0" w:firstLineChars="0"/>
        <w:rPr>
          <w:rFonts w:hint="eastAsia" w:eastAsia="宋体"/>
          <w:lang w:eastAsia="zh-CN"/>
        </w:rPr>
      </w:pPr>
    </w:p>
    <w:p w14:paraId="22322767">
      <w:pPr>
        <w:ind w:left="0" w:leftChars="0" w:firstLine="0" w:firstLineChars="0"/>
        <w:rPr>
          <w:rFonts w:hint="eastAsia" w:eastAsia="宋体"/>
          <w:lang w:eastAsia="zh-CN"/>
        </w:rPr>
      </w:pPr>
    </w:p>
    <w:p w14:paraId="5B427535">
      <w:pPr>
        <w:ind w:left="0" w:leftChars="0" w:firstLine="0" w:firstLineChars="0"/>
        <w:rPr>
          <w:rFonts w:hint="eastAsia" w:eastAsia="宋体"/>
          <w:lang w:eastAsia="zh-CN"/>
        </w:rPr>
      </w:pPr>
    </w:p>
    <w:p w14:paraId="68B9891F">
      <w:pPr>
        <w:ind w:left="0" w:leftChars="0" w:firstLine="0" w:firstLineChars="0"/>
        <w:rPr>
          <w:rFonts w:hint="eastAsia" w:eastAsia="宋体"/>
          <w:lang w:eastAsia="zh-CN"/>
        </w:rPr>
      </w:pPr>
    </w:p>
    <w:p w14:paraId="7D56C0BF">
      <w:pPr>
        <w:ind w:left="0" w:leftChars="0" w:firstLine="0" w:firstLineChars="0"/>
        <w:rPr>
          <w:rFonts w:hint="eastAsia" w:eastAsia="宋体"/>
          <w:lang w:eastAsia="zh-CN"/>
        </w:rPr>
      </w:pPr>
    </w:p>
    <w:p w14:paraId="78B91496">
      <w:pPr>
        <w:ind w:left="0" w:leftChars="0" w:firstLine="0" w:firstLineChars="0"/>
        <w:rPr>
          <w:rFonts w:hint="eastAsia" w:eastAsia="宋体"/>
          <w:lang w:eastAsia="zh-CN"/>
        </w:rPr>
      </w:pPr>
    </w:p>
    <w:p w14:paraId="41E7A57B">
      <w:pPr>
        <w:ind w:left="0" w:leftChars="0" w:firstLine="0" w:firstLineChars="0"/>
        <w:rPr>
          <w:rFonts w:hint="eastAsia" w:eastAsia="宋体"/>
          <w:lang w:eastAsia="zh-CN"/>
        </w:rPr>
      </w:pPr>
    </w:p>
    <w:p w14:paraId="0C2963FB">
      <w:pPr>
        <w:ind w:left="0" w:leftChars="0" w:firstLine="0" w:firstLineChars="0"/>
        <w:rPr>
          <w:rFonts w:hint="eastAsia" w:eastAsia="宋体"/>
          <w:lang w:eastAsia="zh-CN"/>
        </w:rPr>
      </w:pPr>
    </w:p>
    <w:p w14:paraId="6438EE21">
      <w:pPr>
        <w:ind w:left="0" w:leftChars="0" w:firstLine="0" w:firstLineChars="0"/>
        <w:rPr>
          <w:rFonts w:hint="eastAsia" w:eastAsia="宋体"/>
          <w:lang w:eastAsia="zh-CN"/>
        </w:rPr>
      </w:pPr>
    </w:p>
    <w:p w14:paraId="6EEDEDDA">
      <w:pPr>
        <w:ind w:left="0" w:leftChars="0" w:firstLine="0" w:firstLineChars="0"/>
        <w:rPr>
          <w:rFonts w:hint="eastAsia" w:eastAsia="宋体"/>
          <w:lang w:eastAsia="zh-CN"/>
        </w:rPr>
      </w:pPr>
    </w:p>
    <w:p w14:paraId="39668D27">
      <w:pPr>
        <w:ind w:left="0" w:leftChars="0" w:firstLine="0" w:firstLineChars="0"/>
        <w:rPr>
          <w:rFonts w:hint="eastAsia" w:eastAsia="宋体"/>
          <w:lang w:eastAsia="zh-CN"/>
        </w:rPr>
      </w:pPr>
    </w:p>
    <w:p w14:paraId="3DA9C572">
      <w:pPr>
        <w:ind w:left="0" w:leftChars="0" w:firstLine="0" w:firstLineChars="0"/>
        <w:rPr>
          <w:rFonts w:hint="eastAsia" w:eastAsia="宋体"/>
          <w:lang w:eastAsia="zh-CN"/>
        </w:rPr>
      </w:pPr>
    </w:p>
    <w:p w14:paraId="64C33DB7">
      <w:pPr>
        <w:ind w:left="0" w:leftChars="0" w:firstLine="0" w:firstLineChars="0"/>
        <w:rPr>
          <w:rFonts w:hint="eastAsia" w:eastAsia="宋体"/>
          <w:lang w:eastAsia="zh-CN"/>
        </w:rPr>
      </w:pPr>
    </w:p>
    <w:p w14:paraId="08F91270">
      <w:pPr>
        <w:ind w:left="0" w:leftChars="0" w:firstLine="0" w:firstLineChars="0"/>
        <w:rPr>
          <w:rFonts w:hint="eastAsia" w:eastAsia="宋体"/>
          <w:lang w:eastAsia="zh-CN"/>
        </w:rPr>
      </w:pPr>
    </w:p>
    <w:p w14:paraId="44B2D504">
      <w:pPr>
        <w:ind w:left="0" w:leftChars="0" w:firstLine="0" w:firstLineChars="0"/>
        <w:rPr>
          <w:rFonts w:hint="eastAsia" w:eastAsia="宋体"/>
          <w:lang w:eastAsia="zh-CN"/>
        </w:rPr>
      </w:pPr>
      <w:r>
        <w:rPr>
          <w:rFonts w:hint="default"/>
          <w:lang w:val="en-US" w:eastAsia="zh-CN"/>
        </w:rPr>
        <w:drawing>
          <wp:anchor distT="0" distB="0" distL="114300" distR="114300" simplePos="0" relativeHeight="251682816" behindDoc="0" locked="0" layoutInCell="1" allowOverlap="1">
            <wp:simplePos x="0" y="0"/>
            <wp:positionH relativeFrom="column">
              <wp:posOffset>137160</wp:posOffset>
            </wp:positionH>
            <wp:positionV relativeFrom="paragraph">
              <wp:posOffset>-22860</wp:posOffset>
            </wp:positionV>
            <wp:extent cx="5271770" cy="8767445"/>
            <wp:effectExtent l="0" t="0" r="0" b="0"/>
            <wp:wrapSquare wrapText="bothSides"/>
            <wp:docPr id="39" name="图片 4" descr="租赁协议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descr="租赁协议_5"/>
                    <pic:cNvPicPr>
                      <a:picLocks noChangeAspect="1"/>
                    </pic:cNvPicPr>
                  </pic:nvPicPr>
                  <pic:blipFill>
                    <a:blip r:embed="rId46"/>
                    <a:srcRect l="-578" t="7051" r="578" b="322"/>
                    <a:stretch>
                      <a:fillRect/>
                    </a:stretch>
                  </pic:blipFill>
                  <pic:spPr>
                    <a:xfrm>
                      <a:off x="0" y="0"/>
                      <a:ext cx="5271770" cy="8767445"/>
                    </a:xfrm>
                    <a:prstGeom prst="rect">
                      <a:avLst/>
                    </a:prstGeom>
                    <a:noFill/>
                    <a:ln>
                      <a:noFill/>
                    </a:ln>
                  </pic:spPr>
                </pic:pic>
              </a:graphicData>
            </a:graphic>
          </wp:anchor>
        </w:drawing>
      </w:r>
    </w:p>
    <w:p w14:paraId="476FEF55">
      <w:pPr>
        <w:ind w:left="0" w:leftChars="0" w:firstLine="0" w:firstLineChars="0"/>
        <w:rPr>
          <w:rFonts w:hint="eastAsia" w:eastAsia="宋体"/>
          <w:lang w:eastAsia="zh-CN"/>
        </w:rPr>
      </w:pPr>
    </w:p>
    <w:p w14:paraId="697134AC">
      <w:pPr>
        <w:ind w:left="0" w:leftChars="0" w:firstLine="0" w:firstLineChars="0"/>
        <w:rPr>
          <w:rFonts w:hint="eastAsia" w:eastAsia="宋体"/>
          <w:lang w:eastAsia="zh-CN"/>
        </w:rPr>
      </w:pPr>
    </w:p>
    <w:p w14:paraId="6193FB61">
      <w:pPr>
        <w:ind w:left="0" w:leftChars="0" w:firstLine="0" w:firstLineChars="0"/>
        <w:rPr>
          <w:rFonts w:hint="eastAsia" w:eastAsia="宋体"/>
          <w:lang w:eastAsia="zh-CN"/>
        </w:rPr>
      </w:pPr>
    </w:p>
    <w:p w14:paraId="2E789394">
      <w:pPr>
        <w:ind w:left="0" w:leftChars="0" w:firstLine="0" w:firstLineChars="0"/>
        <w:rPr>
          <w:rFonts w:hint="eastAsia" w:eastAsia="宋体"/>
          <w:lang w:eastAsia="zh-CN"/>
        </w:rPr>
      </w:pPr>
    </w:p>
    <w:p w14:paraId="15352CFC">
      <w:pPr>
        <w:ind w:left="0" w:leftChars="0" w:firstLine="0" w:firstLineChars="0"/>
        <w:rPr>
          <w:rFonts w:hint="eastAsia" w:eastAsia="宋体"/>
          <w:lang w:eastAsia="zh-CN"/>
        </w:rPr>
      </w:pPr>
    </w:p>
    <w:p w14:paraId="5B18FE63">
      <w:pPr>
        <w:ind w:left="0" w:leftChars="0" w:firstLine="0" w:firstLineChars="0"/>
        <w:rPr>
          <w:rFonts w:hint="default"/>
          <w:lang w:val="en-US" w:eastAsia="zh-CN"/>
        </w:rPr>
      </w:pPr>
    </w:p>
    <w:p w14:paraId="6C1A51EA">
      <w:pPr>
        <w:ind w:left="0" w:leftChars="0" w:firstLine="0" w:firstLineChars="0"/>
        <w:rPr>
          <w:rFonts w:hint="default"/>
          <w:lang w:val="en-US" w:eastAsia="zh-CN"/>
        </w:rPr>
      </w:pPr>
    </w:p>
    <w:p w14:paraId="43374B61">
      <w:pPr>
        <w:ind w:left="0" w:leftChars="0" w:firstLine="0" w:firstLineChars="0"/>
        <w:rPr>
          <w:rFonts w:hint="default"/>
          <w:lang w:val="en-US" w:eastAsia="zh-CN"/>
        </w:rPr>
      </w:pPr>
    </w:p>
    <w:p w14:paraId="31D78E5E">
      <w:pPr>
        <w:ind w:left="0" w:leftChars="0" w:firstLine="0" w:firstLineChars="0"/>
        <w:rPr>
          <w:rFonts w:hint="default"/>
          <w:lang w:val="en-US" w:eastAsia="zh-CN"/>
        </w:rPr>
      </w:pPr>
    </w:p>
    <w:p w14:paraId="60E69AEB">
      <w:pPr>
        <w:ind w:left="0" w:leftChars="0" w:firstLine="0" w:firstLineChars="0"/>
        <w:rPr>
          <w:rFonts w:hint="default"/>
          <w:lang w:val="en-US" w:eastAsia="zh-CN"/>
        </w:rPr>
      </w:pPr>
    </w:p>
    <w:p w14:paraId="6853B052">
      <w:pPr>
        <w:ind w:left="0" w:leftChars="0" w:firstLine="0" w:firstLineChars="0"/>
        <w:rPr>
          <w:rFonts w:hint="default"/>
          <w:lang w:val="en-US" w:eastAsia="zh-CN"/>
        </w:rPr>
      </w:pPr>
    </w:p>
    <w:p w14:paraId="3C9208AB">
      <w:pPr>
        <w:ind w:left="0" w:leftChars="0" w:firstLine="0" w:firstLineChars="0"/>
        <w:rPr>
          <w:rFonts w:hint="default"/>
          <w:lang w:val="en-US" w:eastAsia="zh-CN"/>
        </w:rPr>
      </w:pPr>
    </w:p>
    <w:p w14:paraId="6691FF6F">
      <w:pPr>
        <w:ind w:left="0" w:leftChars="0" w:firstLine="0" w:firstLineChars="0"/>
        <w:rPr>
          <w:rFonts w:hint="default"/>
          <w:lang w:val="en-US" w:eastAsia="zh-CN"/>
        </w:rPr>
      </w:pPr>
    </w:p>
    <w:p w14:paraId="7B9F9E38">
      <w:pPr>
        <w:ind w:left="0" w:leftChars="0" w:firstLine="0" w:firstLineChars="0"/>
        <w:rPr>
          <w:rFonts w:hint="default"/>
          <w:lang w:val="en-US" w:eastAsia="zh-CN"/>
        </w:rPr>
      </w:pPr>
    </w:p>
    <w:p w14:paraId="0A29301F">
      <w:pPr>
        <w:ind w:left="0" w:leftChars="0" w:firstLine="0" w:firstLineChars="0"/>
        <w:rPr>
          <w:rFonts w:hint="default"/>
          <w:lang w:val="en-US" w:eastAsia="zh-CN"/>
        </w:rPr>
      </w:pPr>
    </w:p>
    <w:p w14:paraId="336F5E71">
      <w:pPr>
        <w:ind w:left="0" w:leftChars="0" w:firstLine="0" w:firstLineChars="0"/>
        <w:rPr>
          <w:rFonts w:hint="default"/>
          <w:lang w:val="en-US" w:eastAsia="zh-CN"/>
        </w:rPr>
      </w:pPr>
    </w:p>
    <w:p w14:paraId="04A91634">
      <w:pPr>
        <w:ind w:left="0" w:leftChars="0" w:firstLine="0" w:firstLineChars="0"/>
        <w:rPr>
          <w:rFonts w:hint="default"/>
          <w:lang w:val="en-US" w:eastAsia="zh-CN"/>
        </w:rPr>
      </w:pPr>
    </w:p>
    <w:p w14:paraId="793E1067">
      <w:pPr>
        <w:ind w:left="0" w:leftChars="0" w:firstLine="0" w:firstLineChars="0"/>
        <w:rPr>
          <w:rFonts w:hint="default"/>
          <w:lang w:val="en-US" w:eastAsia="zh-CN"/>
        </w:rPr>
      </w:pPr>
    </w:p>
    <w:p w14:paraId="66298E19">
      <w:pPr>
        <w:ind w:left="0" w:leftChars="0" w:firstLine="0" w:firstLineChars="0"/>
        <w:rPr>
          <w:rFonts w:hint="default"/>
          <w:lang w:val="en-US" w:eastAsia="zh-CN"/>
        </w:rPr>
      </w:pPr>
    </w:p>
    <w:p w14:paraId="7BB3B48F">
      <w:pPr>
        <w:ind w:left="0" w:leftChars="0" w:firstLine="0" w:firstLineChars="0"/>
        <w:rPr>
          <w:rFonts w:hint="default"/>
          <w:lang w:val="en-US" w:eastAsia="zh-CN"/>
        </w:rPr>
      </w:pPr>
    </w:p>
    <w:p w14:paraId="00057635">
      <w:pPr>
        <w:ind w:left="0" w:leftChars="0" w:firstLine="0" w:firstLineChars="0"/>
        <w:rPr>
          <w:rFonts w:hint="default"/>
          <w:lang w:val="en-US" w:eastAsia="zh-CN"/>
        </w:rPr>
      </w:pPr>
    </w:p>
    <w:p w14:paraId="5365E709">
      <w:pPr>
        <w:ind w:left="0" w:leftChars="0" w:firstLine="0" w:firstLineChars="0"/>
        <w:rPr>
          <w:rFonts w:hint="default"/>
          <w:lang w:val="en-US" w:eastAsia="zh-CN"/>
        </w:rPr>
      </w:pPr>
    </w:p>
    <w:p w14:paraId="082FF05B">
      <w:pPr>
        <w:ind w:left="0" w:leftChars="0" w:firstLine="0" w:firstLineChars="0"/>
        <w:rPr>
          <w:rFonts w:hint="default"/>
          <w:lang w:val="en-US" w:eastAsia="zh-CN"/>
        </w:rPr>
      </w:pPr>
    </w:p>
    <w:p w14:paraId="4FAD0493">
      <w:pPr>
        <w:ind w:left="0" w:leftChars="0" w:firstLine="0" w:firstLineChars="0"/>
        <w:rPr>
          <w:rFonts w:hint="default"/>
          <w:lang w:val="en-US" w:eastAsia="zh-CN"/>
        </w:rPr>
      </w:pPr>
    </w:p>
    <w:p w14:paraId="24D8AD95">
      <w:pPr>
        <w:ind w:left="0" w:leftChars="0" w:firstLine="0" w:firstLineChars="0"/>
        <w:rPr>
          <w:rFonts w:hint="default"/>
          <w:lang w:val="en-US" w:eastAsia="zh-CN"/>
        </w:rPr>
      </w:pPr>
      <w:r>
        <w:rPr>
          <w:rFonts w:hint="default"/>
          <w:lang w:val="en-US" w:eastAsia="zh-CN"/>
        </w:rPr>
        <w:drawing>
          <wp:anchor distT="0" distB="0" distL="114300" distR="114300" simplePos="0" relativeHeight="251683840" behindDoc="0" locked="0" layoutInCell="1" allowOverlap="1">
            <wp:simplePos x="0" y="0"/>
            <wp:positionH relativeFrom="column">
              <wp:posOffset>274320</wp:posOffset>
            </wp:positionH>
            <wp:positionV relativeFrom="paragraph">
              <wp:posOffset>1905</wp:posOffset>
            </wp:positionV>
            <wp:extent cx="5243195" cy="8402955"/>
            <wp:effectExtent l="0" t="0" r="0" b="0"/>
            <wp:wrapSquare wrapText="bothSides"/>
            <wp:docPr id="40" name="图片 5" descr="租赁协议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descr="租赁协议_6"/>
                    <pic:cNvPicPr>
                      <a:picLocks noChangeAspect="1"/>
                    </pic:cNvPicPr>
                  </pic:nvPicPr>
                  <pic:blipFill>
                    <a:blip r:embed="rId47"/>
                    <a:srcRect b="6395"/>
                    <a:stretch>
                      <a:fillRect/>
                    </a:stretch>
                  </pic:blipFill>
                  <pic:spPr>
                    <a:xfrm>
                      <a:off x="0" y="0"/>
                      <a:ext cx="5243195" cy="8402955"/>
                    </a:xfrm>
                    <a:prstGeom prst="rect">
                      <a:avLst/>
                    </a:prstGeom>
                    <a:noFill/>
                    <a:ln>
                      <a:noFill/>
                    </a:ln>
                  </pic:spPr>
                </pic:pic>
              </a:graphicData>
            </a:graphic>
          </wp:anchor>
        </w:drawing>
      </w:r>
    </w:p>
    <w:p w14:paraId="32109E17">
      <w:pPr>
        <w:ind w:left="0" w:leftChars="0" w:firstLine="0" w:firstLineChars="0"/>
        <w:rPr>
          <w:rFonts w:hint="default"/>
          <w:b/>
          <w:bCs/>
          <w:lang w:val="en-US" w:eastAsia="zh-CN"/>
        </w:rPr>
      </w:pPr>
      <w:r>
        <w:rPr>
          <w:rFonts w:hint="default"/>
          <w:lang w:val="en-US" w:eastAsia="zh-CN"/>
        </w:rPr>
        <w:drawing>
          <wp:anchor distT="0" distB="0" distL="114300" distR="114300" simplePos="0" relativeHeight="251684864" behindDoc="0" locked="0" layoutInCell="1" allowOverlap="1">
            <wp:simplePos x="0" y="0"/>
            <wp:positionH relativeFrom="column">
              <wp:posOffset>19050</wp:posOffset>
            </wp:positionH>
            <wp:positionV relativeFrom="paragraph">
              <wp:posOffset>81915</wp:posOffset>
            </wp:positionV>
            <wp:extent cx="5306695" cy="7965440"/>
            <wp:effectExtent l="0" t="0" r="12065" b="5080"/>
            <wp:wrapSquare wrapText="bothSides"/>
            <wp:docPr id="44" name="图片 44" descr="52517c3b-9fd3-4a80-8327-03115822e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52517c3b-9fd3-4a80-8327-03115822e527"/>
                    <pic:cNvPicPr>
                      <a:picLocks noChangeAspect="1"/>
                    </pic:cNvPicPr>
                  </pic:nvPicPr>
                  <pic:blipFill>
                    <a:blip r:embed="rId48"/>
                    <a:srcRect r="58126"/>
                    <a:stretch>
                      <a:fillRect/>
                    </a:stretch>
                  </pic:blipFill>
                  <pic:spPr>
                    <a:xfrm>
                      <a:off x="0" y="0"/>
                      <a:ext cx="5306695" cy="7965440"/>
                    </a:xfrm>
                    <a:prstGeom prst="rect">
                      <a:avLst/>
                    </a:prstGeom>
                  </pic:spPr>
                </pic:pic>
              </a:graphicData>
            </a:graphic>
          </wp:anchor>
        </w:drawing>
      </w:r>
    </w:p>
    <w:p w14:paraId="5D313270">
      <w:pPr>
        <w:ind w:left="0" w:leftChars="0" w:firstLine="0" w:firstLineChars="0"/>
        <w:rPr>
          <w:rFonts w:hint="default"/>
          <w:lang w:val="en-US" w:eastAsia="zh-CN"/>
        </w:rPr>
      </w:pPr>
    </w:p>
    <w:p w14:paraId="6E9EB4B2">
      <w:pPr>
        <w:ind w:left="0" w:leftChars="0" w:firstLine="0" w:firstLineChars="0"/>
        <w:rPr>
          <w:rFonts w:hint="default"/>
          <w:lang w:val="en-US" w:eastAsia="zh-CN"/>
        </w:rPr>
      </w:pPr>
    </w:p>
    <w:p w14:paraId="149ED97C">
      <w:pPr>
        <w:ind w:left="0" w:leftChars="0" w:firstLine="0" w:firstLineChars="0"/>
        <w:rPr>
          <w:rFonts w:hint="default"/>
          <w:lang w:val="en-US" w:eastAsia="zh-CN"/>
        </w:rPr>
      </w:pPr>
    </w:p>
    <w:p w14:paraId="04369613">
      <w:pPr>
        <w:ind w:left="0" w:leftChars="0" w:firstLine="0" w:firstLineChars="0"/>
        <w:rPr>
          <w:rFonts w:hint="default"/>
          <w:lang w:val="en-US" w:eastAsia="zh-CN"/>
        </w:rPr>
      </w:pPr>
    </w:p>
    <w:p w14:paraId="1044F844">
      <w:pPr>
        <w:ind w:left="0" w:leftChars="0" w:firstLine="0" w:firstLineChars="0"/>
        <w:rPr>
          <w:rFonts w:hint="default"/>
          <w:lang w:val="en-US" w:eastAsia="zh-CN"/>
        </w:rPr>
      </w:pPr>
    </w:p>
    <w:p w14:paraId="22AC7060">
      <w:pPr>
        <w:ind w:left="0" w:leftChars="0" w:firstLine="0" w:firstLineChars="0"/>
        <w:rPr>
          <w:rFonts w:hint="default"/>
          <w:lang w:val="en-US" w:eastAsia="zh-CN"/>
        </w:rPr>
      </w:pPr>
    </w:p>
    <w:p w14:paraId="0611DB1D">
      <w:pPr>
        <w:ind w:left="0" w:leftChars="0" w:firstLine="0" w:firstLineChars="0"/>
        <w:rPr>
          <w:rFonts w:hint="eastAsia" w:eastAsia="宋体"/>
          <w:lang w:eastAsia="zh-CN"/>
        </w:rPr>
      </w:pPr>
    </w:p>
    <w:p w14:paraId="1C8806B3">
      <w:pPr>
        <w:ind w:left="0" w:leftChars="0" w:firstLine="0" w:firstLineChars="0"/>
        <w:rPr>
          <w:rFonts w:hint="eastAsia" w:eastAsia="宋体"/>
          <w:lang w:eastAsia="zh-CN"/>
        </w:rPr>
      </w:pPr>
    </w:p>
    <w:p w14:paraId="7D48AFCC">
      <w:pPr>
        <w:ind w:left="0" w:leftChars="0" w:firstLine="0" w:firstLineChars="0"/>
        <w:rPr>
          <w:rFonts w:hint="eastAsia" w:eastAsia="宋体"/>
          <w:lang w:eastAsia="zh-CN"/>
        </w:rPr>
      </w:pPr>
    </w:p>
    <w:p w14:paraId="1C891336">
      <w:pPr>
        <w:ind w:left="0" w:leftChars="0" w:firstLine="0" w:firstLineChars="0"/>
        <w:rPr>
          <w:rFonts w:hint="eastAsia" w:eastAsia="宋体"/>
          <w:lang w:eastAsia="zh-CN"/>
        </w:rPr>
      </w:pPr>
    </w:p>
    <w:p w14:paraId="4F5547F1">
      <w:pPr>
        <w:ind w:left="0" w:leftChars="0" w:firstLine="0" w:firstLineChars="0"/>
        <w:rPr>
          <w:rFonts w:hint="eastAsia" w:eastAsia="宋体"/>
          <w:lang w:eastAsia="zh-CN"/>
        </w:rPr>
      </w:pPr>
    </w:p>
    <w:p w14:paraId="49858FB1">
      <w:pPr>
        <w:ind w:left="0" w:leftChars="0" w:firstLine="0" w:firstLineChars="0"/>
        <w:rPr>
          <w:rFonts w:hint="eastAsia" w:eastAsia="宋体"/>
          <w:lang w:eastAsia="zh-CN"/>
        </w:rPr>
      </w:pPr>
    </w:p>
    <w:p w14:paraId="1BCE8EDD">
      <w:pPr>
        <w:ind w:left="0" w:leftChars="0" w:firstLine="0" w:firstLineChars="0"/>
        <w:rPr>
          <w:rFonts w:hint="eastAsia" w:eastAsia="宋体"/>
          <w:lang w:eastAsia="zh-CN"/>
        </w:rPr>
      </w:pPr>
    </w:p>
    <w:p w14:paraId="4A40B3B2">
      <w:pPr>
        <w:ind w:left="0" w:leftChars="0" w:firstLine="0" w:firstLineChars="0"/>
        <w:rPr>
          <w:rFonts w:hint="eastAsia" w:eastAsia="宋体"/>
          <w:lang w:eastAsia="zh-CN"/>
        </w:rPr>
      </w:pPr>
    </w:p>
    <w:p w14:paraId="62335076">
      <w:pPr>
        <w:ind w:left="0" w:leftChars="0" w:firstLine="0" w:firstLineChars="0"/>
        <w:rPr>
          <w:rFonts w:hint="eastAsia" w:eastAsia="宋体"/>
          <w:lang w:eastAsia="zh-CN"/>
        </w:rPr>
      </w:pPr>
    </w:p>
    <w:p w14:paraId="632432F2">
      <w:pPr>
        <w:ind w:left="0" w:leftChars="0" w:firstLine="0" w:firstLineChars="0"/>
        <w:rPr>
          <w:rFonts w:hint="eastAsia" w:eastAsia="宋体"/>
          <w:lang w:eastAsia="zh-CN"/>
        </w:rPr>
      </w:pPr>
    </w:p>
    <w:p w14:paraId="3903D7C8">
      <w:pPr>
        <w:ind w:left="0" w:leftChars="0" w:firstLine="0" w:firstLineChars="0"/>
        <w:rPr>
          <w:rFonts w:hint="eastAsia" w:eastAsia="宋体"/>
          <w:lang w:eastAsia="zh-CN"/>
        </w:rPr>
      </w:pPr>
    </w:p>
    <w:p w14:paraId="650658F0">
      <w:pPr>
        <w:ind w:left="0" w:leftChars="0" w:firstLine="0" w:firstLineChars="0"/>
        <w:rPr>
          <w:rFonts w:hint="eastAsia" w:eastAsia="宋体"/>
          <w:lang w:eastAsia="zh-CN"/>
        </w:rPr>
      </w:pPr>
    </w:p>
    <w:p w14:paraId="3C3535D4">
      <w:pPr>
        <w:ind w:left="0" w:leftChars="0" w:firstLine="0" w:firstLineChars="0"/>
        <w:rPr>
          <w:rFonts w:hint="eastAsia" w:eastAsia="宋体"/>
          <w:lang w:eastAsia="zh-CN"/>
        </w:rPr>
      </w:pPr>
    </w:p>
    <w:p w14:paraId="43A8D8C4">
      <w:pPr>
        <w:ind w:left="0" w:leftChars="0" w:firstLine="0" w:firstLineChars="0"/>
        <w:rPr>
          <w:rFonts w:hint="eastAsia" w:eastAsia="宋体"/>
          <w:lang w:eastAsia="zh-CN"/>
        </w:rPr>
      </w:pPr>
    </w:p>
    <w:p w14:paraId="6211A29A">
      <w:pPr>
        <w:ind w:left="0" w:leftChars="0" w:firstLine="0" w:firstLineChars="0"/>
        <w:rPr>
          <w:rFonts w:hint="eastAsia" w:eastAsia="宋体"/>
          <w:lang w:eastAsia="zh-CN"/>
        </w:rPr>
      </w:pPr>
    </w:p>
    <w:p w14:paraId="1AD0C402">
      <w:pPr>
        <w:ind w:left="0" w:leftChars="0" w:firstLine="0" w:firstLineChars="0"/>
        <w:rPr>
          <w:rFonts w:hint="eastAsia" w:eastAsia="宋体"/>
          <w:lang w:eastAsia="zh-CN"/>
        </w:rPr>
      </w:pPr>
    </w:p>
    <w:p w14:paraId="221D0AD0">
      <w:pPr>
        <w:ind w:left="0" w:leftChars="0" w:firstLine="0" w:firstLineChars="0"/>
        <w:rPr>
          <w:rFonts w:hint="eastAsia" w:eastAsia="宋体"/>
          <w:lang w:eastAsia="zh-CN"/>
        </w:rPr>
      </w:pPr>
    </w:p>
    <w:p w14:paraId="00FFE790">
      <w:pPr>
        <w:ind w:left="0" w:leftChars="0" w:firstLine="0" w:firstLineChars="0"/>
        <w:rPr>
          <w:rFonts w:hint="eastAsia" w:eastAsia="宋体"/>
          <w:lang w:eastAsia="zh-CN"/>
        </w:rPr>
      </w:pPr>
    </w:p>
    <w:p w14:paraId="481CCC2A">
      <w:pPr>
        <w:ind w:left="0" w:leftChars="0" w:firstLine="0" w:firstLineChars="0"/>
        <w:rPr>
          <w:rFonts w:hint="eastAsia" w:eastAsia="宋体"/>
          <w:lang w:eastAsia="zh-CN"/>
        </w:rPr>
      </w:pPr>
      <w:r>
        <w:rPr>
          <w:rFonts w:hint="default"/>
          <w:lang w:val="en-US" w:eastAsia="zh-CN"/>
        </w:rPr>
        <w:drawing>
          <wp:anchor distT="0" distB="0" distL="114300" distR="114300" simplePos="0" relativeHeight="251685888" behindDoc="0" locked="0" layoutInCell="1" allowOverlap="1">
            <wp:simplePos x="0" y="0"/>
            <wp:positionH relativeFrom="column">
              <wp:posOffset>166370</wp:posOffset>
            </wp:positionH>
            <wp:positionV relativeFrom="paragraph">
              <wp:posOffset>177165</wp:posOffset>
            </wp:positionV>
            <wp:extent cx="5592445" cy="7734935"/>
            <wp:effectExtent l="0" t="0" r="635" b="6985"/>
            <wp:wrapSquare wrapText="bothSides"/>
            <wp:docPr id="43" name="图片 43" descr="52517c3b-9fd3-4a80-8327-03115822e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52517c3b-9fd3-4a80-8327-03115822e527"/>
                    <pic:cNvPicPr>
                      <a:picLocks noChangeAspect="1"/>
                    </pic:cNvPicPr>
                  </pic:nvPicPr>
                  <pic:blipFill>
                    <a:blip r:embed="rId48"/>
                    <a:srcRect l="54552"/>
                    <a:stretch>
                      <a:fillRect/>
                    </a:stretch>
                  </pic:blipFill>
                  <pic:spPr>
                    <a:xfrm>
                      <a:off x="0" y="0"/>
                      <a:ext cx="5592445" cy="7734935"/>
                    </a:xfrm>
                    <a:prstGeom prst="rect">
                      <a:avLst/>
                    </a:prstGeom>
                  </pic:spPr>
                </pic:pic>
              </a:graphicData>
            </a:graphic>
          </wp:anchor>
        </w:drawing>
      </w:r>
    </w:p>
    <w:p w14:paraId="4819E31A">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86912" behindDoc="0" locked="0" layoutInCell="1" allowOverlap="1">
            <wp:simplePos x="0" y="0"/>
            <wp:positionH relativeFrom="column">
              <wp:posOffset>-152400</wp:posOffset>
            </wp:positionH>
            <wp:positionV relativeFrom="paragraph">
              <wp:posOffset>37465</wp:posOffset>
            </wp:positionV>
            <wp:extent cx="5826760" cy="8180705"/>
            <wp:effectExtent l="0" t="0" r="10160" b="3175"/>
            <wp:wrapSquare wrapText="bothSides"/>
            <wp:docPr id="45" name="图片 45" descr="e3a7d99d-5870-4c44-b881-38ec79a08d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3a7d99d-5870-4c44-b881-38ec79a08dbc"/>
                    <pic:cNvPicPr>
                      <a:picLocks noChangeAspect="1"/>
                    </pic:cNvPicPr>
                  </pic:nvPicPr>
                  <pic:blipFill>
                    <a:blip r:embed="rId49"/>
                    <a:srcRect r="54584"/>
                    <a:stretch>
                      <a:fillRect/>
                    </a:stretch>
                  </pic:blipFill>
                  <pic:spPr>
                    <a:xfrm>
                      <a:off x="0" y="0"/>
                      <a:ext cx="5826760" cy="8180705"/>
                    </a:xfrm>
                    <a:prstGeom prst="rect">
                      <a:avLst/>
                    </a:prstGeom>
                  </pic:spPr>
                </pic:pic>
              </a:graphicData>
            </a:graphic>
          </wp:anchor>
        </w:drawing>
      </w:r>
    </w:p>
    <w:p w14:paraId="318E94D2">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87936" behindDoc="0" locked="0" layoutInCell="1" allowOverlap="1">
            <wp:simplePos x="0" y="0"/>
            <wp:positionH relativeFrom="column">
              <wp:posOffset>217805</wp:posOffset>
            </wp:positionH>
            <wp:positionV relativeFrom="paragraph">
              <wp:posOffset>56515</wp:posOffset>
            </wp:positionV>
            <wp:extent cx="5487670" cy="8330565"/>
            <wp:effectExtent l="0" t="0" r="13970" b="5715"/>
            <wp:wrapSquare wrapText="bothSides"/>
            <wp:docPr id="46" name="图片 46" descr="e3a7d99d-5870-4c44-b881-38ec79a08d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3a7d99d-5870-4c44-b881-38ec79a08dbc"/>
                    <pic:cNvPicPr>
                      <a:picLocks noChangeAspect="1"/>
                    </pic:cNvPicPr>
                  </pic:nvPicPr>
                  <pic:blipFill>
                    <a:blip r:embed="rId49"/>
                    <a:srcRect l="57992"/>
                    <a:stretch>
                      <a:fillRect/>
                    </a:stretch>
                  </pic:blipFill>
                  <pic:spPr>
                    <a:xfrm>
                      <a:off x="0" y="0"/>
                      <a:ext cx="5487670" cy="8330565"/>
                    </a:xfrm>
                    <a:prstGeom prst="rect">
                      <a:avLst/>
                    </a:prstGeom>
                  </pic:spPr>
                </pic:pic>
              </a:graphicData>
            </a:graphic>
          </wp:anchor>
        </w:drawing>
      </w:r>
    </w:p>
    <w:p w14:paraId="28044ACA">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88960" behindDoc="0" locked="0" layoutInCell="1" allowOverlap="1">
            <wp:simplePos x="0" y="0"/>
            <wp:positionH relativeFrom="column">
              <wp:posOffset>-12700</wp:posOffset>
            </wp:positionH>
            <wp:positionV relativeFrom="paragraph">
              <wp:posOffset>177165</wp:posOffset>
            </wp:positionV>
            <wp:extent cx="5703570" cy="7160895"/>
            <wp:effectExtent l="0" t="0" r="11430" b="1905"/>
            <wp:wrapSquare wrapText="bothSides"/>
            <wp:docPr id="47" name="图片 47" descr="1ddf7e73-3ce0-43d7-a2a5-72ecd6378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ddf7e73-3ce0-43d7-a2a5-72ecd6378a71"/>
                    <pic:cNvPicPr>
                      <a:picLocks noChangeAspect="1"/>
                    </pic:cNvPicPr>
                  </pic:nvPicPr>
                  <pic:blipFill>
                    <a:blip r:embed="rId50"/>
                    <a:srcRect r="52243"/>
                    <a:stretch>
                      <a:fillRect/>
                    </a:stretch>
                  </pic:blipFill>
                  <pic:spPr>
                    <a:xfrm>
                      <a:off x="0" y="0"/>
                      <a:ext cx="5703570" cy="7160895"/>
                    </a:xfrm>
                    <a:prstGeom prst="rect">
                      <a:avLst/>
                    </a:prstGeom>
                  </pic:spPr>
                </pic:pic>
              </a:graphicData>
            </a:graphic>
          </wp:anchor>
        </w:drawing>
      </w:r>
    </w:p>
    <w:p w14:paraId="6C0D6D57">
      <w:pPr>
        <w:ind w:left="0" w:leftChars="0" w:firstLine="0" w:firstLineChars="0"/>
        <w:rPr>
          <w:rFonts w:hint="eastAsia" w:eastAsia="宋体"/>
          <w:lang w:eastAsia="zh-CN"/>
        </w:rPr>
      </w:pPr>
    </w:p>
    <w:p w14:paraId="714D2C7A">
      <w:pPr>
        <w:ind w:left="0" w:leftChars="0" w:firstLine="0" w:firstLineChars="0"/>
        <w:rPr>
          <w:rFonts w:hint="eastAsia" w:eastAsia="宋体"/>
          <w:lang w:eastAsia="zh-CN"/>
        </w:rPr>
      </w:pPr>
    </w:p>
    <w:p w14:paraId="1ED396AB">
      <w:pPr>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89984" behindDoc="0" locked="0" layoutInCell="1" allowOverlap="1">
            <wp:simplePos x="0" y="0"/>
            <wp:positionH relativeFrom="column">
              <wp:posOffset>274320</wp:posOffset>
            </wp:positionH>
            <wp:positionV relativeFrom="paragraph">
              <wp:posOffset>37465</wp:posOffset>
            </wp:positionV>
            <wp:extent cx="5247005" cy="7591425"/>
            <wp:effectExtent l="0" t="0" r="10795" b="13335"/>
            <wp:wrapSquare wrapText="bothSides"/>
            <wp:docPr id="48" name="图片 48" descr="1ddf7e73-3ce0-43d7-a2a5-72ecd6378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ddf7e73-3ce0-43d7-a2a5-72ecd6378a71"/>
                    <pic:cNvPicPr>
                      <a:picLocks noChangeAspect="1"/>
                    </pic:cNvPicPr>
                  </pic:nvPicPr>
                  <pic:blipFill>
                    <a:blip r:embed="rId50"/>
                    <a:srcRect l="58560"/>
                    <a:stretch>
                      <a:fillRect/>
                    </a:stretch>
                  </pic:blipFill>
                  <pic:spPr>
                    <a:xfrm>
                      <a:off x="0" y="0"/>
                      <a:ext cx="5247005" cy="7591425"/>
                    </a:xfrm>
                    <a:prstGeom prst="rect">
                      <a:avLst/>
                    </a:prstGeom>
                  </pic:spPr>
                </pic:pic>
              </a:graphicData>
            </a:graphic>
          </wp:anchor>
        </w:drawing>
      </w:r>
    </w:p>
    <w:p w14:paraId="22FD6915">
      <w:pPr>
        <w:ind w:left="0" w:leftChars="0" w:firstLine="0" w:firstLineChars="0"/>
        <w:rPr>
          <w:rFonts w:hint="eastAsia" w:eastAsia="宋体"/>
          <w:lang w:eastAsia="zh-CN"/>
        </w:rPr>
      </w:pPr>
    </w:p>
    <w:p w14:paraId="3CC4F2F7">
      <w:pPr>
        <w:pStyle w:val="73"/>
        <w:rPr>
          <w:rFonts w:hint="default"/>
          <w:lang w:val="en-US" w:eastAsia="zh-CN"/>
        </w:rPr>
      </w:pPr>
    </w:p>
    <w:p w14:paraId="0BD1AA3A">
      <w:pPr>
        <w:pStyle w:val="73"/>
        <w:rPr>
          <w:rFonts w:hint="default"/>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4973955</wp:posOffset>
                </wp:positionH>
                <wp:positionV relativeFrom="paragraph">
                  <wp:posOffset>-8595360</wp:posOffset>
                </wp:positionV>
                <wp:extent cx="828675" cy="47625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828675" cy="476250"/>
                        </a:xfrm>
                        <a:prstGeom prst="rect">
                          <a:avLst/>
                        </a:prstGeom>
                        <a:noFill/>
                        <a:ln>
                          <a:noFill/>
                        </a:ln>
                      </wps:spPr>
                      <wps:txbx>
                        <w:txbxContent>
                          <w:p w14:paraId="0DF5076F">
                            <w:pPr>
                              <w:ind w:left="0" w:leftChars="0" w:firstLine="0" w:firstLineChars="0"/>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lang w:val="en-US" w:eastAsia="zh-CN"/>
                              </w:rPr>
                              <w:t>附件</w:t>
                            </w:r>
                            <w:r>
                              <w:rPr>
                                <w:rFonts w:hint="eastAsia" w:ascii="Times New Roman" w:hAnsi="Times New Roman" w:cs="Times New Roman"/>
                                <w:b/>
                                <w:bCs/>
                                <w:sz w:val="28"/>
                                <w:szCs w:val="28"/>
                                <w:lang w:val="en-US" w:eastAsia="zh-CN"/>
                              </w:rPr>
                              <w:t>７</w:t>
                            </w:r>
                          </w:p>
                        </w:txbxContent>
                      </wps:txbx>
                      <wps:bodyPr upright="1"/>
                    </wps:wsp>
                  </a:graphicData>
                </a:graphic>
              </wp:anchor>
            </w:drawing>
          </mc:Choice>
          <mc:Fallback>
            <w:pict>
              <v:shape id="_x0000_s1026" o:spid="_x0000_s1026" o:spt="202" type="#_x0000_t202" style="position:absolute;left:0pt;margin-left:391.65pt;margin-top:-676.8pt;height:37.5pt;width:65.25pt;z-index:251694080;mso-width-relative:page;mso-height-relative:page;" filled="f" stroked="f" coordsize="21600,21600" o:gfxdata="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Bi&#10;LVTbAAAADwEAAA8AAAAAAAAAAQAgAAAAIgAAAGRycy9kb3ducmV2LnhtbFBLAQIUABQAAAAIAIdO&#10;4kADEriLrgEAAE8DAAAOAAAAAAAAAAEAIAAAACoBAABkcnMvZTJvRG9jLnhtbFBLBQYAAAAABgAG&#10;AFkBAABKBQAAAAA=&#10;">
                <v:fill on="f" focussize="0,0"/>
                <v:stroke on="f"/>
                <v:imagedata o:title=""/>
                <o:lock v:ext="edit" aspectratio="f"/>
                <v:textbox>
                  <w:txbxContent>
                    <w:p w14:paraId="0DF5076F">
                      <w:pPr>
                        <w:ind w:left="0" w:leftChars="0" w:firstLine="0" w:firstLineChars="0"/>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lang w:val="en-US" w:eastAsia="zh-CN"/>
                        </w:rPr>
                        <w:t>附件</w:t>
                      </w:r>
                      <w:r>
                        <w:rPr>
                          <w:rFonts w:hint="eastAsia" w:ascii="Times New Roman" w:hAnsi="Times New Roman" w:cs="Times New Roman"/>
                          <w:b/>
                          <w:bCs/>
                          <w:sz w:val="28"/>
                          <w:szCs w:val="28"/>
                          <w:lang w:val="en-US" w:eastAsia="zh-CN"/>
                        </w:rPr>
                        <w:t>７</w:t>
                      </w:r>
                    </w:p>
                  </w:txbxContent>
                </v:textbox>
              </v:shape>
            </w:pict>
          </mc:Fallback>
        </mc:AlternateContent>
      </w:r>
      <w:r>
        <w:rPr>
          <w:rFonts w:hint="default"/>
          <w:lang w:val="en-US" w:eastAsia="zh-CN"/>
        </w:rPr>
        <w:drawing>
          <wp:anchor distT="0" distB="0" distL="114300" distR="114300" simplePos="0" relativeHeight="251691008" behindDoc="0" locked="0" layoutInCell="1" allowOverlap="1">
            <wp:simplePos x="0" y="0"/>
            <wp:positionH relativeFrom="column">
              <wp:posOffset>-464185</wp:posOffset>
            </wp:positionH>
            <wp:positionV relativeFrom="paragraph">
              <wp:posOffset>151130</wp:posOffset>
            </wp:positionV>
            <wp:extent cx="6004560" cy="8258175"/>
            <wp:effectExtent l="0" t="0" r="0" b="1905"/>
            <wp:wrapSquare wrapText="bothSides"/>
            <wp:docPr id="51" name="图片 91" descr="65abdead-e02c-4aba-b5bc-d94bfb9f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1" descr="65abdead-e02c-4aba-b5bc-d94bfb9f0228"/>
                    <pic:cNvPicPr>
                      <a:picLocks noChangeAspect="1"/>
                    </pic:cNvPicPr>
                  </pic:nvPicPr>
                  <pic:blipFill>
                    <a:blip r:embed="rId51"/>
                    <a:stretch>
                      <a:fillRect/>
                    </a:stretch>
                  </pic:blipFill>
                  <pic:spPr>
                    <a:xfrm>
                      <a:off x="0" y="0"/>
                      <a:ext cx="6004560" cy="8258175"/>
                    </a:xfrm>
                    <a:prstGeom prst="rect">
                      <a:avLst/>
                    </a:prstGeom>
                    <a:noFill/>
                    <a:ln>
                      <a:noFill/>
                    </a:ln>
                  </pic:spPr>
                </pic:pic>
              </a:graphicData>
            </a:graphic>
          </wp:anchor>
        </w:drawing>
      </w:r>
    </w:p>
    <w:p w14:paraId="7F0C2ED8">
      <w:pPr>
        <w:pStyle w:val="73"/>
        <w:rPr>
          <w:rFonts w:hint="default"/>
          <w:lang w:val="en-US" w:eastAsia="zh-CN"/>
        </w:rPr>
      </w:pPr>
    </w:p>
    <w:p w14:paraId="46A4C65F">
      <w:pPr>
        <w:pStyle w:val="73"/>
        <w:rPr>
          <w:rFonts w:hint="default"/>
          <w:lang w:val="en-US" w:eastAsia="zh-CN"/>
        </w:rPr>
      </w:pPr>
      <w:r>
        <w:rPr>
          <w:rFonts w:hint="default"/>
          <w:lang w:val="en-US" w:eastAsia="zh-CN"/>
        </w:rPr>
        <w:drawing>
          <wp:anchor distT="0" distB="0" distL="114300" distR="114300" simplePos="0" relativeHeight="251692032" behindDoc="0" locked="0" layoutInCell="1" allowOverlap="1">
            <wp:simplePos x="0" y="0"/>
            <wp:positionH relativeFrom="column">
              <wp:posOffset>-492760</wp:posOffset>
            </wp:positionH>
            <wp:positionV relativeFrom="page">
              <wp:posOffset>1078230</wp:posOffset>
            </wp:positionV>
            <wp:extent cx="6155055" cy="7998460"/>
            <wp:effectExtent l="0" t="0" r="1905" b="2540"/>
            <wp:wrapSquare wrapText="bothSides"/>
            <wp:docPr id="61" name="图片 92" descr="49597813-17b8-488f-83a1-d4ca863367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2" descr="49597813-17b8-488f-83a1-d4ca863367f6"/>
                    <pic:cNvPicPr>
                      <a:picLocks noChangeAspect="1"/>
                    </pic:cNvPicPr>
                  </pic:nvPicPr>
                  <pic:blipFill>
                    <a:blip r:embed="rId52"/>
                    <a:stretch>
                      <a:fillRect/>
                    </a:stretch>
                  </pic:blipFill>
                  <pic:spPr>
                    <a:xfrm>
                      <a:off x="0" y="0"/>
                      <a:ext cx="6155055" cy="7998460"/>
                    </a:xfrm>
                    <a:prstGeom prst="rect">
                      <a:avLst/>
                    </a:prstGeom>
                    <a:noFill/>
                    <a:ln>
                      <a:noFill/>
                    </a:ln>
                  </pic:spPr>
                </pic:pic>
              </a:graphicData>
            </a:graphic>
          </wp:anchor>
        </w:drawing>
      </w:r>
    </w:p>
    <w:p w14:paraId="0EE507FE">
      <w:pPr>
        <w:pStyle w:val="73"/>
        <w:rPr>
          <w:rFonts w:hint="default"/>
          <w:lang w:val="en-US" w:eastAsia="zh-CN"/>
        </w:rPr>
      </w:pPr>
      <w:r>
        <w:rPr>
          <w:rFonts w:hint="default"/>
          <w:lang w:val="en-US" w:eastAsia="zh-CN"/>
        </w:rPr>
        <w:drawing>
          <wp:anchor distT="0" distB="0" distL="114300" distR="114300" simplePos="0" relativeHeight="251693056" behindDoc="0" locked="0" layoutInCell="1" allowOverlap="1">
            <wp:simplePos x="0" y="0"/>
            <wp:positionH relativeFrom="column">
              <wp:posOffset>-207645</wp:posOffset>
            </wp:positionH>
            <wp:positionV relativeFrom="paragraph">
              <wp:posOffset>99060</wp:posOffset>
            </wp:positionV>
            <wp:extent cx="5789930" cy="7962900"/>
            <wp:effectExtent l="0" t="0" r="1270" b="7620"/>
            <wp:wrapSquare wrapText="bothSides"/>
            <wp:docPr id="50" name="图片 93" descr="天益钙业关停情况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3" descr="天益钙业关停情况说明"/>
                    <pic:cNvPicPr>
                      <a:picLocks noChangeAspect="1"/>
                    </pic:cNvPicPr>
                  </pic:nvPicPr>
                  <pic:blipFill>
                    <a:blip r:embed="rId53"/>
                    <a:stretch>
                      <a:fillRect/>
                    </a:stretch>
                  </pic:blipFill>
                  <pic:spPr>
                    <a:xfrm>
                      <a:off x="0" y="0"/>
                      <a:ext cx="5789930" cy="7962900"/>
                    </a:xfrm>
                    <a:prstGeom prst="rect">
                      <a:avLst/>
                    </a:prstGeom>
                    <a:noFill/>
                    <a:ln>
                      <a:noFill/>
                    </a:ln>
                  </pic:spPr>
                </pic:pic>
              </a:graphicData>
            </a:graphic>
          </wp:anchor>
        </w:drawing>
      </w:r>
    </w:p>
    <w:p w14:paraId="7E9BE0BE">
      <w:pPr>
        <w:pStyle w:val="73"/>
        <w:rPr>
          <w:rFonts w:hint="default"/>
          <w:lang w:val="en-US" w:eastAsia="zh-CN"/>
        </w:rPr>
      </w:pPr>
    </w:p>
    <w:p w14:paraId="1A9B6606">
      <w:pPr>
        <w:pStyle w:val="73"/>
        <w:rPr>
          <w:rFonts w:hint="default"/>
          <w:lang w:val="en-US" w:eastAsia="zh-CN"/>
        </w:rPr>
      </w:pPr>
    </w:p>
    <w:p w14:paraId="2BDF864B">
      <w:pPr>
        <w:pStyle w:val="73"/>
        <w:rPr>
          <w:rFonts w:hint="default"/>
          <w:lang w:val="en-US" w:eastAsia="zh-CN"/>
        </w:rPr>
      </w:pPr>
    </w:p>
    <w:p w14:paraId="6C14B2E1">
      <w:pPr>
        <w:pStyle w:val="73"/>
        <w:rPr>
          <w:rFonts w:hint="default"/>
          <w:lang w:val="en-US" w:eastAsia="zh-CN"/>
        </w:rPr>
      </w:pPr>
    </w:p>
    <w:p w14:paraId="1BE73804">
      <w:pPr>
        <w:pStyle w:val="73"/>
        <w:rPr>
          <w:rFonts w:hint="default"/>
          <w:lang w:val="en-US" w:eastAsia="zh-CN"/>
        </w:rPr>
      </w:pPr>
      <w:r>
        <w:rPr>
          <w:rFonts w:hint="default"/>
          <w:lang w:val="en-US" w:eastAsia="zh-CN"/>
        </w:rPr>
        <w:drawing>
          <wp:inline distT="0" distB="0" distL="114300" distR="114300">
            <wp:extent cx="5480685" cy="398780"/>
            <wp:effectExtent l="0" t="0" r="5715" b="12700"/>
            <wp:docPr id="49" name="图片 7" descr="天益钙业关停证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天益钙业关停证明02"/>
                    <pic:cNvPicPr>
                      <a:picLocks noChangeAspect="1"/>
                    </pic:cNvPicPr>
                  </pic:nvPicPr>
                  <pic:blipFill>
                    <a:blip r:embed="rId54"/>
                    <a:stretch>
                      <a:fillRect/>
                    </a:stretch>
                  </pic:blipFill>
                  <pic:spPr>
                    <a:xfrm>
                      <a:off x="0" y="0"/>
                      <a:ext cx="5480685" cy="398780"/>
                    </a:xfrm>
                    <a:prstGeom prst="rect">
                      <a:avLst/>
                    </a:prstGeom>
                    <a:noFill/>
                    <a:ln>
                      <a:noFill/>
                    </a:ln>
                  </pic:spPr>
                </pic:pic>
              </a:graphicData>
            </a:graphic>
          </wp:inline>
        </w:drawing>
      </w:r>
    </w:p>
    <w:p w14:paraId="6F2619F4">
      <w:pPr>
        <w:pStyle w:val="73"/>
        <w:rPr>
          <w:rFonts w:hint="default"/>
          <w:lang w:val="en-US" w:eastAsia="zh-CN"/>
        </w:rPr>
      </w:pPr>
    </w:p>
    <w:p w14:paraId="1319D5E3">
      <w:pPr>
        <w:pStyle w:val="73"/>
        <w:rPr>
          <w:rFonts w:hint="default"/>
          <w:lang w:val="en-US" w:eastAsia="zh-CN"/>
        </w:rPr>
      </w:pPr>
      <w:r>
        <w:rPr>
          <w:rFonts w:hint="default"/>
          <w:lang w:val="en-US" w:eastAsia="zh-CN"/>
        </w:rPr>
        <w:drawing>
          <wp:inline distT="0" distB="0" distL="114300" distR="114300">
            <wp:extent cx="5502275" cy="2630805"/>
            <wp:effectExtent l="0" t="0" r="14605" b="5715"/>
            <wp:docPr id="63" name="图片 8" descr="天益钙业关停证明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 descr="天益钙业关停证明01"/>
                    <pic:cNvPicPr>
                      <a:picLocks noChangeAspect="1"/>
                    </pic:cNvPicPr>
                  </pic:nvPicPr>
                  <pic:blipFill>
                    <a:blip r:embed="rId55"/>
                    <a:stretch>
                      <a:fillRect/>
                    </a:stretch>
                  </pic:blipFill>
                  <pic:spPr>
                    <a:xfrm>
                      <a:off x="0" y="0"/>
                      <a:ext cx="5502275" cy="2630805"/>
                    </a:xfrm>
                    <a:prstGeom prst="rect">
                      <a:avLst/>
                    </a:prstGeom>
                    <a:noFill/>
                    <a:ln>
                      <a:noFill/>
                    </a:ln>
                  </pic:spPr>
                </pic:pic>
              </a:graphicData>
            </a:graphic>
          </wp:inline>
        </w:drawing>
      </w:r>
    </w:p>
    <w:p w14:paraId="7B3564BE">
      <w:pPr>
        <w:pStyle w:val="73"/>
        <w:rPr>
          <w:rFonts w:hint="default"/>
          <w:lang w:val="en-US" w:eastAsia="zh-CN"/>
        </w:rPr>
      </w:pPr>
    </w:p>
    <w:p w14:paraId="652D37D2">
      <w:pPr>
        <w:pStyle w:val="73"/>
        <w:rPr>
          <w:rFonts w:hint="default"/>
          <w:lang w:val="en-US" w:eastAsia="zh-CN"/>
        </w:rPr>
      </w:pPr>
    </w:p>
    <w:p w14:paraId="59F9F799">
      <w:pPr>
        <w:pStyle w:val="73"/>
        <w:rPr>
          <w:rFonts w:hint="default"/>
          <w:lang w:val="en-US" w:eastAsia="zh-CN"/>
        </w:rPr>
      </w:pPr>
    </w:p>
    <w:p w14:paraId="4933A132">
      <w:pPr>
        <w:pStyle w:val="73"/>
        <w:rPr>
          <w:rFonts w:hint="default"/>
          <w:lang w:val="en-US" w:eastAsia="zh-CN"/>
        </w:rPr>
      </w:pPr>
    </w:p>
    <w:p w14:paraId="25997F93">
      <w:pPr>
        <w:pStyle w:val="73"/>
        <w:rPr>
          <w:rFonts w:hint="default"/>
          <w:lang w:val="en-US" w:eastAsia="zh-CN"/>
        </w:rPr>
      </w:pPr>
    </w:p>
    <w:p w14:paraId="411596C8">
      <w:pPr>
        <w:pStyle w:val="73"/>
        <w:rPr>
          <w:rFonts w:hint="default"/>
          <w:lang w:val="en-US" w:eastAsia="zh-CN"/>
        </w:rPr>
      </w:pPr>
    </w:p>
    <w:p w14:paraId="712053B9">
      <w:pPr>
        <w:pStyle w:val="73"/>
        <w:rPr>
          <w:rFonts w:hint="default"/>
          <w:lang w:val="en-US" w:eastAsia="zh-CN"/>
        </w:rPr>
      </w:pPr>
    </w:p>
    <w:p w14:paraId="57E2C3EA">
      <w:pPr>
        <w:pStyle w:val="73"/>
        <w:rPr>
          <w:rFonts w:hint="default"/>
          <w:lang w:val="en-US" w:eastAsia="zh-CN"/>
        </w:rPr>
      </w:pPr>
    </w:p>
    <w:p w14:paraId="6F83120C">
      <w:pPr>
        <w:pStyle w:val="73"/>
        <w:rPr>
          <w:rFonts w:hint="default"/>
          <w:lang w:val="en-US" w:eastAsia="zh-CN"/>
        </w:rPr>
      </w:pPr>
    </w:p>
    <w:p w14:paraId="17AAE669">
      <w:pPr>
        <w:pStyle w:val="73"/>
        <w:rPr>
          <w:rFonts w:hint="default"/>
          <w:lang w:val="en-US" w:eastAsia="zh-CN"/>
        </w:rPr>
      </w:pPr>
    </w:p>
    <w:p w14:paraId="0AC31340">
      <w:pPr>
        <w:pStyle w:val="73"/>
        <w:rPr>
          <w:rFonts w:hint="default"/>
          <w:lang w:val="en-US" w:eastAsia="zh-CN"/>
        </w:rPr>
      </w:pPr>
    </w:p>
    <w:p w14:paraId="50744BEB">
      <w:pPr>
        <w:pStyle w:val="73"/>
        <w:rPr>
          <w:rFonts w:hint="default"/>
          <w:lang w:val="en-US" w:eastAsia="zh-CN"/>
        </w:rPr>
      </w:pPr>
    </w:p>
    <w:p w14:paraId="092B713F">
      <w:pPr>
        <w:pStyle w:val="73"/>
        <w:rPr>
          <w:rFonts w:hint="default"/>
          <w:lang w:val="en-US" w:eastAsia="zh-CN"/>
        </w:rPr>
      </w:pPr>
    </w:p>
    <w:p w14:paraId="2726D82F">
      <w:pPr>
        <w:pStyle w:val="73"/>
        <w:rPr>
          <w:rFonts w:hint="default"/>
          <w:lang w:val="en-US" w:eastAsia="zh-CN"/>
        </w:rPr>
      </w:pPr>
    </w:p>
    <w:p w14:paraId="2C9F6C59">
      <w:pPr>
        <w:pStyle w:val="73"/>
        <w:rPr>
          <w:rFonts w:hint="default"/>
          <w:lang w:val="en-US" w:eastAsia="zh-CN"/>
        </w:rPr>
      </w:pPr>
    </w:p>
    <w:p w14:paraId="5DE8FFBB">
      <w:pPr>
        <w:pStyle w:val="73"/>
        <w:rPr>
          <w:rFonts w:hint="default"/>
          <w:lang w:val="en-US" w:eastAsia="zh-CN"/>
        </w:rPr>
      </w:pPr>
    </w:p>
    <w:p w14:paraId="61E8A4C1">
      <w:pPr>
        <w:pStyle w:val="73"/>
        <w:rPr>
          <w:rFonts w:hint="default"/>
          <w:lang w:val="en-US" w:eastAsia="zh-CN"/>
        </w:rPr>
      </w:pPr>
    </w:p>
    <w:p w14:paraId="4A943ECD">
      <w:pPr>
        <w:pStyle w:val="73"/>
        <w:rPr>
          <w:rFonts w:hint="default"/>
          <w:lang w:val="en-US" w:eastAsia="zh-CN"/>
        </w:rPr>
      </w:pPr>
    </w:p>
    <w:p w14:paraId="508BA1D6">
      <w:pPr>
        <w:pStyle w:val="73"/>
        <w:rPr>
          <w:rFonts w:hint="default"/>
          <w:lang w:val="en-US" w:eastAsia="zh-CN"/>
        </w:rPr>
      </w:pPr>
    </w:p>
    <w:p w14:paraId="58BED8D4">
      <w:pPr>
        <w:pStyle w:val="73"/>
        <w:rPr>
          <w:rFonts w:hint="default"/>
          <w:lang w:val="en-US" w:eastAsia="zh-CN"/>
        </w:rPr>
      </w:pPr>
    </w:p>
    <w:p w14:paraId="2031D921">
      <w:pPr>
        <w:pStyle w:val="73"/>
        <w:rPr>
          <w:rFonts w:hint="default"/>
          <w:lang w:val="en-US" w:eastAsia="zh-CN"/>
        </w:rPr>
      </w:pPr>
    </w:p>
    <w:p w14:paraId="4F5B4D61">
      <w:pPr>
        <w:pStyle w:val="73"/>
        <w:rPr>
          <w:rFonts w:hint="default"/>
          <w:lang w:val="en-US" w:eastAsia="zh-CN"/>
        </w:rPr>
      </w:pPr>
    </w:p>
    <w:p w14:paraId="4CC49757">
      <w:pPr>
        <w:pStyle w:val="73"/>
        <w:rPr>
          <w:rFonts w:hint="default"/>
          <w:lang w:val="en-US" w:eastAsia="zh-CN"/>
        </w:rPr>
      </w:pPr>
    </w:p>
    <w:p w14:paraId="31DD9AE1">
      <w:pPr>
        <w:pStyle w:val="73"/>
        <w:rPr>
          <w:rFonts w:hint="default"/>
          <w:lang w:val="en-US" w:eastAsia="zh-CN"/>
        </w:rPr>
      </w:pPr>
    </w:p>
    <w:p w14:paraId="37F5A93F">
      <w:pPr>
        <w:pStyle w:val="73"/>
        <w:rPr>
          <w:rFonts w:hint="default"/>
          <w:lang w:val="en-US" w:eastAsia="zh-CN"/>
        </w:rPr>
      </w:pPr>
    </w:p>
    <w:p w14:paraId="7E45110D">
      <w:pPr>
        <w:pStyle w:val="73"/>
        <w:rPr>
          <w:rFonts w:hint="default"/>
          <w:lang w:val="en-US" w:eastAsia="zh-CN"/>
        </w:rPr>
      </w:pPr>
    </w:p>
    <w:p w14:paraId="3035DD58">
      <w:pPr>
        <w:jc w:val="center"/>
        <w:rPr>
          <w:rStyle w:val="28"/>
          <w:rFonts w:hint="default" w:ascii="Times New Roman" w:hAnsi="Times New Roman" w:eastAsia="CESI小标宋-GB2312" w:cs="Times New Roman"/>
          <w:sz w:val="44"/>
          <w:szCs w:val="44"/>
        </w:rPr>
      </w:pPr>
      <w:r>
        <w:rPr>
          <w:rStyle w:val="28"/>
          <w:rFonts w:hint="default" w:ascii="Times New Roman" w:hAnsi="Times New Roman" w:eastAsia="CESI小标宋-GB2312" w:cs="Times New Roman"/>
          <w:sz w:val="44"/>
          <w:szCs w:val="44"/>
        </w:rPr>
        <w:t>新乡市天益钙业有限公司</w:t>
      </w:r>
    </w:p>
    <w:p w14:paraId="7252ADA6">
      <w:pPr>
        <w:jc w:val="center"/>
        <w:rPr>
          <w:rStyle w:val="28"/>
          <w:rFonts w:hint="default" w:ascii="Times New Roman" w:hAnsi="Times New Roman" w:eastAsia="CESI小标宋-GB2312" w:cs="Times New Roman"/>
          <w:sz w:val="44"/>
          <w:szCs w:val="44"/>
          <w:lang w:eastAsia="zh-CN"/>
        </w:rPr>
      </w:pPr>
      <w:r>
        <w:rPr>
          <w:rStyle w:val="28"/>
          <w:rFonts w:hint="default" w:ascii="Times New Roman" w:hAnsi="Times New Roman" w:eastAsia="CESI小标宋-GB2312" w:cs="Times New Roman"/>
          <w:sz w:val="44"/>
          <w:szCs w:val="44"/>
          <w:lang w:eastAsia="zh-CN"/>
        </w:rPr>
        <w:t>关停淘汰减排情况说明</w:t>
      </w:r>
    </w:p>
    <w:p w14:paraId="5A5483F2">
      <w:pPr>
        <w:rPr>
          <w:rStyle w:val="28"/>
          <w:rFonts w:hint="default" w:ascii="Times New Roman" w:hAnsi="Times New Roman" w:cs="Times New Roman"/>
          <w:sz w:val="28"/>
          <w:lang w:eastAsia="zh-CN"/>
        </w:rPr>
      </w:pPr>
    </w:p>
    <w:p w14:paraId="55740D17">
      <w:pPr>
        <w:keepNext w:val="0"/>
        <w:keepLines w:val="0"/>
        <w:pageBreakBefore w:val="0"/>
        <w:kinsoku/>
        <w:wordWrap/>
        <w:overflowPunct/>
        <w:topLinePunct w:val="0"/>
        <w:autoSpaceDE/>
        <w:autoSpaceDN/>
        <w:bidi w:val="0"/>
        <w:adjustRightInd/>
        <w:snapToGrid/>
        <w:ind w:firstLine="640" w:firstLineChars="200"/>
        <w:textAlignment w:val="auto"/>
        <w:rPr>
          <w:rStyle w:val="28"/>
          <w:rFonts w:hint="default" w:ascii="Times New Roman" w:hAnsi="Times New Roman" w:eastAsia="仿宋_GB2312" w:cs="Times New Roman"/>
          <w:sz w:val="32"/>
          <w:szCs w:val="32"/>
          <w:lang w:val="en-US" w:eastAsia="zh-CN"/>
        </w:rPr>
      </w:pPr>
      <w:r>
        <w:rPr>
          <w:rStyle w:val="28"/>
          <w:rFonts w:hint="default" w:ascii="Times New Roman" w:hAnsi="Times New Roman" w:eastAsia="仿宋_GB2312" w:cs="Times New Roman"/>
          <w:sz w:val="32"/>
          <w:szCs w:val="32"/>
        </w:rPr>
        <w:t>新乡市天益钙业有限公司</w:t>
      </w:r>
      <w:r>
        <w:rPr>
          <w:rStyle w:val="28"/>
          <w:rFonts w:hint="default" w:ascii="Times New Roman" w:hAnsi="Times New Roman" w:eastAsia="仿宋_GB2312" w:cs="Times New Roman"/>
          <w:sz w:val="32"/>
          <w:szCs w:val="32"/>
          <w:lang w:eastAsia="zh-CN"/>
        </w:rPr>
        <w:t>位于新乡市凤泉区，属于</w:t>
      </w:r>
      <w:r>
        <w:rPr>
          <w:rStyle w:val="28"/>
          <w:rFonts w:hint="default" w:ascii="Times New Roman" w:hAnsi="Times New Roman" w:eastAsia="仿宋_GB2312" w:cs="Times New Roman"/>
          <w:sz w:val="32"/>
          <w:szCs w:val="32"/>
          <w:lang w:val="en-US" w:eastAsia="zh-CN"/>
        </w:rPr>
        <w:t>C</w:t>
      </w:r>
      <w:r>
        <w:rPr>
          <w:rStyle w:val="28"/>
          <w:rFonts w:hint="default" w:ascii="Times New Roman" w:hAnsi="Times New Roman" w:eastAsia="仿宋_GB2312" w:cs="Times New Roman"/>
          <w:sz w:val="32"/>
          <w:szCs w:val="32"/>
          <w:lang w:eastAsia="zh-CN"/>
        </w:rPr>
        <w:t>3012石灰和石膏制造行业，年产氢氧化钙</w:t>
      </w:r>
      <w:r>
        <w:rPr>
          <w:rStyle w:val="28"/>
          <w:rFonts w:hint="default" w:ascii="Times New Roman" w:hAnsi="Times New Roman" w:eastAsia="仿宋_GB2312" w:cs="Times New Roman"/>
          <w:sz w:val="32"/>
          <w:szCs w:val="32"/>
          <w:lang w:val="en-US" w:eastAsia="zh-CN"/>
        </w:rPr>
        <w:t>20万吨，企业于2026年6月日日关停并注销了排污许可。</w:t>
      </w:r>
    </w:p>
    <w:p w14:paraId="21E72934">
      <w:pPr>
        <w:keepNext w:val="0"/>
        <w:keepLines w:val="0"/>
        <w:pageBreakBefore w:val="0"/>
        <w:kinsoku/>
        <w:wordWrap/>
        <w:overflowPunct/>
        <w:topLinePunct w:val="0"/>
        <w:autoSpaceDE/>
        <w:autoSpaceDN/>
        <w:bidi w:val="0"/>
        <w:adjustRightInd/>
        <w:snapToGrid/>
        <w:textAlignment w:val="auto"/>
        <w:rPr>
          <w:rStyle w:val="28"/>
          <w:rFonts w:hint="default" w:ascii="Times New Roman" w:hAnsi="Times New Roman" w:eastAsia="仿宋_GB2312" w:cs="Times New Roman"/>
          <w:sz w:val="32"/>
          <w:szCs w:val="32"/>
          <w:lang w:val="en-US" w:eastAsia="zh-CN"/>
        </w:rPr>
      </w:pPr>
      <w:r>
        <w:rPr>
          <w:rStyle w:val="28"/>
          <w:rFonts w:hint="default" w:ascii="Times New Roman" w:hAnsi="Times New Roman" w:eastAsia="仿宋_GB2312" w:cs="Times New Roman"/>
          <w:sz w:val="32"/>
          <w:szCs w:val="32"/>
          <w:lang w:val="en-US" w:eastAsia="zh-CN"/>
        </w:rPr>
        <w:drawing>
          <wp:inline distT="0" distB="0" distL="114300" distR="114300">
            <wp:extent cx="5271770" cy="383540"/>
            <wp:effectExtent l="0" t="0" r="1270" b="12700"/>
            <wp:docPr id="60" name="图片 9" descr="天益钙业关停证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descr="天益钙业关停证明02"/>
                    <pic:cNvPicPr>
                      <a:picLocks noChangeAspect="1"/>
                    </pic:cNvPicPr>
                  </pic:nvPicPr>
                  <pic:blipFill>
                    <a:blip r:embed="rId54"/>
                    <a:stretch>
                      <a:fillRect/>
                    </a:stretch>
                  </pic:blipFill>
                  <pic:spPr>
                    <a:xfrm>
                      <a:off x="0" y="0"/>
                      <a:ext cx="5271770" cy="383540"/>
                    </a:xfrm>
                    <a:prstGeom prst="rect">
                      <a:avLst/>
                    </a:prstGeom>
                    <a:noFill/>
                    <a:ln>
                      <a:noFill/>
                    </a:ln>
                  </pic:spPr>
                </pic:pic>
              </a:graphicData>
            </a:graphic>
          </wp:inline>
        </w:drawing>
      </w:r>
    </w:p>
    <w:p w14:paraId="5D116051">
      <w:pPr>
        <w:keepNext w:val="0"/>
        <w:keepLines w:val="0"/>
        <w:pageBreakBefore w:val="0"/>
        <w:kinsoku/>
        <w:wordWrap/>
        <w:overflowPunct/>
        <w:topLinePunct w:val="0"/>
        <w:autoSpaceDE/>
        <w:autoSpaceDN/>
        <w:bidi w:val="0"/>
        <w:adjustRightInd/>
        <w:snapToGrid/>
        <w:textAlignment w:val="auto"/>
        <w:rPr>
          <w:rStyle w:val="28"/>
          <w:rFonts w:hint="default" w:ascii="Times New Roman" w:hAnsi="Times New Roman" w:eastAsia="仿宋_GB2312" w:cs="Times New Roman"/>
          <w:sz w:val="32"/>
          <w:szCs w:val="32"/>
          <w:lang w:val="en-US" w:eastAsia="zh-CN"/>
        </w:rPr>
      </w:pPr>
      <w:r>
        <w:rPr>
          <w:rStyle w:val="28"/>
          <w:rFonts w:hint="default" w:ascii="Times New Roman" w:hAnsi="Times New Roman" w:eastAsia="仿宋_GB2312" w:cs="Times New Roman"/>
          <w:sz w:val="32"/>
          <w:szCs w:val="32"/>
          <w:lang w:val="en-US" w:eastAsia="zh-CN"/>
        </w:rPr>
        <w:drawing>
          <wp:inline distT="0" distB="0" distL="114300" distR="114300">
            <wp:extent cx="5271135" cy="2520315"/>
            <wp:effectExtent l="0" t="0" r="1905" b="9525"/>
            <wp:docPr id="59" name="图片 10" descr="天益钙业关停证明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0" descr="天益钙业关停证明01"/>
                    <pic:cNvPicPr>
                      <a:picLocks noChangeAspect="1"/>
                    </pic:cNvPicPr>
                  </pic:nvPicPr>
                  <pic:blipFill>
                    <a:blip r:embed="rId55"/>
                    <a:stretch>
                      <a:fillRect/>
                    </a:stretch>
                  </pic:blipFill>
                  <pic:spPr>
                    <a:xfrm>
                      <a:off x="0" y="0"/>
                      <a:ext cx="5271135" cy="2520315"/>
                    </a:xfrm>
                    <a:prstGeom prst="rect">
                      <a:avLst/>
                    </a:prstGeom>
                    <a:noFill/>
                    <a:ln>
                      <a:noFill/>
                    </a:ln>
                  </pic:spPr>
                </pic:pic>
              </a:graphicData>
            </a:graphic>
          </wp:inline>
        </w:drawing>
      </w:r>
    </w:p>
    <w:p w14:paraId="57F0A436">
      <w:pPr>
        <w:keepNext w:val="0"/>
        <w:keepLines w:val="0"/>
        <w:pageBreakBefore w:val="0"/>
        <w:kinsoku/>
        <w:wordWrap/>
        <w:overflowPunct/>
        <w:topLinePunct w:val="0"/>
        <w:autoSpaceDE/>
        <w:autoSpaceDN/>
        <w:bidi w:val="0"/>
        <w:adjustRightInd/>
        <w:snapToGrid/>
        <w:ind w:firstLine="640" w:firstLineChars="200"/>
        <w:textAlignment w:val="auto"/>
        <w:rPr>
          <w:rStyle w:val="28"/>
          <w:rFonts w:hint="default" w:ascii="Times New Roman" w:hAnsi="Times New Roman" w:eastAsia="黑体" w:cs="Times New Roman"/>
          <w:sz w:val="32"/>
          <w:szCs w:val="32"/>
          <w:lang w:val="en-US" w:eastAsia="zh-CN"/>
        </w:rPr>
      </w:pPr>
      <w:r>
        <w:rPr>
          <w:rStyle w:val="28"/>
          <w:rFonts w:hint="default" w:ascii="Times New Roman" w:hAnsi="Times New Roman" w:eastAsia="黑体" w:cs="Times New Roman"/>
          <w:sz w:val="32"/>
          <w:szCs w:val="32"/>
          <w:lang w:val="en-US" w:eastAsia="zh-CN"/>
        </w:rPr>
        <w:t>一、产污系数</w:t>
      </w:r>
    </w:p>
    <w:p w14:paraId="753E8B6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28"/>
          <w:rFonts w:hint="default" w:ascii="Times New Roman" w:hAnsi="Times New Roman" w:eastAsia="仿宋_GB2312" w:cs="Times New Roman"/>
          <w:sz w:val="32"/>
          <w:szCs w:val="32"/>
          <w:lang w:val="en-US" w:eastAsia="zh-CN"/>
        </w:rPr>
      </w:pPr>
      <w:r>
        <w:rPr>
          <w:rStyle w:val="28"/>
          <w:rFonts w:hint="default" w:ascii="Times New Roman" w:hAnsi="Times New Roman" w:eastAsia="仿宋_GB2312" w:cs="Times New Roman"/>
          <w:sz w:val="32"/>
          <w:szCs w:val="32"/>
          <w:lang w:val="en-US" w:eastAsia="zh-CN"/>
        </w:rPr>
        <w:t>企业颗粒物产污产污环节主要为破碎、筛分工序，产污系数参照《</w:t>
      </w:r>
      <w:r>
        <w:rPr>
          <w:rFonts w:hint="default" w:ascii="Times New Roman" w:hAnsi="Times New Roman" w:eastAsia="仿宋_GB2312" w:cs="Times New Roman"/>
          <w:kern w:val="0"/>
          <w:sz w:val="32"/>
          <w:szCs w:val="32"/>
          <w:lang w:val="en-US" w:eastAsia="zh-CN" w:bidi="ar"/>
        </w:rPr>
        <w:t>3099 其他非金属矿物制品制造行业</w:t>
      </w:r>
      <w:r>
        <w:rPr>
          <w:rStyle w:val="28"/>
          <w:rFonts w:hint="default" w:ascii="Times New Roman" w:hAnsi="Times New Roman" w:eastAsia="仿宋_GB2312" w:cs="Times New Roman"/>
          <w:sz w:val="32"/>
          <w:szCs w:val="32"/>
          <w:lang w:val="en-US" w:eastAsia="zh-CN"/>
        </w:rPr>
        <w:t>》系数手册，破碎工序取1.13千克/吨产品、筛分工序取1.13千克/吨产品，使用袋式除尘器，治理效率取99%。</w:t>
      </w:r>
    </w:p>
    <w:p w14:paraId="1350CABF">
      <w:pPr>
        <w:keepNext w:val="0"/>
        <w:keepLines w:val="0"/>
        <w:pageBreakBefore w:val="0"/>
        <w:widowControl/>
        <w:suppressLineNumbers w:val="0"/>
        <w:kinsoku/>
        <w:wordWrap/>
        <w:overflowPunct/>
        <w:topLinePunct w:val="0"/>
        <w:autoSpaceDE/>
        <w:autoSpaceDN/>
        <w:bidi w:val="0"/>
        <w:adjustRightInd/>
        <w:snapToGrid/>
        <w:jc w:val="left"/>
        <w:textAlignment w:val="auto"/>
        <w:rPr>
          <w:rStyle w:val="28"/>
          <w:rFonts w:hint="default" w:ascii="Times New Roman" w:hAnsi="Times New Roman" w:eastAsia="仿宋_GB2312" w:cs="Times New Roman"/>
          <w:sz w:val="32"/>
          <w:szCs w:val="32"/>
          <w:lang w:val="en-US" w:eastAsia="zh-CN"/>
        </w:rPr>
      </w:pPr>
      <w:r>
        <w:rPr>
          <w:rFonts w:hint="default" w:ascii="Times New Roman" w:hAnsi="Times New Roman" w:cs="Times New Roman"/>
        </w:rPr>
        <w:drawing>
          <wp:inline distT="0" distB="0" distL="114300" distR="114300">
            <wp:extent cx="5269865" cy="3435985"/>
            <wp:effectExtent l="0" t="0" r="3175" b="8255"/>
            <wp:docPr id="5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1"/>
                    <pic:cNvPicPr>
                      <a:picLocks noChangeAspect="1"/>
                    </pic:cNvPicPr>
                  </pic:nvPicPr>
                  <pic:blipFill>
                    <a:blip r:embed="rId56"/>
                    <a:stretch>
                      <a:fillRect/>
                    </a:stretch>
                  </pic:blipFill>
                  <pic:spPr>
                    <a:xfrm>
                      <a:off x="0" y="0"/>
                      <a:ext cx="5269865" cy="3435985"/>
                    </a:xfrm>
                    <a:prstGeom prst="rect">
                      <a:avLst/>
                    </a:prstGeom>
                    <a:noFill/>
                    <a:ln>
                      <a:noFill/>
                    </a:ln>
                  </pic:spPr>
                </pic:pic>
              </a:graphicData>
            </a:graphic>
          </wp:inline>
        </w:drawing>
      </w:r>
    </w:p>
    <w:p w14:paraId="7388B116">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265420" cy="2625090"/>
            <wp:effectExtent l="0" t="0" r="7620" b="11430"/>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57"/>
                    <a:stretch>
                      <a:fillRect/>
                    </a:stretch>
                  </pic:blipFill>
                  <pic:spPr>
                    <a:xfrm>
                      <a:off x="0" y="0"/>
                      <a:ext cx="5265420" cy="2625090"/>
                    </a:xfrm>
                    <a:prstGeom prst="rect">
                      <a:avLst/>
                    </a:prstGeom>
                    <a:noFill/>
                    <a:ln>
                      <a:noFill/>
                    </a:ln>
                  </pic:spPr>
                </pic:pic>
              </a:graphicData>
            </a:graphic>
          </wp:inline>
        </w:drawing>
      </w:r>
    </w:p>
    <w:p w14:paraId="06792E71">
      <w:pPr>
        <w:keepNext w:val="0"/>
        <w:keepLines w:val="0"/>
        <w:pageBreakBefore w:val="0"/>
        <w:widowControl w:val="0"/>
        <w:kinsoku/>
        <w:wordWrap/>
        <w:overflowPunct/>
        <w:topLinePunct w:val="0"/>
        <w:autoSpaceDE/>
        <w:autoSpaceDN/>
        <w:bidi w:val="0"/>
        <w:adjustRightInd/>
        <w:snapToGrid/>
        <w:ind w:firstLine="640" w:firstLineChars="200"/>
        <w:textAlignment w:val="auto"/>
        <w:rPr>
          <w:rStyle w:val="28"/>
          <w:rFonts w:hint="default" w:ascii="Times New Roman" w:hAnsi="Times New Roman" w:eastAsia="黑体" w:cs="Times New Roman"/>
          <w:sz w:val="32"/>
          <w:szCs w:val="32"/>
          <w:lang w:val="en-US" w:eastAsia="zh-CN"/>
        </w:rPr>
      </w:pPr>
      <w:r>
        <w:rPr>
          <w:rStyle w:val="28"/>
          <w:rFonts w:hint="default" w:ascii="Times New Roman" w:hAnsi="Times New Roman" w:eastAsia="黑体" w:cs="Times New Roman"/>
          <w:sz w:val="32"/>
          <w:szCs w:val="32"/>
          <w:lang w:val="en-US" w:eastAsia="zh-CN"/>
        </w:rPr>
        <w:t>二、产业结构调整后减排量</w:t>
      </w:r>
    </w:p>
    <w:p w14:paraId="7925E425">
      <w:pPr>
        <w:keepNext w:val="0"/>
        <w:keepLines w:val="0"/>
        <w:pageBreakBefore w:val="0"/>
        <w:widowControl w:val="0"/>
        <w:kinsoku/>
        <w:wordWrap/>
        <w:overflowPunct/>
        <w:topLinePunct w:val="0"/>
        <w:autoSpaceDE/>
        <w:autoSpaceDN/>
        <w:bidi w:val="0"/>
        <w:adjustRightInd/>
        <w:snapToGrid/>
        <w:ind w:firstLine="640" w:firstLineChars="200"/>
        <w:textAlignment w:val="auto"/>
        <w:rPr>
          <w:rStyle w:val="28"/>
          <w:rFonts w:hint="default" w:ascii="Times New Roman" w:hAnsi="Times New Roman" w:eastAsia="仿宋_GB2312" w:cs="Times New Roman"/>
          <w:sz w:val="32"/>
          <w:szCs w:val="32"/>
          <w:lang w:val="en-US" w:eastAsia="zh-CN"/>
        </w:rPr>
      </w:pPr>
      <w:r>
        <w:rPr>
          <w:rStyle w:val="28"/>
          <w:rFonts w:hint="default" w:ascii="Times New Roman" w:hAnsi="Times New Roman" w:eastAsia="仿宋_GB2312" w:cs="Times New Roman"/>
          <w:sz w:val="32"/>
          <w:szCs w:val="32"/>
          <w:lang w:val="en-US" w:eastAsia="zh-CN"/>
        </w:rPr>
        <w:t>颗粒物减排量以200000*（1.13+1.13）/1000*(1-99%)计算为4.52吨。</w:t>
      </w:r>
    </w:p>
    <w:p w14:paraId="1933BC0F">
      <w:pPr>
        <w:pStyle w:val="73"/>
        <w:rPr>
          <w:rFonts w:hint="default"/>
          <w:lang w:val="en-US" w:eastAsia="zh-CN"/>
        </w:rPr>
      </w:pPr>
    </w:p>
    <w:p w14:paraId="527F590F">
      <w:pPr>
        <w:pStyle w:val="73"/>
        <w:rPr>
          <w:rFonts w:hint="default"/>
          <w:lang w:val="en-US" w:eastAsia="zh-CN"/>
        </w:rPr>
      </w:pPr>
    </w:p>
    <w:p w14:paraId="5D27C436">
      <w:pPr>
        <w:pStyle w:val="73"/>
        <w:rPr>
          <w:rFonts w:hint="default"/>
          <w:lang w:val="en-US" w:eastAsia="zh-CN"/>
        </w:rPr>
      </w:pPr>
    </w:p>
    <w:p w14:paraId="3C83F9DD">
      <w:pPr>
        <w:pStyle w:val="73"/>
        <w:rPr>
          <w:rFonts w:hint="default"/>
          <w:lang w:val="en-US" w:eastAsia="zh-CN"/>
        </w:rPr>
      </w:pPr>
    </w:p>
    <w:p w14:paraId="3CE8B071">
      <w:pPr>
        <w:pStyle w:val="73"/>
        <w:rPr>
          <w:rFonts w:hint="default"/>
          <w:lang w:val="en-US" w:eastAsia="zh-CN"/>
        </w:rPr>
      </w:pPr>
    </w:p>
    <w:p w14:paraId="16EE4CB1">
      <w:pPr>
        <w:pStyle w:val="73"/>
        <w:rPr>
          <w:rFonts w:hint="default"/>
          <w:lang w:val="en-US" w:eastAsia="zh-CN"/>
        </w:rPr>
      </w:pPr>
    </w:p>
    <w:p w14:paraId="138EB53A">
      <w:pPr>
        <w:pStyle w:val="73"/>
      </w:pPr>
      <w:r>
        <w:drawing>
          <wp:inline distT="0" distB="0" distL="114300" distR="114300">
            <wp:extent cx="5603240" cy="7994015"/>
            <wp:effectExtent l="0" t="0" r="5080" b="6985"/>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1"/>
                    </pic:cNvPicPr>
                  </pic:nvPicPr>
                  <pic:blipFill>
                    <a:blip r:embed="rId58"/>
                    <a:stretch>
                      <a:fillRect/>
                    </a:stretch>
                  </pic:blipFill>
                  <pic:spPr>
                    <a:xfrm>
                      <a:off x="0" y="0"/>
                      <a:ext cx="5603240" cy="7994015"/>
                    </a:xfrm>
                    <a:prstGeom prst="rect">
                      <a:avLst/>
                    </a:prstGeom>
                    <a:noFill/>
                    <a:ln>
                      <a:noFill/>
                    </a:ln>
                  </pic:spPr>
                </pic:pic>
              </a:graphicData>
            </a:graphic>
          </wp:inline>
        </w:drawing>
      </w:r>
    </w:p>
    <w:p w14:paraId="1B09FDC8">
      <w:pPr>
        <w:pStyle w:val="73"/>
      </w:pPr>
    </w:p>
    <w:p w14:paraId="5A90E1ED">
      <w:pPr>
        <w:pStyle w:val="73"/>
      </w:pPr>
    </w:p>
    <w:p w14:paraId="1CC4DDFA">
      <w:pPr>
        <w:pStyle w:val="73"/>
      </w:pPr>
    </w:p>
    <w:p w14:paraId="16DA05D1">
      <w:pPr>
        <w:pStyle w:val="73"/>
      </w:pPr>
    </w:p>
    <w:p w14:paraId="51044FEC">
      <w:pPr>
        <w:pStyle w:val="73"/>
        <w:rPr>
          <w:rFonts w:hint="default"/>
          <w:lang w:val="en-US" w:eastAsia="zh-CN"/>
        </w:rPr>
      </w:pPr>
      <w:r>
        <w:rPr>
          <w:rFonts w:hint="default"/>
          <w:lang w:val="en-US" w:eastAsia="zh-CN"/>
        </w:rPr>
        <w:drawing>
          <wp:inline distT="0" distB="0" distL="114300" distR="114300">
            <wp:extent cx="5273675" cy="538480"/>
            <wp:effectExtent l="0" t="0" r="14605" b="10160"/>
            <wp:docPr id="55" name="图片 14" descr="富拓光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4" descr="富拓光电"/>
                    <pic:cNvPicPr>
                      <a:picLocks noChangeAspect="1"/>
                    </pic:cNvPicPr>
                  </pic:nvPicPr>
                  <pic:blipFill>
                    <a:blip r:embed="rId59"/>
                    <a:stretch>
                      <a:fillRect/>
                    </a:stretch>
                  </pic:blipFill>
                  <pic:spPr>
                    <a:xfrm>
                      <a:off x="0" y="0"/>
                      <a:ext cx="5273675" cy="538480"/>
                    </a:xfrm>
                    <a:prstGeom prst="rect">
                      <a:avLst/>
                    </a:prstGeom>
                    <a:noFill/>
                    <a:ln>
                      <a:noFill/>
                    </a:ln>
                  </pic:spPr>
                </pic:pic>
              </a:graphicData>
            </a:graphic>
          </wp:inline>
        </w:drawing>
      </w:r>
    </w:p>
    <w:p w14:paraId="292A9BD6">
      <w:pPr>
        <w:pStyle w:val="73"/>
        <w:rPr>
          <w:rFonts w:hint="default"/>
          <w:lang w:val="en-US" w:eastAsia="zh-CN"/>
        </w:rPr>
      </w:pPr>
    </w:p>
    <w:p w14:paraId="66454E4D">
      <w:pPr>
        <w:pStyle w:val="73"/>
        <w:rPr>
          <w:rFonts w:hint="default"/>
          <w:lang w:val="en-US" w:eastAsia="zh-CN"/>
        </w:rPr>
      </w:pPr>
    </w:p>
    <w:p w14:paraId="45312571">
      <w:pPr>
        <w:pStyle w:val="73"/>
        <w:rPr>
          <w:rFonts w:hint="default"/>
          <w:lang w:val="en-US" w:eastAsia="zh-CN"/>
        </w:rPr>
      </w:pPr>
    </w:p>
    <w:p w14:paraId="25FDAE6E">
      <w:pPr>
        <w:pStyle w:val="73"/>
        <w:rPr>
          <w:rFonts w:hint="default"/>
          <w:lang w:val="en-US" w:eastAsia="zh-CN"/>
        </w:rPr>
      </w:pPr>
      <w:r>
        <w:rPr>
          <w:rFonts w:hint="default"/>
          <w:lang w:val="en-US" w:eastAsia="zh-CN"/>
        </w:rPr>
        <w:drawing>
          <wp:inline distT="0" distB="0" distL="114300" distR="114300">
            <wp:extent cx="5334635" cy="2379345"/>
            <wp:effectExtent l="0" t="0" r="14605" b="13335"/>
            <wp:docPr id="54" name="图片 15" descr="富拓光电关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descr="富拓光电关停"/>
                    <pic:cNvPicPr>
                      <a:picLocks noChangeAspect="1"/>
                    </pic:cNvPicPr>
                  </pic:nvPicPr>
                  <pic:blipFill>
                    <a:blip r:embed="rId60"/>
                    <a:stretch>
                      <a:fillRect/>
                    </a:stretch>
                  </pic:blipFill>
                  <pic:spPr>
                    <a:xfrm>
                      <a:off x="0" y="0"/>
                      <a:ext cx="5334635" cy="2379345"/>
                    </a:xfrm>
                    <a:prstGeom prst="rect">
                      <a:avLst/>
                    </a:prstGeom>
                    <a:noFill/>
                    <a:ln>
                      <a:noFill/>
                    </a:ln>
                  </pic:spPr>
                </pic:pic>
              </a:graphicData>
            </a:graphic>
          </wp:inline>
        </w:drawing>
      </w:r>
    </w:p>
    <w:p w14:paraId="5011D3F8">
      <w:pPr>
        <w:pStyle w:val="73"/>
        <w:rPr>
          <w:rFonts w:hint="default"/>
          <w:lang w:val="en-US" w:eastAsia="zh-CN"/>
        </w:rPr>
      </w:pPr>
    </w:p>
    <w:p w14:paraId="47F99614">
      <w:pPr>
        <w:pStyle w:val="73"/>
        <w:rPr>
          <w:rFonts w:hint="default"/>
          <w:lang w:val="en-US" w:eastAsia="zh-CN"/>
        </w:rPr>
      </w:pPr>
    </w:p>
    <w:p w14:paraId="5CD69769">
      <w:pPr>
        <w:pStyle w:val="73"/>
        <w:rPr>
          <w:rFonts w:hint="default"/>
          <w:lang w:val="en-US" w:eastAsia="zh-CN"/>
        </w:rPr>
      </w:pPr>
    </w:p>
    <w:p w14:paraId="1514434A">
      <w:pPr>
        <w:pStyle w:val="73"/>
        <w:rPr>
          <w:rFonts w:hint="default"/>
          <w:lang w:val="en-US" w:eastAsia="zh-CN"/>
        </w:rPr>
      </w:pPr>
    </w:p>
    <w:p w14:paraId="7ACC0050">
      <w:pPr>
        <w:pStyle w:val="73"/>
        <w:rPr>
          <w:rFonts w:hint="default"/>
          <w:lang w:val="en-US" w:eastAsia="zh-CN"/>
        </w:rPr>
      </w:pPr>
    </w:p>
    <w:p w14:paraId="2E01AE49">
      <w:pPr>
        <w:pStyle w:val="73"/>
        <w:rPr>
          <w:rFonts w:hint="default"/>
          <w:lang w:val="en-US" w:eastAsia="zh-CN"/>
        </w:rPr>
      </w:pPr>
    </w:p>
    <w:p w14:paraId="254C1FEA">
      <w:pPr>
        <w:pStyle w:val="73"/>
        <w:rPr>
          <w:rFonts w:hint="default"/>
          <w:lang w:val="en-US" w:eastAsia="zh-CN"/>
        </w:rPr>
      </w:pPr>
    </w:p>
    <w:p w14:paraId="2CA584F8">
      <w:pPr>
        <w:pStyle w:val="73"/>
        <w:rPr>
          <w:rFonts w:hint="default"/>
          <w:lang w:val="en-US" w:eastAsia="zh-CN"/>
        </w:rPr>
      </w:pPr>
    </w:p>
    <w:p w14:paraId="3ABE7540">
      <w:pPr>
        <w:pStyle w:val="73"/>
        <w:rPr>
          <w:rFonts w:hint="default"/>
          <w:lang w:val="en-US" w:eastAsia="zh-CN"/>
        </w:rPr>
      </w:pPr>
    </w:p>
    <w:p w14:paraId="2E53EC04">
      <w:pPr>
        <w:pStyle w:val="73"/>
        <w:rPr>
          <w:rFonts w:hint="default"/>
          <w:lang w:val="en-US" w:eastAsia="zh-CN"/>
        </w:rPr>
      </w:pPr>
    </w:p>
    <w:p w14:paraId="2210F0CE">
      <w:pPr>
        <w:pStyle w:val="73"/>
        <w:rPr>
          <w:rFonts w:hint="default"/>
          <w:lang w:val="en-US" w:eastAsia="zh-CN"/>
        </w:rPr>
      </w:pPr>
    </w:p>
    <w:p w14:paraId="09AAE6EB">
      <w:pPr>
        <w:pStyle w:val="73"/>
        <w:rPr>
          <w:rFonts w:hint="default"/>
          <w:lang w:val="en-US" w:eastAsia="zh-CN"/>
        </w:rPr>
      </w:pPr>
    </w:p>
    <w:p w14:paraId="7BB797CE">
      <w:pPr>
        <w:pStyle w:val="73"/>
        <w:rPr>
          <w:rFonts w:hint="default"/>
          <w:lang w:val="en-US" w:eastAsia="zh-CN"/>
        </w:rPr>
      </w:pPr>
    </w:p>
    <w:p w14:paraId="788B9337">
      <w:pPr>
        <w:pStyle w:val="73"/>
        <w:rPr>
          <w:rFonts w:hint="default"/>
          <w:lang w:val="en-US" w:eastAsia="zh-CN"/>
        </w:rPr>
      </w:pPr>
    </w:p>
    <w:p w14:paraId="3AE03440">
      <w:pPr>
        <w:pStyle w:val="73"/>
        <w:rPr>
          <w:rFonts w:hint="default"/>
          <w:lang w:val="en-US" w:eastAsia="zh-CN"/>
        </w:rPr>
      </w:pPr>
    </w:p>
    <w:p w14:paraId="1775774A">
      <w:pPr>
        <w:pStyle w:val="73"/>
        <w:rPr>
          <w:rFonts w:hint="default"/>
          <w:lang w:val="en-US" w:eastAsia="zh-CN"/>
        </w:rPr>
      </w:pPr>
    </w:p>
    <w:p w14:paraId="5B14E45B">
      <w:pPr>
        <w:pStyle w:val="73"/>
        <w:rPr>
          <w:rFonts w:hint="default"/>
          <w:lang w:val="en-US" w:eastAsia="zh-CN"/>
        </w:rPr>
      </w:pPr>
    </w:p>
    <w:p w14:paraId="69E96AA5">
      <w:pPr>
        <w:pStyle w:val="73"/>
        <w:rPr>
          <w:rFonts w:hint="default"/>
          <w:lang w:val="en-US" w:eastAsia="zh-CN"/>
        </w:rPr>
      </w:pPr>
    </w:p>
    <w:p w14:paraId="72CC0129">
      <w:pPr>
        <w:pStyle w:val="73"/>
        <w:rPr>
          <w:rFonts w:hint="default"/>
          <w:lang w:val="en-US" w:eastAsia="zh-CN"/>
        </w:rPr>
      </w:pPr>
    </w:p>
    <w:p w14:paraId="2962DF78">
      <w:pPr>
        <w:pStyle w:val="73"/>
        <w:rPr>
          <w:rFonts w:hint="default"/>
          <w:lang w:val="en-US" w:eastAsia="zh-CN"/>
        </w:rPr>
      </w:pPr>
    </w:p>
    <w:p w14:paraId="7FA5FF72">
      <w:pPr>
        <w:pStyle w:val="73"/>
        <w:rPr>
          <w:rFonts w:hint="default"/>
          <w:lang w:val="en-US" w:eastAsia="zh-CN"/>
        </w:rPr>
      </w:pPr>
    </w:p>
    <w:p w14:paraId="0E2EF096">
      <w:pPr>
        <w:pStyle w:val="73"/>
        <w:rPr>
          <w:rFonts w:hint="default"/>
          <w:lang w:val="en-US" w:eastAsia="zh-CN"/>
        </w:rPr>
      </w:pPr>
    </w:p>
    <w:p w14:paraId="0BC778CB">
      <w:pPr>
        <w:pStyle w:val="73"/>
        <w:rPr>
          <w:rFonts w:hint="default"/>
          <w:lang w:val="en-US" w:eastAsia="zh-CN"/>
        </w:rPr>
      </w:pPr>
    </w:p>
    <w:p w14:paraId="78A89AAB">
      <w:pPr>
        <w:pStyle w:val="73"/>
        <w:rPr>
          <w:rFonts w:hint="default"/>
          <w:lang w:val="en-US" w:eastAsia="zh-CN"/>
        </w:rPr>
      </w:pPr>
    </w:p>
    <w:p w14:paraId="4588E369">
      <w:pPr>
        <w:jc w:val="center"/>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rPr>
        <w:t>河南</w:t>
      </w:r>
      <w:r>
        <w:rPr>
          <w:rFonts w:hint="eastAsia" w:ascii="CESI小标宋-GB2312" w:hAnsi="CESI小标宋-GB2312" w:eastAsia="CESI小标宋-GB2312" w:cs="CESI小标宋-GB2312"/>
          <w:sz w:val="44"/>
          <w:szCs w:val="44"/>
          <w:lang w:eastAsia="zh-CN"/>
        </w:rPr>
        <w:t>富拓光电科技</w:t>
      </w:r>
      <w:r>
        <w:rPr>
          <w:rFonts w:hint="eastAsia" w:ascii="CESI小标宋-GB2312" w:hAnsi="CESI小标宋-GB2312" w:eastAsia="CESI小标宋-GB2312" w:cs="CESI小标宋-GB2312"/>
          <w:sz w:val="44"/>
          <w:szCs w:val="44"/>
        </w:rPr>
        <w:t>有限公司</w:t>
      </w:r>
    </w:p>
    <w:p w14:paraId="7B8E5118">
      <w:pPr>
        <w:jc w:val="center"/>
        <w:rPr>
          <w:rFonts w:hint="eastAsia" w:ascii="CESI小标宋-GB2312" w:hAnsi="CESI小标宋-GB2312" w:eastAsia="CESI小标宋-GB2312" w:cs="CESI小标宋-GB2312"/>
          <w:sz w:val="44"/>
          <w:szCs w:val="44"/>
          <w:lang w:eastAsia="zh-CN"/>
        </w:rPr>
      </w:pPr>
      <w:r>
        <w:rPr>
          <w:rFonts w:hint="eastAsia" w:ascii="CESI小标宋-GB2312" w:hAnsi="CESI小标宋-GB2312" w:eastAsia="CESI小标宋-GB2312" w:cs="CESI小标宋-GB2312"/>
          <w:sz w:val="44"/>
          <w:szCs w:val="44"/>
          <w:lang w:eastAsia="zh-CN"/>
        </w:rPr>
        <w:t>关停淘汰减排情况说明</w:t>
      </w:r>
    </w:p>
    <w:p w14:paraId="788C404A">
      <w:pPr>
        <w:rPr>
          <w:rFonts w:hint="eastAsia" w:ascii="仿宋_GB2312" w:hAnsi="仿宋_GB2312" w:eastAsia="仿宋_GB2312" w:cs="仿宋_GB2312"/>
          <w:sz w:val="32"/>
          <w:szCs w:val="32"/>
          <w:lang w:eastAsia="zh-CN"/>
        </w:rPr>
      </w:pPr>
    </w:p>
    <w:p w14:paraId="6C7DFE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河南富拓光电科技有限公司位于新乡市凤泉区，属于塑料薄膜制造业，年产</w:t>
      </w:r>
      <w:r>
        <w:rPr>
          <w:rFonts w:hint="eastAsia" w:ascii="仿宋_GB2312" w:hAnsi="仿宋_GB2312" w:eastAsia="仿宋_GB2312" w:cs="仿宋_GB2312"/>
          <w:sz w:val="32"/>
          <w:szCs w:val="32"/>
          <w:lang w:val="en-US" w:eastAsia="zh-CN"/>
        </w:rPr>
        <w:t>1500万平方米电子光学膜、片材料，企业于2026年3月6日关停并注销了排污许可。</w:t>
      </w:r>
    </w:p>
    <w:p w14:paraId="117C72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一、产污系数</w:t>
      </w:r>
    </w:p>
    <w:p w14:paraId="328ED2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企业VOCs产污系数为2.5千克/吨产品，废气由集气罩收集后经RTO处理，收集效率取30%，治理效率取90%。</w:t>
      </w:r>
    </w:p>
    <w:p w14:paraId="44AC98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7325" cy="3048000"/>
            <wp:effectExtent l="0" t="0" r="5715" b="0"/>
            <wp:docPr id="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6"/>
                    <pic:cNvPicPr>
                      <a:picLocks noChangeAspect="1"/>
                    </pic:cNvPicPr>
                  </pic:nvPicPr>
                  <pic:blipFill>
                    <a:blip r:embed="rId61"/>
                    <a:stretch>
                      <a:fillRect/>
                    </a:stretch>
                  </pic:blipFill>
                  <pic:spPr>
                    <a:xfrm>
                      <a:off x="0" y="0"/>
                      <a:ext cx="5267325" cy="3048000"/>
                    </a:xfrm>
                    <a:prstGeom prst="rect">
                      <a:avLst/>
                    </a:prstGeom>
                    <a:noFill/>
                    <a:ln>
                      <a:noFill/>
                    </a:ln>
                  </pic:spPr>
                </pic:pic>
              </a:graphicData>
            </a:graphic>
          </wp:inline>
        </w:drawing>
      </w:r>
    </w:p>
    <w:p w14:paraId="6D49AC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企业原辅料用量合计</w:t>
      </w:r>
      <w:r>
        <w:rPr>
          <w:rFonts w:hint="eastAsia" w:ascii="仿宋_GB2312" w:hAnsi="仿宋_GB2312" w:eastAsia="仿宋_GB2312" w:cs="仿宋_GB2312"/>
          <w:sz w:val="32"/>
          <w:szCs w:val="32"/>
          <w:lang w:val="en-US" w:eastAsia="zh-CN"/>
        </w:rPr>
        <w:t>1556吨。</w:t>
      </w:r>
    </w:p>
    <w:p w14:paraId="72645666">
      <w:pPr>
        <w:rPr>
          <w:rFonts w:hint="eastAsia" w:ascii="仿宋_GB2312" w:hAnsi="仿宋_GB2312" w:eastAsia="仿宋_GB2312" w:cs="仿宋_GB2312"/>
          <w:sz w:val="32"/>
          <w:szCs w:val="32"/>
          <w:lang w:eastAsia="zh-CN"/>
        </w:rPr>
      </w:pPr>
      <w:r>
        <w:drawing>
          <wp:inline distT="0" distB="0" distL="114300" distR="114300">
            <wp:extent cx="5267960" cy="4713605"/>
            <wp:effectExtent l="0" t="0" r="5080" b="10795"/>
            <wp:docPr id="5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7"/>
                    <pic:cNvPicPr>
                      <a:picLocks noChangeAspect="1"/>
                    </pic:cNvPicPr>
                  </pic:nvPicPr>
                  <pic:blipFill>
                    <a:blip r:embed="rId62"/>
                    <a:stretch>
                      <a:fillRect/>
                    </a:stretch>
                  </pic:blipFill>
                  <pic:spPr>
                    <a:xfrm>
                      <a:off x="0" y="0"/>
                      <a:ext cx="5267960" cy="4713605"/>
                    </a:xfrm>
                    <a:prstGeom prst="rect">
                      <a:avLst/>
                    </a:prstGeom>
                    <a:noFill/>
                    <a:ln>
                      <a:noFill/>
                    </a:ln>
                  </pic:spPr>
                </pic:pic>
              </a:graphicData>
            </a:graphic>
          </wp:inline>
        </w:drawing>
      </w:r>
    </w:p>
    <w:p w14:paraId="0FCA14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二、减排量</w:t>
      </w:r>
    </w:p>
    <w:p w14:paraId="140914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企业关停后，VOCs减排量以1556*2.5*（1-30%*90%）/1000计算为2.8397吨。</w:t>
      </w:r>
    </w:p>
    <w:p w14:paraId="1542EFF7"/>
    <w:p w14:paraId="33EE0E46">
      <w:pPr>
        <w:ind w:left="0" w:leftChars="0" w:firstLine="0" w:firstLineChars="0"/>
        <w:rPr>
          <w:rFonts w:hint="eastAsia" w:eastAsia="宋体"/>
          <w:lang w:eastAsia="zh-CN"/>
        </w:rPr>
      </w:pPr>
    </w:p>
    <w:p w14:paraId="4329AC20">
      <w:pPr>
        <w:ind w:left="0" w:leftChars="0" w:firstLine="0" w:firstLineChars="0"/>
        <w:rPr>
          <w:rFonts w:hint="eastAsia" w:eastAsia="宋体"/>
          <w:lang w:eastAsia="zh-CN"/>
        </w:rPr>
      </w:pPr>
    </w:p>
    <w:p w14:paraId="494AB784">
      <w:pPr>
        <w:ind w:left="0" w:leftChars="0" w:firstLine="0" w:firstLineChars="0"/>
        <w:rPr>
          <w:rFonts w:hint="eastAsia" w:eastAsia="宋体"/>
          <w:lang w:eastAsia="zh-CN"/>
        </w:rPr>
      </w:pPr>
    </w:p>
    <w:p w14:paraId="38C3CB49">
      <w:pPr>
        <w:ind w:left="0" w:leftChars="0" w:firstLine="0" w:firstLineChars="0"/>
        <w:rPr>
          <w:rFonts w:hint="eastAsia" w:eastAsia="宋体"/>
          <w:lang w:eastAsia="zh-CN"/>
        </w:rPr>
      </w:pPr>
    </w:p>
    <w:p w14:paraId="230A5C5A">
      <w:pPr>
        <w:ind w:left="0" w:leftChars="0" w:firstLine="0" w:firstLineChars="0"/>
        <w:rPr>
          <w:rFonts w:hint="eastAsia" w:eastAsia="宋体"/>
          <w:lang w:eastAsia="zh-CN"/>
        </w:rPr>
      </w:pPr>
    </w:p>
    <w:p w14:paraId="5321BFAC">
      <w:pPr>
        <w:ind w:left="0" w:leftChars="0" w:firstLine="0" w:firstLineChars="0"/>
        <w:rPr>
          <w:rFonts w:hint="eastAsia" w:eastAsia="宋体"/>
          <w:lang w:eastAsia="zh-CN"/>
        </w:rPr>
      </w:pPr>
    </w:p>
    <w:p w14:paraId="23F83796">
      <w:pPr>
        <w:ind w:left="0" w:leftChars="0" w:firstLine="0" w:firstLineChars="0"/>
        <w:rPr>
          <w:rFonts w:hint="eastAsia" w:eastAsia="宋体"/>
          <w:lang w:eastAsia="zh-CN"/>
        </w:rPr>
      </w:pPr>
    </w:p>
    <w:sectPr>
      <w:pgSz w:w="11906" w:h="16838"/>
      <w:pgMar w:top="1701" w:right="1417" w:bottom="1701" w:left="1417" w:header="851" w:footer="850"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A00002EF" w:usb1="420020EB"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82016" w:usb3="00000000" w:csb0="00040001" w:csb1="00000000"/>
  </w:font>
  <w:font w:name="CESI小标宋-GB2312">
    <w:altName w:val="宋体"/>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EA06D">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9C40B">
    <w:pPr>
      <w:pStyle w:val="19"/>
      <w:ind w:right="360" w:firstLine="360"/>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547CB">
                          <w:pPr>
                            <w:pStyle w:val="19"/>
                            <w:ind w:firstLine="560"/>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35</w:t>
                          </w:r>
                          <w:r>
                            <w:rPr>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95547CB">
                    <w:pPr>
                      <w:pStyle w:val="19"/>
                      <w:ind w:firstLine="560"/>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35</w:t>
                    </w:r>
                    <w:r>
                      <w:rPr>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6DB8">
    <w:pPr>
      <w:pStyle w:val="19"/>
      <w:ind w:right="360" w:firstLine="360"/>
    </w:pPr>
    <w:r>
      <w:rPr>
        <w:sz w:val="18"/>
      </w:rPr>
      <mc:AlternateContent>
        <mc:Choice Requires="wps">
          <w:drawing>
            <wp:anchor distT="0" distB="0" distL="114300" distR="114300" simplePos="0" relativeHeight="251669504" behindDoc="0" locked="0" layoutInCell="1" allowOverlap="1">
              <wp:simplePos x="0" y="0"/>
              <wp:positionH relativeFrom="margin">
                <wp:posOffset>2633345</wp:posOffset>
              </wp:positionH>
              <wp:positionV relativeFrom="paragraph">
                <wp:posOffset>-108585</wp:posOffset>
              </wp:positionV>
              <wp:extent cx="1219835" cy="3009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219835"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75E2E">
                          <w:pPr>
                            <w:pStyle w:val="19"/>
                            <w:rPr>
                              <w:sz w:val="26"/>
                              <w:szCs w:val="26"/>
                            </w:rPr>
                          </w:pPr>
                          <w:r>
                            <w:rPr>
                              <w:rFonts w:hint="eastAsia"/>
                              <w:sz w:val="26"/>
                              <w:szCs w:val="26"/>
                              <w:lang w:eastAsia="zh-CN"/>
                            </w:rPr>
                            <w:t>—</w:t>
                          </w:r>
                          <w:r>
                            <w:rPr>
                              <w:sz w:val="26"/>
                              <w:szCs w:val="26"/>
                            </w:rPr>
                            <w:fldChar w:fldCharType="begin"/>
                          </w:r>
                          <w:r>
                            <w:rPr>
                              <w:sz w:val="26"/>
                              <w:szCs w:val="26"/>
                            </w:rPr>
                            <w:instrText xml:space="preserve"> PAGE  \* MERGEFORMAT </w:instrText>
                          </w:r>
                          <w:r>
                            <w:rPr>
                              <w:sz w:val="26"/>
                              <w:szCs w:val="26"/>
                            </w:rPr>
                            <w:fldChar w:fldCharType="separate"/>
                          </w:r>
                          <w:r>
                            <w:rPr>
                              <w:sz w:val="26"/>
                              <w:szCs w:val="26"/>
                            </w:rPr>
                            <w:t>65</w:t>
                          </w:r>
                          <w:r>
                            <w:rPr>
                              <w:sz w:val="26"/>
                              <w:szCs w:val="26"/>
                            </w:rPr>
                            <w:fldChar w:fldCharType="end"/>
                          </w:r>
                          <w:r>
                            <w:rPr>
                              <w:rFonts w:hint="eastAsia"/>
                              <w:sz w:val="26"/>
                              <w:szCs w:val="26"/>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7.35pt;margin-top:-8.55pt;height:23.7pt;width:96.05pt;mso-position-horizontal-relative:margin;z-index:251669504;mso-width-relative:page;mso-height-relative:page;" filled="f" stroked="f" coordsize="21600,21600" o:gfxdata="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Qh9tc2QAAAAoBAAAPAAAAAAAAAAEAIAAAACIAAABkcnMvZG93&#10;bnJldi54bWxQSwECFAAUAAAACACHTuJAaXpafDgCAABiBAAADgAAAAAAAAABACAAAAAoAQAAZHJz&#10;L2Uyb0RvYy54bWxQSwUGAAAAAAYABgBZAQAA0gUAAAAA&#10;">
              <v:fill on="f" focussize="0,0"/>
              <v:stroke on="f" weight="0.5pt"/>
              <v:imagedata o:title=""/>
              <o:lock v:ext="edit" aspectratio="f"/>
              <v:textbox inset="0mm,0mm,0mm,0mm">
                <w:txbxContent>
                  <w:p w14:paraId="43875E2E">
                    <w:pPr>
                      <w:pStyle w:val="19"/>
                      <w:rPr>
                        <w:sz w:val="26"/>
                        <w:szCs w:val="26"/>
                      </w:rPr>
                    </w:pPr>
                    <w:r>
                      <w:rPr>
                        <w:rFonts w:hint="eastAsia"/>
                        <w:sz w:val="26"/>
                        <w:szCs w:val="26"/>
                        <w:lang w:eastAsia="zh-CN"/>
                      </w:rPr>
                      <w:t>—</w:t>
                    </w:r>
                    <w:r>
                      <w:rPr>
                        <w:sz w:val="26"/>
                        <w:szCs w:val="26"/>
                      </w:rPr>
                      <w:fldChar w:fldCharType="begin"/>
                    </w:r>
                    <w:r>
                      <w:rPr>
                        <w:sz w:val="26"/>
                        <w:szCs w:val="26"/>
                      </w:rPr>
                      <w:instrText xml:space="preserve"> PAGE  \* MERGEFORMAT </w:instrText>
                    </w:r>
                    <w:r>
                      <w:rPr>
                        <w:sz w:val="26"/>
                        <w:szCs w:val="26"/>
                      </w:rPr>
                      <w:fldChar w:fldCharType="separate"/>
                    </w:r>
                    <w:r>
                      <w:rPr>
                        <w:sz w:val="26"/>
                        <w:szCs w:val="26"/>
                      </w:rPr>
                      <w:t>65</w:t>
                    </w:r>
                    <w:r>
                      <w:rPr>
                        <w:sz w:val="26"/>
                        <w:szCs w:val="26"/>
                      </w:rPr>
                      <w:fldChar w:fldCharType="end"/>
                    </w:r>
                    <w:r>
                      <w:rPr>
                        <w:rFonts w:hint="eastAsia"/>
                        <w:sz w:val="26"/>
                        <w:szCs w:val="26"/>
                        <w:lang w:eastAsia="zh-CN"/>
                      </w:rPr>
                      <w:t>—</w:t>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posOffset>2456180</wp:posOffset>
              </wp:positionH>
              <wp:positionV relativeFrom="paragraph">
                <wp:posOffset>-228600</wp:posOffset>
              </wp:positionV>
              <wp:extent cx="1278890" cy="4870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78890" cy="487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26DDB"/>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3.4pt;margin-top:-18pt;height:38.35pt;width:100.7pt;mso-position-horizontal-relative:margin;z-index:251667456;mso-width-relative:page;mso-height-relative:page;" filled="f" stroked="f" coordsize="21600,21600" o:gfxdata="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b1z79kAAAAKAQAADwAAAAAAAAABACAAAAAiAAAAZHJzL2Rv&#10;d25yZXYueG1sUEsBAhQAFAAAAAgAh07iQE/FwLk5AgAAYgQAAA4AAAAAAAAAAQAgAAAAKAEAAGRy&#10;cy9lMm9Eb2MueG1sUEsFBgAAAAAGAAYAWQEAANMFAAAAAA==&#10;">
              <v:fill on="f" focussize="0,0"/>
              <v:stroke on="f" weight="0.5pt"/>
              <v:imagedata o:title=""/>
              <o:lock v:ext="edit" aspectratio="f"/>
              <v:textbox inset="0mm,0mm,0mm,0mm">
                <w:txbxContent>
                  <w:p w14:paraId="09726DDB"/>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BF576">
    <w:pPr>
      <w:pStyle w:val="19"/>
      <w:ind w:right="360" w:firstLine="360"/>
      <w:jc w:val="center"/>
    </w:pPr>
    <w:r>
      <w:rPr>
        <w:sz w:val="18"/>
      </w:rPr>
      <mc:AlternateContent>
        <mc:Choice Requires="wps">
          <w:drawing>
            <wp:anchor distT="0" distB="0" distL="114300" distR="114300" simplePos="0" relativeHeight="251668480" behindDoc="0" locked="0" layoutInCell="1" allowOverlap="1">
              <wp:simplePos x="0" y="0"/>
              <wp:positionH relativeFrom="margin">
                <wp:posOffset>2524125</wp:posOffset>
              </wp:positionH>
              <wp:positionV relativeFrom="paragraph">
                <wp:posOffset>-240030</wp:posOffset>
              </wp:positionV>
              <wp:extent cx="436245" cy="2032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36245" cy="203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13E5E"/>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8.75pt;margin-top:-18.9pt;height:16pt;width:34.35pt;mso-position-horizontal-relative:margin;z-index:251668480;mso-width-relative:page;mso-height-relative:page;" filled="f" stroked="f" coordsize="21600,21600" o:gfxdata="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Slz/H2gAAAAoBAAAPAAAAAAAAAAEAIAAAACIAAABkcnMvZG93&#10;bnJldi54bWxQSwECFAAUAAAACACHTuJAKuPXPjcCAABhBAAADgAAAAAAAAABACAAAAApAQAAZHJz&#10;L2Uyb0RvYy54bWxQSwUGAAAAAAYABgBZAQAA0gUAAAAA&#10;">
              <v:fill on="f" focussize="0,0"/>
              <v:stroke on="f" weight="0.5pt"/>
              <v:imagedata o:title=""/>
              <o:lock v:ext="edit" aspectratio="f"/>
              <v:textbox inset="0mm,0mm,0mm,0mm">
                <w:txbxContent>
                  <w:p w14:paraId="10013E5E"/>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C1838">
                          <w:pPr>
                            <w:pStyle w:val="19"/>
                            <w:ind w:firstLine="360"/>
                          </w:pPr>
                          <w:r>
                            <w:t>—</w:t>
                          </w:r>
                          <w:r>
                            <w:rPr>
                              <w:sz w:val="24"/>
                              <w:szCs w:val="28"/>
                            </w:rPr>
                            <w:t xml:space="preserve"> </w:t>
                          </w:r>
                          <w:r>
                            <w:rPr>
                              <w:rFonts w:hint="eastAsia"/>
                              <w:sz w:val="24"/>
                              <w:szCs w:val="28"/>
                            </w:rPr>
                            <w:t xml:space="preserve"> </w:t>
                          </w:r>
                          <w:r>
                            <w:rPr>
                              <w:rFonts w:hint="eastAsia"/>
                              <w:sz w:val="24"/>
                              <w:szCs w:val="28"/>
                              <w:lang w:val="en-US" w:eastAsia="zh-CN"/>
                            </w:rPr>
                            <w:t>68</w:t>
                          </w:r>
                          <w:r>
                            <w:rPr>
                              <w:rFonts w:hint="eastAsia"/>
                              <w:sz w:val="24"/>
                              <w:szCs w:val="28"/>
                            </w:rPr>
                            <w:t xml:space="preserve"> </w:t>
                          </w:r>
                          <w:r>
                            <w:rPr>
                              <w:sz w:val="24"/>
                              <w:szCs w:val="28"/>
                            </w:rPr>
                            <w:t xml:space="preserve"> </w:t>
                          </w:r>
                          <w:r>
                            <w:t>—</w:t>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&#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4GSKWtYBAACyAwAADgAAAAAAAAABACAAAAAe&#10;AQAAZHJzL2Uyb0RvYy54bWxQSwUGAAAAAAYABgBZAQAAZgUAAAAA&#10;">
              <v:fill on="f" focussize="0,0"/>
              <v:stroke on="f"/>
              <v:imagedata o:title=""/>
              <o:lock v:ext="edit" aspectratio="f"/>
              <v:textbox inset="0mm,0mm,0mm,0mm" style="mso-fit-shape-to-text:t;">
                <w:txbxContent>
                  <w:p w14:paraId="697C1838">
                    <w:pPr>
                      <w:pStyle w:val="19"/>
                      <w:ind w:firstLine="360"/>
                    </w:pPr>
                    <w:r>
                      <w:t>—</w:t>
                    </w:r>
                    <w:r>
                      <w:rPr>
                        <w:sz w:val="24"/>
                        <w:szCs w:val="28"/>
                      </w:rPr>
                      <w:t xml:space="preserve"> </w:t>
                    </w:r>
                    <w:r>
                      <w:rPr>
                        <w:rFonts w:hint="eastAsia"/>
                        <w:sz w:val="24"/>
                        <w:szCs w:val="28"/>
                      </w:rPr>
                      <w:t xml:space="preserve"> </w:t>
                    </w:r>
                    <w:r>
                      <w:rPr>
                        <w:rFonts w:hint="eastAsia"/>
                        <w:sz w:val="24"/>
                        <w:szCs w:val="28"/>
                        <w:lang w:val="en-US" w:eastAsia="zh-CN"/>
                      </w:rPr>
                      <w:t>68</w:t>
                    </w:r>
                    <w:r>
                      <w:rPr>
                        <w:rFonts w:hint="eastAsia"/>
                        <w:sz w:val="24"/>
                        <w:szCs w:val="28"/>
                      </w:rPr>
                      <w:t xml:space="preserve"> </w:t>
                    </w:r>
                    <w:r>
                      <w:rPr>
                        <w:sz w:val="24"/>
                        <w:szCs w:val="28"/>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EFC47">
    <w:pPr>
      <w:pStyle w:val="20"/>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48920E"/>
    <w:multiLevelType w:val="singleLevel"/>
    <w:tmpl w:val="B448920E"/>
    <w:lvl w:ilvl="0" w:tentative="0">
      <w:start w:val="1"/>
      <w:numFmt w:val="decimal"/>
      <w:suff w:val="nothing"/>
      <w:lvlText w:val="%1、"/>
      <w:lvlJc w:val="left"/>
    </w:lvl>
  </w:abstractNum>
  <w:abstractNum w:abstractNumId="1">
    <w:nsid w:val="BFED651A"/>
    <w:multiLevelType w:val="singleLevel"/>
    <w:tmpl w:val="BFED651A"/>
    <w:lvl w:ilvl="0" w:tentative="0">
      <w:start w:val="1"/>
      <w:numFmt w:val="decimal"/>
      <w:suff w:val="nothing"/>
      <w:lvlText w:val="（%1）"/>
      <w:lvlJc w:val="left"/>
    </w:lvl>
  </w:abstractNum>
  <w:abstractNum w:abstractNumId="2">
    <w:nsid w:val="C0890B0E"/>
    <w:multiLevelType w:val="singleLevel"/>
    <w:tmpl w:val="C0890B0E"/>
    <w:lvl w:ilvl="0" w:tentative="0">
      <w:start w:val="1"/>
      <w:numFmt w:val="decimal"/>
      <w:suff w:val="nothing"/>
      <w:lvlText w:val="%1"/>
      <w:lvlJc w:val="left"/>
      <w:pPr>
        <w:tabs>
          <w:tab w:val="left" w:pos="0"/>
        </w:tabs>
      </w:pPr>
      <w:rPr>
        <w:rFonts w:hint="default"/>
        <w:color w:val="000000"/>
      </w:rPr>
    </w:lvl>
  </w:abstractNum>
  <w:abstractNum w:abstractNumId="3">
    <w:nsid w:val="CD1AC1F0"/>
    <w:multiLevelType w:val="singleLevel"/>
    <w:tmpl w:val="CD1AC1F0"/>
    <w:lvl w:ilvl="0" w:tentative="0">
      <w:start w:val="1"/>
      <w:numFmt w:val="decimal"/>
      <w:suff w:val="nothing"/>
      <w:lvlText w:val="%1、"/>
      <w:lvlJc w:val="left"/>
    </w:lvl>
  </w:abstractNum>
  <w:abstractNum w:abstractNumId="4">
    <w:nsid w:val="D70E8668"/>
    <w:multiLevelType w:val="singleLevel"/>
    <w:tmpl w:val="D70E8668"/>
    <w:lvl w:ilvl="0" w:tentative="0">
      <w:start w:val="1"/>
      <w:numFmt w:val="decimal"/>
      <w:suff w:val="nothing"/>
      <w:lvlText w:val="%1、"/>
      <w:lvlJc w:val="left"/>
    </w:lvl>
  </w:abstractNum>
  <w:abstractNum w:abstractNumId="5">
    <w:nsid w:val="E0BC7449"/>
    <w:multiLevelType w:val="singleLevel"/>
    <w:tmpl w:val="E0BC7449"/>
    <w:lvl w:ilvl="0" w:tentative="0">
      <w:start w:val="1"/>
      <w:numFmt w:val="decimal"/>
      <w:pStyle w:val="102"/>
      <w:suff w:val="nothing"/>
      <w:lvlText w:val="表%1"/>
      <w:lvlJc w:val="left"/>
      <w:pPr>
        <w:ind w:left="0" w:firstLine="420"/>
      </w:pPr>
      <w:rPr>
        <w:rFonts w:hint="default"/>
        <w:sz w:val="24"/>
        <w:szCs w:val="24"/>
      </w:rPr>
    </w:lvl>
  </w:abstractNum>
  <w:abstractNum w:abstractNumId="6">
    <w:nsid w:val="E78AF5DC"/>
    <w:multiLevelType w:val="singleLevel"/>
    <w:tmpl w:val="E78AF5DC"/>
    <w:lvl w:ilvl="0" w:tentative="0">
      <w:start w:val="1"/>
      <w:numFmt w:val="decimal"/>
      <w:lvlText w:val="%1."/>
      <w:lvlJc w:val="left"/>
      <w:pPr>
        <w:tabs>
          <w:tab w:val="left" w:pos="312"/>
        </w:tabs>
      </w:pPr>
    </w:lvl>
  </w:abstractNum>
  <w:abstractNum w:abstractNumId="7">
    <w:nsid w:val="031E11E4"/>
    <w:multiLevelType w:val="singleLevel"/>
    <w:tmpl w:val="031E11E4"/>
    <w:lvl w:ilvl="0" w:tentative="0">
      <w:start w:val="1"/>
      <w:numFmt w:val="decimal"/>
      <w:suff w:val="nothing"/>
      <w:lvlText w:val="%1、"/>
      <w:lvlJc w:val="left"/>
      <w:pPr>
        <w:ind w:left="-2"/>
      </w:pPr>
    </w:lvl>
  </w:abstractNum>
  <w:abstractNum w:abstractNumId="8">
    <w:nsid w:val="3133C348"/>
    <w:multiLevelType w:val="singleLevel"/>
    <w:tmpl w:val="3133C348"/>
    <w:lvl w:ilvl="0" w:tentative="0">
      <w:start w:val="1"/>
      <w:numFmt w:val="decimal"/>
      <w:suff w:val="nothing"/>
      <w:lvlText w:val="%1、"/>
      <w:lvlJc w:val="left"/>
    </w:lvl>
  </w:abstractNum>
  <w:num w:numId="1">
    <w:abstractNumId w:val="5"/>
  </w:num>
  <w:num w:numId="2">
    <w:abstractNumId w:val="4"/>
  </w:num>
  <w:num w:numId="3">
    <w:abstractNumId w:val="0"/>
  </w:num>
  <w:num w:numId="4">
    <w:abstractNumId w:val="8"/>
  </w:num>
  <w:num w:numId="5">
    <w:abstractNumId w:val="6"/>
  </w:num>
  <w:num w:numId="6">
    <w:abstractNumId w:val="7"/>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wMWFjZDNkYmRiNzgxYTgzNDhiNmZkYjQ4ZTU1MDgifQ=="/>
    <w:docVar w:name="KSO_WPS_MARK_KEY" w:val="6621d6d2-0f31-4bb9-972a-4e16b50542cd"/>
  </w:docVars>
  <w:rsids>
    <w:rsidRoot w:val="00A14947"/>
    <w:rsid w:val="00002745"/>
    <w:rsid w:val="000060B3"/>
    <w:rsid w:val="000074D6"/>
    <w:rsid w:val="00010933"/>
    <w:rsid w:val="00011180"/>
    <w:rsid w:val="0001296F"/>
    <w:rsid w:val="00013BB2"/>
    <w:rsid w:val="0001674D"/>
    <w:rsid w:val="00017EBA"/>
    <w:rsid w:val="00020FCF"/>
    <w:rsid w:val="00021CBC"/>
    <w:rsid w:val="00023723"/>
    <w:rsid w:val="00025933"/>
    <w:rsid w:val="00026177"/>
    <w:rsid w:val="000313B1"/>
    <w:rsid w:val="00034079"/>
    <w:rsid w:val="00040296"/>
    <w:rsid w:val="00040A47"/>
    <w:rsid w:val="00041899"/>
    <w:rsid w:val="00042ACE"/>
    <w:rsid w:val="0004364B"/>
    <w:rsid w:val="000437EE"/>
    <w:rsid w:val="00044F66"/>
    <w:rsid w:val="00045610"/>
    <w:rsid w:val="000460BC"/>
    <w:rsid w:val="0005038D"/>
    <w:rsid w:val="00054FBD"/>
    <w:rsid w:val="000552F5"/>
    <w:rsid w:val="00055861"/>
    <w:rsid w:val="00055AF7"/>
    <w:rsid w:val="00060618"/>
    <w:rsid w:val="00060FCD"/>
    <w:rsid w:val="000611E3"/>
    <w:rsid w:val="00061B1F"/>
    <w:rsid w:val="00061C22"/>
    <w:rsid w:val="0006253B"/>
    <w:rsid w:val="000625FB"/>
    <w:rsid w:val="00064D89"/>
    <w:rsid w:val="000657FA"/>
    <w:rsid w:val="00067378"/>
    <w:rsid w:val="0007285A"/>
    <w:rsid w:val="000733C4"/>
    <w:rsid w:val="00074783"/>
    <w:rsid w:val="000747B2"/>
    <w:rsid w:val="00075F8A"/>
    <w:rsid w:val="00076364"/>
    <w:rsid w:val="00076EDB"/>
    <w:rsid w:val="00076FFD"/>
    <w:rsid w:val="00077D84"/>
    <w:rsid w:val="00080031"/>
    <w:rsid w:val="00080207"/>
    <w:rsid w:val="0008070B"/>
    <w:rsid w:val="00080CE5"/>
    <w:rsid w:val="000810AC"/>
    <w:rsid w:val="00081A02"/>
    <w:rsid w:val="00082231"/>
    <w:rsid w:val="00082A7A"/>
    <w:rsid w:val="00084699"/>
    <w:rsid w:val="00084A55"/>
    <w:rsid w:val="00084AE6"/>
    <w:rsid w:val="00085304"/>
    <w:rsid w:val="00086E86"/>
    <w:rsid w:val="00087277"/>
    <w:rsid w:val="000905EA"/>
    <w:rsid w:val="0009107A"/>
    <w:rsid w:val="000914EC"/>
    <w:rsid w:val="00091972"/>
    <w:rsid w:val="00092D38"/>
    <w:rsid w:val="0009377B"/>
    <w:rsid w:val="000937CA"/>
    <w:rsid w:val="00093DD3"/>
    <w:rsid w:val="00095325"/>
    <w:rsid w:val="00095C1E"/>
    <w:rsid w:val="00095F92"/>
    <w:rsid w:val="000971C1"/>
    <w:rsid w:val="000972CA"/>
    <w:rsid w:val="00097750"/>
    <w:rsid w:val="000A0308"/>
    <w:rsid w:val="000A1956"/>
    <w:rsid w:val="000A1BA8"/>
    <w:rsid w:val="000A20C9"/>
    <w:rsid w:val="000A3B75"/>
    <w:rsid w:val="000B035B"/>
    <w:rsid w:val="000B058F"/>
    <w:rsid w:val="000B0604"/>
    <w:rsid w:val="000B2374"/>
    <w:rsid w:val="000B3B89"/>
    <w:rsid w:val="000B4467"/>
    <w:rsid w:val="000B4DB9"/>
    <w:rsid w:val="000B5FFB"/>
    <w:rsid w:val="000B6556"/>
    <w:rsid w:val="000C09AC"/>
    <w:rsid w:val="000C0E00"/>
    <w:rsid w:val="000C0E4D"/>
    <w:rsid w:val="000C17EE"/>
    <w:rsid w:val="000C38FC"/>
    <w:rsid w:val="000C767F"/>
    <w:rsid w:val="000D359D"/>
    <w:rsid w:val="000D4805"/>
    <w:rsid w:val="000D55F1"/>
    <w:rsid w:val="000D5A44"/>
    <w:rsid w:val="000D6E70"/>
    <w:rsid w:val="000E0940"/>
    <w:rsid w:val="000E15CE"/>
    <w:rsid w:val="000E3ED2"/>
    <w:rsid w:val="000E3FFB"/>
    <w:rsid w:val="000E6ED9"/>
    <w:rsid w:val="000F202B"/>
    <w:rsid w:val="000F484E"/>
    <w:rsid w:val="000F78DA"/>
    <w:rsid w:val="001005B4"/>
    <w:rsid w:val="001034E5"/>
    <w:rsid w:val="00103B64"/>
    <w:rsid w:val="00104B2C"/>
    <w:rsid w:val="0010621C"/>
    <w:rsid w:val="00112E70"/>
    <w:rsid w:val="00122187"/>
    <w:rsid w:val="0012377F"/>
    <w:rsid w:val="0012585D"/>
    <w:rsid w:val="00125ABA"/>
    <w:rsid w:val="001305E0"/>
    <w:rsid w:val="001315A6"/>
    <w:rsid w:val="00131A7E"/>
    <w:rsid w:val="00131F42"/>
    <w:rsid w:val="0013201F"/>
    <w:rsid w:val="00132ED1"/>
    <w:rsid w:val="00133456"/>
    <w:rsid w:val="00133A53"/>
    <w:rsid w:val="001357F1"/>
    <w:rsid w:val="00140FA8"/>
    <w:rsid w:val="00142954"/>
    <w:rsid w:val="00142FEB"/>
    <w:rsid w:val="00143A2D"/>
    <w:rsid w:val="0014425C"/>
    <w:rsid w:val="001444E3"/>
    <w:rsid w:val="001452F7"/>
    <w:rsid w:val="001453E4"/>
    <w:rsid w:val="00145A41"/>
    <w:rsid w:val="00145DC2"/>
    <w:rsid w:val="00150BCB"/>
    <w:rsid w:val="00151675"/>
    <w:rsid w:val="001520C5"/>
    <w:rsid w:val="00155BEE"/>
    <w:rsid w:val="00157435"/>
    <w:rsid w:val="001607FE"/>
    <w:rsid w:val="00161F22"/>
    <w:rsid w:val="001658F8"/>
    <w:rsid w:val="00170BFD"/>
    <w:rsid w:val="00173A6E"/>
    <w:rsid w:val="00173DBE"/>
    <w:rsid w:val="0017504D"/>
    <w:rsid w:val="00175BFE"/>
    <w:rsid w:val="0017671A"/>
    <w:rsid w:val="00176B40"/>
    <w:rsid w:val="00177422"/>
    <w:rsid w:val="00177BA5"/>
    <w:rsid w:val="00180117"/>
    <w:rsid w:val="00180E68"/>
    <w:rsid w:val="00182595"/>
    <w:rsid w:val="00182B2F"/>
    <w:rsid w:val="00182ECA"/>
    <w:rsid w:val="001842A6"/>
    <w:rsid w:val="00184590"/>
    <w:rsid w:val="00184FD6"/>
    <w:rsid w:val="001870D1"/>
    <w:rsid w:val="0018781E"/>
    <w:rsid w:val="00190F89"/>
    <w:rsid w:val="00191963"/>
    <w:rsid w:val="0019262D"/>
    <w:rsid w:val="00192AC4"/>
    <w:rsid w:val="00192DFD"/>
    <w:rsid w:val="00193990"/>
    <w:rsid w:val="0019453D"/>
    <w:rsid w:val="0019501E"/>
    <w:rsid w:val="00196033"/>
    <w:rsid w:val="00196560"/>
    <w:rsid w:val="00197447"/>
    <w:rsid w:val="00197942"/>
    <w:rsid w:val="00197A2F"/>
    <w:rsid w:val="001A0460"/>
    <w:rsid w:val="001A05A0"/>
    <w:rsid w:val="001A0724"/>
    <w:rsid w:val="001A1B35"/>
    <w:rsid w:val="001A2020"/>
    <w:rsid w:val="001A48A2"/>
    <w:rsid w:val="001A49E2"/>
    <w:rsid w:val="001A5BCA"/>
    <w:rsid w:val="001A5CD2"/>
    <w:rsid w:val="001A6F61"/>
    <w:rsid w:val="001B141E"/>
    <w:rsid w:val="001B1809"/>
    <w:rsid w:val="001B412D"/>
    <w:rsid w:val="001B4FED"/>
    <w:rsid w:val="001B7058"/>
    <w:rsid w:val="001B72B8"/>
    <w:rsid w:val="001C003C"/>
    <w:rsid w:val="001C4922"/>
    <w:rsid w:val="001C69B3"/>
    <w:rsid w:val="001C6A8C"/>
    <w:rsid w:val="001C7345"/>
    <w:rsid w:val="001C7B9E"/>
    <w:rsid w:val="001D31BC"/>
    <w:rsid w:val="001D3211"/>
    <w:rsid w:val="001D3CCE"/>
    <w:rsid w:val="001D47C3"/>
    <w:rsid w:val="001D5595"/>
    <w:rsid w:val="001D5776"/>
    <w:rsid w:val="001D6CD9"/>
    <w:rsid w:val="001D6E7C"/>
    <w:rsid w:val="001D7874"/>
    <w:rsid w:val="001D7F22"/>
    <w:rsid w:val="001E0507"/>
    <w:rsid w:val="001E2173"/>
    <w:rsid w:val="001E35DB"/>
    <w:rsid w:val="001E3C5E"/>
    <w:rsid w:val="001E3C96"/>
    <w:rsid w:val="001F0229"/>
    <w:rsid w:val="001F0F17"/>
    <w:rsid w:val="001F2204"/>
    <w:rsid w:val="001F3347"/>
    <w:rsid w:val="001F3638"/>
    <w:rsid w:val="001F36C6"/>
    <w:rsid w:val="001F3AED"/>
    <w:rsid w:val="001F53AE"/>
    <w:rsid w:val="001F69E4"/>
    <w:rsid w:val="001F7738"/>
    <w:rsid w:val="0020214B"/>
    <w:rsid w:val="00202252"/>
    <w:rsid w:val="00202260"/>
    <w:rsid w:val="002041A9"/>
    <w:rsid w:val="00206D7B"/>
    <w:rsid w:val="00206EAA"/>
    <w:rsid w:val="00207680"/>
    <w:rsid w:val="00210D66"/>
    <w:rsid w:val="002121D2"/>
    <w:rsid w:val="002125B4"/>
    <w:rsid w:val="00212F2D"/>
    <w:rsid w:val="002131F8"/>
    <w:rsid w:val="00213F8A"/>
    <w:rsid w:val="002155B8"/>
    <w:rsid w:val="0022127A"/>
    <w:rsid w:val="00221811"/>
    <w:rsid w:val="00222715"/>
    <w:rsid w:val="00223C85"/>
    <w:rsid w:val="00224839"/>
    <w:rsid w:val="002249B2"/>
    <w:rsid w:val="00226574"/>
    <w:rsid w:val="002265A5"/>
    <w:rsid w:val="002271BB"/>
    <w:rsid w:val="002278EC"/>
    <w:rsid w:val="00231A17"/>
    <w:rsid w:val="0023280E"/>
    <w:rsid w:val="00232910"/>
    <w:rsid w:val="00237447"/>
    <w:rsid w:val="002377D1"/>
    <w:rsid w:val="0024154A"/>
    <w:rsid w:val="00243448"/>
    <w:rsid w:val="00243E3C"/>
    <w:rsid w:val="00247D20"/>
    <w:rsid w:val="002502DA"/>
    <w:rsid w:val="00250573"/>
    <w:rsid w:val="002506BC"/>
    <w:rsid w:val="002514D6"/>
    <w:rsid w:val="00251722"/>
    <w:rsid w:val="00254345"/>
    <w:rsid w:val="0025747F"/>
    <w:rsid w:val="002578AF"/>
    <w:rsid w:val="0026047A"/>
    <w:rsid w:val="00262026"/>
    <w:rsid w:val="002620DF"/>
    <w:rsid w:val="00264557"/>
    <w:rsid w:val="00264759"/>
    <w:rsid w:val="00266674"/>
    <w:rsid w:val="00270550"/>
    <w:rsid w:val="00272FA3"/>
    <w:rsid w:val="00275C70"/>
    <w:rsid w:val="00277EB3"/>
    <w:rsid w:val="002805AB"/>
    <w:rsid w:val="00284204"/>
    <w:rsid w:val="00286221"/>
    <w:rsid w:val="00287978"/>
    <w:rsid w:val="00287F34"/>
    <w:rsid w:val="002902CD"/>
    <w:rsid w:val="002913C1"/>
    <w:rsid w:val="00291773"/>
    <w:rsid w:val="00292390"/>
    <w:rsid w:val="00292AAD"/>
    <w:rsid w:val="00293A1E"/>
    <w:rsid w:val="00294235"/>
    <w:rsid w:val="00295443"/>
    <w:rsid w:val="00295755"/>
    <w:rsid w:val="002964AC"/>
    <w:rsid w:val="0029742D"/>
    <w:rsid w:val="00297E55"/>
    <w:rsid w:val="002A168C"/>
    <w:rsid w:val="002A3DC7"/>
    <w:rsid w:val="002A4950"/>
    <w:rsid w:val="002A5C79"/>
    <w:rsid w:val="002A6B50"/>
    <w:rsid w:val="002B3476"/>
    <w:rsid w:val="002B4765"/>
    <w:rsid w:val="002B49E2"/>
    <w:rsid w:val="002B55ED"/>
    <w:rsid w:val="002B7B00"/>
    <w:rsid w:val="002B7C44"/>
    <w:rsid w:val="002C008E"/>
    <w:rsid w:val="002C2B17"/>
    <w:rsid w:val="002C5139"/>
    <w:rsid w:val="002C666F"/>
    <w:rsid w:val="002C764A"/>
    <w:rsid w:val="002D1899"/>
    <w:rsid w:val="002D1D03"/>
    <w:rsid w:val="002D29F2"/>
    <w:rsid w:val="002D3DD0"/>
    <w:rsid w:val="002E091A"/>
    <w:rsid w:val="002E0A7A"/>
    <w:rsid w:val="002E0FF6"/>
    <w:rsid w:val="002E14B1"/>
    <w:rsid w:val="002E1BF7"/>
    <w:rsid w:val="002E1F37"/>
    <w:rsid w:val="002E1F3A"/>
    <w:rsid w:val="002E298A"/>
    <w:rsid w:val="002E4478"/>
    <w:rsid w:val="002F3FCE"/>
    <w:rsid w:val="002F6496"/>
    <w:rsid w:val="002F6EB4"/>
    <w:rsid w:val="002F725F"/>
    <w:rsid w:val="00300481"/>
    <w:rsid w:val="00301978"/>
    <w:rsid w:val="0030332C"/>
    <w:rsid w:val="00304AF7"/>
    <w:rsid w:val="003051C2"/>
    <w:rsid w:val="003056DE"/>
    <w:rsid w:val="00312296"/>
    <w:rsid w:val="00312D28"/>
    <w:rsid w:val="00312D5E"/>
    <w:rsid w:val="00314F0E"/>
    <w:rsid w:val="0031653E"/>
    <w:rsid w:val="00320222"/>
    <w:rsid w:val="00320507"/>
    <w:rsid w:val="00321901"/>
    <w:rsid w:val="00321D8E"/>
    <w:rsid w:val="003228F6"/>
    <w:rsid w:val="00324A11"/>
    <w:rsid w:val="00325894"/>
    <w:rsid w:val="00325928"/>
    <w:rsid w:val="00330B5C"/>
    <w:rsid w:val="00331043"/>
    <w:rsid w:val="0033244A"/>
    <w:rsid w:val="00332863"/>
    <w:rsid w:val="00332FB4"/>
    <w:rsid w:val="00333B3E"/>
    <w:rsid w:val="00334905"/>
    <w:rsid w:val="00335729"/>
    <w:rsid w:val="003357D8"/>
    <w:rsid w:val="00335EBA"/>
    <w:rsid w:val="0033684D"/>
    <w:rsid w:val="0033704E"/>
    <w:rsid w:val="00337B42"/>
    <w:rsid w:val="00337E41"/>
    <w:rsid w:val="00340421"/>
    <w:rsid w:val="00341B42"/>
    <w:rsid w:val="003433D4"/>
    <w:rsid w:val="0034348F"/>
    <w:rsid w:val="00344383"/>
    <w:rsid w:val="00345917"/>
    <w:rsid w:val="00347A34"/>
    <w:rsid w:val="00352B3B"/>
    <w:rsid w:val="003550AC"/>
    <w:rsid w:val="00356653"/>
    <w:rsid w:val="0035743F"/>
    <w:rsid w:val="00357BE2"/>
    <w:rsid w:val="00357C22"/>
    <w:rsid w:val="00360D4D"/>
    <w:rsid w:val="0036170C"/>
    <w:rsid w:val="00362300"/>
    <w:rsid w:val="003661BB"/>
    <w:rsid w:val="0036647D"/>
    <w:rsid w:val="00366E0F"/>
    <w:rsid w:val="00366F43"/>
    <w:rsid w:val="003676EB"/>
    <w:rsid w:val="0037239C"/>
    <w:rsid w:val="00372B1F"/>
    <w:rsid w:val="003731AA"/>
    <w:rsid w:val="00377134"/>
    <w:rsid w:val="00381A72"/>
    <w:rsid w:val="00381A89"/>
    <w:rsid w:val="0038299A"/>
    <w:rsid w:val="00382DEE"/>
    <w:rsid w:val="0038309D"/>
    <w:rsid w:val="00383D10"/>
    <w:rsid w:val="00384676"/>
    <w:rsid w:val="00385B39"/>
    <w:rsid w:val="00390857"/>
    <w:rsid w:val="00390E5D"/>
    <w:rsid w:val="00391351"/>
    <w:rsid w:val="003915ED"/>
    <w:rsid w:val="00392407"/>
    <w:rsid w:val="0039318C"/>
    <w:rsid w:val="003976D4"/>
    <w:rsid w:val="003A08AB"/>
    <w:rsid w:val="003A21A2"/>
    <w:rsid w:val="003A2808"/>
    <w:rsid w:val="003A2907"/>
    <w:rsid w:val="003A4BF3"/>
    <w:rsid w:val="003A4FBA"/>
    <w:rsid w:val="003A619C"/>
    <w:rsid w:val="003A62E6"/>
    <w:rsid w:val="003A6626"/>
    <w:rsid w:val="003A6BA5"/>
    <w:rsid w:val="003B2296"/>
    <w:rsid w:val="003B34A6"/>
    <w:rsid w:val="003B3C27"/>
    <w:rsid w:val="003B3CBE"/>
    <w:rsid w:val="003B420D"/>
    <w:rsid w:val="003B625C"/>
    <w:rsid w:val="003B652C"/>
    <w:rsid w:val="003B7922"/>
    <w:rsid w:val="003B7E9A"/>
    <w:rsid w:val="003C04C1"/>
    <w:rsid w:val="003C1D6F"/>
    <w:rsid w:val="003C24E4"/>
    <w:rsid w:val="003C5589"/>
    <w:rsid w:val="003C6C16"/>
    <w:rsid w:val="003C7262"/>
    <w:rsid w:val="003D158F"/>
    <w:rsid w:val="003D1885"/>
    <w:rsid w:val="003D28ED"/>
    <w:rsid w:val="003D3244"/>
    <w:rsid w:val="003D44AD"/>
    <w:rsid w:val="003D4B6E"/>
    <w:rsid w:val="003D5870"/>
    <w:rsid w:val="003D5C3D"/>
    <w:rsid w:val="003D6656"/>
    <w:rsid w:val="003D794D"/>
    <w:rsid w:val="003E3058"/>
    <w:rsid w:val="003E36FE"/>
    <w:rsid w:val="003E470E"/>
    <w:rsid w:val="003E4768"/>
    <w:rsid w:val="003E604C"/>
    <w:rsid w:val="003E76A9"/>
    <w:rsid w:val="003E7C01"/>
    <w:rsid w:val="003F0809"/>
    <w:rsid w:val="003F278D"/>
    <w:rsid w:val="003F3780"/>
    <w:rsid w:val="003F6847"/>
    <w:rsid w:val="003F6A8C"/>
    <w:rsid w:val="003F72A8"/>
    <w:rsid w:val="003F755C"/>
    <w:rsid w:val="003F7BB3"/>
    <w:rsid w:val="00400C2E"/>
    <w:rsid w:val="00401A88"/>
    <w:rsid w:val="00405AC1"/>
    <w:rsid w:val="00405FC6"/>
    <w:rsid w:val="00406981"/>
    <w:rsid w:val="00406F01"/>
    <w:rsid w:val="00410820"/>
    <w:rsid w:val="004126FF"/>
    <w:rsid w:val="00413687"/>
    <w:rsid w:val="00416D50"/>
    <w:rsid w:val="00416FD5"/>
    <w:rsid w:val="00417358"/>
    <w:rsid w:val="00417772"/>
    <w:rsid w:val="00417FEF"/>
    <w:rsid w:val="00420028"/>
    <w:rsid w:val="00420E6A"/>
    <w:rsid w:val="00425A9E"/>
    <w:rsid w:val="0042685C"/>
    <w:rsid w:val="00426D6B"/>
    <w:rsid w:val="00427DB9"/>
    <w:rsid w:val="0043041B"/>
    <w:rsid w:val="00430D55"/>
    <w:rsid w:val="004314F5"/>
    <w:rsid w:val="00431A39"/>
    <w:rsid w:val="00431DCB"/>
    <w:rsid w:val="00431E6C"/>
    <w:rsid w:val="00433121"/>
    <w:rsid w:val="00433CE7"/>
    <w:rsid w:val="0043497B"/>
    <w:rsid w:val="00436B20"/>
    <w:rsid w:val="004376B0"/>
    <w:rsid w:val="00437F86"/>
    <w:rsid w:val="0044041F"/>
    <w:rsid w:val="0044115A"/>
    <w:rsid w:val="00441EB7"/>
    <w:rsid w:val="004424CE"/>
    <w:rsid w:val="00442E35"/>
    <w:rsid w:val="00450F8D"/>
    <w:rsid w:val="0045186D"/>
    <w:rsid w:val="00452738"/>
    <w:rsid w:val="00454123"/>
    <w:rsid w:val="00455026"/>
    <w:rsid w:val="00455362"/>
    <w:rsid w:val="00456091"/>
    <w:rsid w:val="004575AD"/>
    <w:rsid w:val="00457D2F"/>
    <w:rsid w:val="00461664"/>
    <w:rsid w:val="0046226C"/>
    <w:rsid w:val="00463873"/>
    <w:rsid w:val="00465A77"/>
    <w:rsid w:val="00466321"/>
    <w:rsid w:val="00467690"/>
    <w:rsid w:val="00470368"/>
    <w:rsid w:val="004705EC"/>
    <w:rsid w:val="004718B7"/>
    <w:rsid w:val="00472E31"/>
    <w:rsid w:val="00473C5F"/>
    <w:rsid w:val="00474C91"/>
    <w:rsid w:val="00475F70"/>
    <w:rsid w:val="00476E99"/>
    <w:rsid w:val="00480054"/>
    <w:rsid w:val="00480512"/>
    <w:rsid w:val="0048218D"/>
    <w:rsid w:val="00483643"/>
    <w:rsid w:val="00484048"/>
    <w:rsid w:val="00484B9B"/>
    <w:rsid w:val="004855F6"/>
    <w:rsid w:val="0048661E"/>
    <w:rsid w:val="00486F4F"/>
    <w:rsid w:val="00491411"/>
    <w:rsid w:val="0049414F"/>
    <w:rsid w:val="00494235"/>
    <w:rsid w:val="00494670"/>
    <w:rsid w:val="0049581C"/>
    <w:rsid w:val="00495979"/>
    <w:rsid w:val="004962D8"/>
    <w:rsid w:val="004966EB"/>
    <w:rsid w:val="00496D70"/>
    <w:rsid w:val="004A3823"/>
    <w:rsid w:val="004A3E7D"/>
    <w:rsid w:val="004A5209"/>
    <w:rsid w:val="004A570E"/>
    <w:rsid w:val="004A59C5"/>
    <w:rsid w:val="004B1D6F"/>
    <w:rsid w:val="004B3455"/>
    <w:rsid w:val="004B3856"/>
    <w:rsid w:val="004B3DBA"/>
    <w:rsid w:val="004B421F"/>
    <w:rsid w:val="004B57CA"/>
    <w:rsid w:val="004B6950"/>
    <w:rsid w:val="004C1563"/>
    <w:rsid w:val="004C225C"/>
    <w:rsid w:val="004C43D0"/>
    <w:rsid w:val="004C4773"/>
    <w:rsid w:val="004C6ADB"/>
    <w:rsid w:val="004C7C86"/>
    <w:rsid w:val="004D2511"/>
    <w:rsid w:val="004D3FBF"/>
    <w:rsid w:val="004D519F"/>
    <w:rsid w:val="004D62B6"/>
    <w:rsid w:val="004D655D"/>
    <w:rsid w:val="004E09FB"/>
    <w:rsid w:val="004E1B99"/>
    <w:rsid w:val="004E41D8"/>
    <w:rsid w:val="004E4B85"/>
    <w:rsid w:val="004E4ED5"/>
    <w:rsid w:val="004E519E"/>
    <w:rsid w:val="004E6946"/>
    <w:rsid w:val="004E7384"/>
    <w:rsid w:val="004F0C3F"/>
    <w:rsid w:val="004F1AD8"/>
    <w:rsid w:val="004F2156"/>
    <w:rsid w:val="004F3D89"/>
    <w:rsid w:val="004F3FF2"/>
    <w:rsid w:val="004F6A41"/>
    <w:rsid w:val="00503283"/>
    <w:rsid w:val="005039CB"/>
    <w:rsid w:val="00504B7C"/>
    <w:rsid w:val="00504D84"/>
    <w:rsid w:val="0050558F"/>
    <w:rsid w:val="00506286"/>
    <w:rsid w:val="00510813"/>
    <w:rsid w:val="00510D96"/>
    <w:rsid w:val="005110AF"/>
    <w:rsid w:val="00511990"/>
    <w:rsid w:val="005119E1"/>
    <w:rsid w:val="00511DE0"/>
    <w:rsid w:val="005131DB"/>
    <w:rsid w:val="0051473B"/>
    <w:rsid w:val="00514870"/>
    <w:rsid w:val="00514B9B"/>
    <w:rsid w:val="00515481"/>
    <w:rsid w:val="005179DA"/>
    <w:rsid w:val="00517F02"/>
    <w:rsid w:val="005200BA"/>
    <w:rsid w:val="00520964"/>
    <w:rsid w:val="00520C5E"/>
    <w:rsid w:val="005230D1"/>
    <w:rsid w:val="00524303"/>
    <w:rsid w:val="00525311"/>
    <w:rsid w:val="005258A2"/>
    <w:rsid w:val="0052793B"/>
    <w:rsid w:val="0053025C"/>
    <w:rsid w:val="00532F06"/>
    <w:rsid w:val="00533B7C"/>
    <w:rsid w:val="00535492"/>
    <w:rsid w:val="00535F3A"/>
    <w:rsid w:val="00537788"/>
    <w:rsid w:val="00537C37"/>
    <w:rsid w:val="005401AE"/>
    <w:rsid w:val="0054069B"/>
    <w:rsid w:val="0054241E"/>
    <w:rsid w:val="00542E07"/>
    <w:rsid w:val="0054313F"/>
    <w:rsid w:val="00545424"/>
    <w:rsid w:val="00551D71"/>
    <w:rsid w:val="00554A7B"/>
    <w:rsid w:val="0055572C"/>
    <w:rsid w:val="00555A11"/>
    <w:rsid w:val="00556206"/>
    <w:rsid w:val="0055773D"/>
    <w:rsid w:val="0056106A"/>
    <w:rsid w:val="00562008"/>
    <w:rsid w:val="00562A25"/>
    <w:rsid w:val="00564E2B"/>
    <w:rsid w:val="005656EE"/>
    <w:rsid w:val="00565A57"/>
    <w:rsid w:val="005663C1"/>
    <w:rsid w:val="005701D6"/>
    <w:rsid w:val="00570D91"/>
    <w:rsid w:val="0057129E"/>
    <w:rsid w:val="005720AE"/>
    <w:rsid w:val="00574C58"/>
    <w:rsid w:val="00574CB1"/>
    <w:rsid w:val="00575E34"/>
    <w:rsid w:val="00575EAA"/>
    <w:rsid w:val="0058312C"/>
    <w:rsid w:val="00583F73"/>
    <w:rsid w:val="00585BE4"/>
    <w:rsid w:val="00587D27"/>
    <w:rsid w:val="00591113"/>
    <w:rsid w:val="00592A2E"/>
    <w:rsid w:val="00592F74"/>
    <w:rsid w:val="005940CC"/>
    <w:rsid w:val="00594600"/>
    <w:rsid w:val="005948D9"/>
    <w:rsid w:val="00594D77"/>
    <w:rsid w:val="005969E4"/>
    <w:rsid w:val="0059721C"/>
    <w:rsid w:val="00597A43"/>
    <w:rsid w:val="005A06B7"/>
    <w:rsid w:val="005A0A34"/>
    <w:rsid w:val="005A1759"/>
    <w:rsid w:val="005A17DA"/>
    <w:rsid w:val="005A3055"/>
    <w:rsid w:val="005A5876"/>
    <w:rsid w:val="005A6515"/>
    <w:rsid w:val="005A68A7"/>
    <w:rsid w:val="005A6C60"/>
    <w:rsid w:val="005A6C65"/>
    <w:rsid w:val="005B4091"/>
    <w:rsid w:val="005B4513"/>
    <w:rsid w:val="005B46A8"/>
    <w:rsid w:val="005B628E"/>
    <w:rsid w:val="005B7D8A"/>
    <w:rsid w:val="005C088A"/>
    <w:rsid w:val="005C0A2C"/>
    <w:rsid w:val="005C2DAC"/>
    <w:rsid w:val="005C5D25"/>
    <w:rsid w:val="005C6042"/>
    <w:rsid w:val="005C6BAC"/>
    <w:rsid w:val="005D049F"/>
    <w:rsid w:val="005D1EEA"/>
    <w:rsid w:val="005D36AB"/>
    <w:rsid w:val="005D546F"/>
    <w:rsid w:val="005D5EEE"/>
    <w:rsid w:val="005D5EF3"/>
    <w:rsid w:val="005D7853"/>
    <w:rsid w:val="005E068E"/>
    <w:rsid w:val="005E1231"/>
    <w:rsid w:val="005E36E4"/>
    <w:rsid w:val="005E442B"/>
    <w:rsid w:val="005E722B"/>
    <w:rsid w:val="005F3405"/>
    <w:rsid w:val="005F3417"/>
    <w:rsid w:val="005F481F"/>
    <w:rsid w:val="005F5688"/>
    <w:rsid w:val="005F6CF8"/>
    <w:rsid w:val="005F7519"/>
    <w:rsid w:val="00600266"/>
    <w:rsid w:val="00600358"/>
    <w:rsid w:val="00601E96"/>
    <w:rsid w:val="00601EB0"/>
    <w:rsid w:val="0060307A"/>
    <w:rsid w:val="00603E9C"/>
    <w:rsid w:val="006049F4"/>
    <w:rsid w:val="00605024"/>
    <w:rsid w:val="00606E8F"/>
    <w:rsid w:val="00607999"/>
    <w:rsid w:val="006110F0"/>
    <w:rsid w:val="00611389"/>
    <w:rsid w:val="00611615"/>
    <w:rsid w:val="00613578"/>
    <w:rsid w:val="00613E60"/>
    <w:rsid w:val="0061420B"/>
    <w:rsid w:val="00617CC3"/>
    <w:rsid w:val="00622050"/>
    <w:rsid w:val="0062316D"/>
    <w:rsid w:val="006249B7"/>
    <w:rsid w:val="00624A11"/>
    <w:rsid w:val="00626573"/>
    <w:rsid w:val="00627E6B"/>
    <w:rsid w:val="00631193"/>
    <w:rsid w:val="006336F1"/>
    <w:rsid w:val="00636494"/>
    <w:rsid w:val="006377A6"/>
    <w:rsid w:val="00637A3D"/>
    <w:rsid w:val="006411EF"/>
    <w:rsid w:val="00641FD6"/>
    <w:rsid w:val="006443A3"/>
    <w:rsid w:val="006451A9"/>
    <w:rsid w:val="00645D82"/>
    <w:rsid w:val="0065034B"/>
    <w:rsid w:val="00650412"/>
    <w:rsid w:val="00651CFF"/>
    <w:rsid w:val="00651F8A"/>
    <w:rsid w:val="006536C6"/>
    <w:rsid w:val="00653B2A"/>
    <w:rsid w:val="00662892"/>
    <w:rsid w:val="0066333B"/>
    <w:rsid w:val="00663B98"/>
    <w:rsid w:val="0066400F"/>
    <w:rsid w:val="00665422"/>
    <w:rsid w:val="006658ED"/>
    <w:rsid w:val="0066661F"/>
    <w:rsid w:val="00666A06"/>
    <w:rsid w:val="0066749B"/>
    <w:rsid w:val="006676FA"/>
    <w:rsid w:val="006748B8"/>
    <w:rsid w:val="006765A1"/>
    <w:rsid w:val="00676907"/>
    <w:rsid w:val="006775C3"/>
    <w:rsid w:val="00680282"/>
    <w:rsid w:val="00681856"/>
    <w:rsid w:val="00683C5A"/>
    <w:rsid w:val="00683D20"/>
    <w:rsid w:val="00687D33"/>
    <w:rsid w:val="006901C2"/>
    <w:rsid w:val="0069290A"/>
    <w:rsid w:val="00692977"/>
    <w:rsid w:val="006933EA"/>
    <w:rsid w:val="00695115"/>
    <w:rsid w:val="00695159"/>
    <w:rsid w:val="006960D6"/>
    <w:rsid w:val="0069775A"/>
    <w:rsid w:val="00697813"/>
    <w:rsid w:val="006A0863"/>
    <w:rsid w:val="006A2D8A"/>
    <w:rsid w:val="006A3044"/>
    <w:rsid w:val="006A30A5"/>
    <w:rsid w:val="006A369D"/>
    <w:rsid w:val="006A3EE8"/>
    <w:rsid w:val="006A52BB"/>
    <w:rsid w:val="006A583C"/>
    <w:rsid w:val="006A717A"/>
    <w:rsid w:val="006A72BF"/>
    <w:rsid w:val="006B03F2"/>
    <w:rsid w:val="006B0FC7"/>
    <w:rsid w:val="006B31C3"/>
    <w:rsid w:val="006B37DC"/>
    <w:rsid w:val="006B40B1"/>
    <w:rsid w:val="006B4F68"/>
    <w:rsid w:val="006B719F"/>
    <w:rsid w:val="006B7B96"/>
    <w:rsid w:val="006C0180"/>
    <w:rsid w:val="006C0592"/>
    <w:rsid w:val="006C06D0"/>
    <w:rsid w:val="006C1022"/>
    <w:rsid w:val="006C2625"/>
    <w:rsid w:val="006C265B"/>
    <w:rsid w:val="006C272E"/>
    <w:rsid w:val="006C356C"/>
    <w:rsid w:val="006C528B"/>
    <w:rsid w:val="006C5479"/>
    <w:rsid w:val="006C5962"/>
    <w:rsid w:val="006D13B5"/>
    <w:rsid w:val="006D183A"/>
    <w:rsid w:val="006D2D50"/>
    <w:rsid w:val="006D44E8"/>
    <w:rsid w:val="006D45D6"/>
    <w:rsid w:val="006E0843"/>
    <w:rsid w:val="006E12FF"/>
    <w:rsid w:val="006E1CF9"/>
    <w:rsid w:val="006E2D69"/>
    <w:rsid w:val="006E45C0"/>
    <w:rsid w:val="006E52E9"/>
    <w:rsid w:val="006E607E"/>
    <w:rsid w:val="006E7088"/>
    <w:rsid w:val="006E71BA"/>
    <w:rsid w:val="006E767B"/>
    <w:rsid w:val="006F0DA6"/>
    <w:rsid w:val="006F2E78"/>
    <w:rsid w:val="006F599B"/>
    <w:rsid w:val="006F69AF"/>
    <w:rsid w:val="007023B7"/>
    <w:rsid w:val="0070395E"/>
    <w:rsid w:val="007039F5"/>
    <w:rsid w:val="00703EF6"/>
    <w:rsid w:val="0070576F"/>
    <w:rsid w:val="00706C5D"/>
    <w:rsid w:val="00710451"/>
    <w:rsid w:val="00710484"/>
    <w:rsid w:val="00712678"/>
    <w:rsid w:val="00714049"/>
    <w:rsid w:val="0071410C"/>
    <w:rsid w:val="00714F9E"/>
    <w:rsid w:val="007151FF"/>
    <w:rsid w:val="007152EE"/>
    <w:rsid w:val="007154B5"/>
    <w:rsid w:val="00715F3E"/>
    <w:rsid w:val="0071703F"/>
    <w:rsid w:val="0072076A"/>
    <w:rsid w:val="0072146D"/>
    <w:rsid w:val="00723131"/>
    <w:rsid w:val="00725576"/>
    <w:rsid w:val="007255DF"/>
    <w:rsid w:val="00727397"/>
    <w:rsid w:val="00727F59"/>
    <w:rsid w:val="00732922"/>
    <w:rsid w:val="00733655"/>
    <w:rsid w:val="00734335"/>
    <w:rsid w:val="007370E0"/>
    <w:rsid w:val="00737FA7"/>
    <w:rsid w:val="00741616"/>
    <w:rsid w:val="00742B78"/>
    <w:rsid w:val="007449C0"/>
    <w:rsid w:val="00745073"/>
    <w:rsid w:val="00745ACF"/>
    <w:rsid w:val="00746630"/>
    <w:rsid w:val="00747FA3"/>
    <w:rsid w:val="00750288"/>
    <w:rsid w:val="00750D1E"/>
    <w:rsid w:val="0075162E"/>
    <w:rsid w:val="00754034"/>
    <w:rsid w:val="00754239"/>
    <w:rsid w:val="00755463"/>
    <w:rsid w:val="00756556"/>
    <w:rsid w:val="007570E6"/>
    <w:rsid w:val="00757CB0"/>
    <w:rsid w:val="00757F77"/>
    <w:rsid w:val="007618C4"/>
    <w:rsid w:val="00761AE6"/>
    <w:rsid w:val="0076431C"/>
    <w:rsid w:val="007658FC"/>
    <w:rsid w:val="00766C9C"/>
    <w:rsid w:val="00767980"/>
    <w:rsid w:val="00770B19"/>
    <w:rsid w:val="00771C06"/>
    <w:rsid w:val="00771CFD"/>
    <w:rsid w:val="00771E2B"/>
    <w:rsid w:val="007724A2"/>
    <w:rsid w:val="0077316C"/>
    <w:rsid w:val="0077463F"/>
    <w:rsid w:val="00774EE1"/>
    <w:rsid w:val="00775C4C"/>
    <w:rsid w:val="007813F4"/>
    <w:rsid w:val="0078143C"/>
    <w:rsid w:val="0078220B"/>
    <w:rsid w:val="0078291E"/>
    <w:rsid w:val="00782C10"/>
    <w:rsid w:val="007836EA"/>
    <w:rsid w:val="00784A7E"/>
    <w:rsid w:val="00784BEA"/>
    <w:rsid w:val="00784CDA"/>
    <w:rsid w:val="007906C4"/>
    <w:rsid w:val="007940EA"/>
    <w:rsid w:val="00795D52"/>
    <w:rsid w:val="007967E8"/>
    <w:rsid w:val="007A1AC4"/>
    <w:rsid w:val="007A2170"/>
    <w:rsid w:val="007A22BF"/>
    <w:rsid w:val="007A3323"/>
    <w:rsid w:val="007A3573"/>
    <w:rsid w:val="007A38E7"/>
    <w:rsid w:val="007A5417"/>
    <w:rsid w:val="007B028A"/>
    <w:rsid w:val="007B0EF7"/>
    <w:rsid w:val="007B193E"/>
    <w:rsid w:val="007B2603"/>
    <w:rsid w:val="007B277C"/>
    <w:rsid w:val="007B2D10"/>
    <w:rsid w:val="007B6B90"/>
    <w:rsid w:val="007B72B8"/>
    <w:rsid w:val="007B7A58"/>
    <w:rsid w:val="007C0B4A"/>
    <w:rsid w:val="007C1169"/>
    <w:rsid w:val="007C21B5"/>
    <w:rsid w:val="007C2D78"/>
    <w:rsid w:val="007C41F6"/>
    <w:rsid w:val="007C4A36"/>
    <w:rsid w:val="007C71F4"/>
    <w:rsid w:val="007D23C0"/>
    <w:rsid w:val="007D29CC"/>
    <w:rsid w:val="007D31F3"/>
    <w:rsid w:val="007D5E25"/>
    <w:rsid w:val="007D725F"/>
    <w:rsid w:val="007E07B6"/>
    <w:rsid w:val="007E0FE4"/>
    <w:rsid w:val="007E4196"/>
    <w:rsid w:val="007E49E4"/>
    <w:rsid w:val="007E4BD2"/>
    <w:rsid w:val="007E4CA5"/>
    <w:rsid w:val="007E50B4"/>
    <w:rsid w:val="007F024B"/>
    <w:rsid w:val="007F0745"/>
    <w:rsid w:val="007F142D"/>
    <w:rsid w:val="007F1938"/>
    <w:rsid w:val="007F27BA"/>
    <w:rsid w:val="007F39DC"/>
    <w:rsid w:val="007F4004"/>
    <w:rsid w:val="007F7783"/>
    <w:rsid w:val="00800ABE"/>
    <w:rsid w:val="00801393"/>
    <w:rsid w:val="0080163C"/>
    <w:rsid w:val="00801A4B"/>
    <w:rsid w:val="00802F40"/>
    <w:rsid w:val="00802F88"/>
    <w:rsid w:val="00803521"/>
    <w:rsid w:val="00803DEF"/>
    <w:rsid w:val="00804058"/>
    <w:rsid w:val="00805380"/>
    <w:rsid w:val="00805812"/>
    <w:rsid w:val="00806354"/>
    <w:rsid w:val="00807DDE"/>
    <w:rsid w:val="00807F23"/>
    <w:rsid w:val="0081168A"/>
    <w:rsid w:val="0081293E"/>
    <w:rsid w:val="00815465"/>
    <w:rsid w:val="0081635A"/>
    <w:rsid w:val="00817A20"/>
    <w:rsid w:val="00817E9A"/>
    <w:rsid w:val="0082015E"/>
    <w:rsid w:val="00821AA0"/>
    <w:rsid w:val="00822731"/>
    <w:rsid w:val="008229AC"/>
    <w:rsid w:val="00825E65"/>
    <w:rsid w:val="00826893"/>
    <w:rsid w:val="008306BD"/>
    <w:rsid w:val="00831A80"/>
    <w:rsid w:val="0083203E"/>
    <w:rsid w:val="008322BB"/>
    <w:rsid w:val="00833743"/>
    <w:rsid w:val="00833D3E"/>
    <w:rsid w:val="008340A4"/>
    <w:rsid w:val="008351E7"/>
    <w:rsid w:val="008353E4"/>
    <w:rsid w:val="00836896"/>
    <w:rsid w:val="00837DFE"/>
    <w:rsid w:val="00840560"/>
    <w:rsid w:val="00840705"/>
    <w:rsid w:val="00841C88"/>
    <w:rsid w:val="00844211"/>
    <w:rsid w:val="00844285"/>
    <w:rsid w:val="0084514E"/>
    <w:rsid w:val="008465B9"/>
    <w:rsid w:val="00850340"/>
    <w:rsid w:val="008518D4"/>
    <w:rsid w:val="00852F28"/>
    <w:rsid w:val="008536EC"/>
    <w:rsid w:val="00853DCF"/>
    <w:rsid w:val="00854721"/>
    <w:rsid w:val="00857A03"/>
    <w:rsid w:val="008615E9"/>
    <w:rsid w:val="008618C4"/>
    <w:rsid w:val="00861A9D"/>
    <w:rsid w:val="00863B59"/>
    <w:rsid w:val="00863F78"/>
    <w:rsid w:val="00866030"/>
    <w:rsid w:val="008664B7"/>
    <w:rsid w:val="008675C6"/>
    <w:rsid w:val="0087070B"/>
    <w:rsid w:val="0087135F"/>
    <w:rsid w:val="00871F4E"/>
    <w:rsid w:val="00872D94"/>
    <w:rsid w:val="00873DB7"/>
    <w:rsid w:val="00875D03"/>
    <w:rsid w:val="00875FB2"/>
    <w:rsid w:val="00876FDF"/>
    <w:rsid w:val="0087700D"/>
    <w:rsid w:val="00877879"/>
    <w:rsid w:val="00877DAA"/>
    <w:rsid w:val="00880364"/>
    <w:rsid w:val="008814F2"/>
    <w:rsid w:val="008816CE"/>
    <w:rsid w:val="008860C8"/>
    <w:rsid w:val="008862B0"/>
    <w:rsid w:val="00886CE3"/>
    <w:rsid w:val="00887C74"/>
    <w:rsid w:val="00887F58"/>
    <w:rsid w:val="00890301"/>
    <w:rsid w:val="00891592"/>
    <w:rsid w:val="00891E9E"/>
    <w:rsid w:val="0089235E"/>
    <w:rsid w:val="008940E1"/>
    <w:rsid w:val="008944C9"/>
    <w:rsid w:val="008951BB"/>
    <w:rsid w:val="0089696C"/>
    <w:rsid w:val="008A0A7B"/>
    <w:rsid w:val="008A28FC"/>
    <w:rsid w:val="008A2F68"/>
    <w:rsid w:val="008A4229"/>
    <w:rsid w:val="008A50FC"/>
    <w:rsid w:val="008B2033"/>
    <w:rsid w:val="008B2A43"/>
    <w:rsid w:val="008B4082"/>
    <w:rsid w:val="008B4FA6"/>
    <w:rsid w:val="008B5282"/>
    <w:rsid w:val="008B615C"/>
    <w:rsid w:val="008B6CBC"/>
    <w:rsid w:val="008B7059"/>
    <w:rsid w:val="008B7C17"/>
    <w:rsid w:val="008C06C7"/>
    <w:rsid w:val="008C100F"/>
    <w:rsid w:val="008C1B9A"/>
    <w:rsid w:val="008C2D01"/>
    <w:rsid w:val="008C40E6"/>
    <w:rsid w:val="008C485F"/>
    <w:rsid w:val="008C4A6E"/>
    <w:rsid w:val="008C576F"/>
    <w:rsid w:val="008C6FDD"/>
    <w:rsid w:val="008C7448"/>
    <w:rsid w:val="008C7A6A"/>
    <w:rsid w:val="008D0F7A"/>
    <w:rsid w:val="008D4906"/>
    <w:rsid w:val="008D68E4"/>
    <w:rsid w:val="008D6B7B"/>
    <w:rsid w:val="008E0506"/>
    <w:rsid w:val="008E0CFF"/>
    <w:rsid w:val="008E1FC9"/>
    <w:rsid w:val="008E2F33"/>
    <w:rsid w:val="008E53A4"/>
    <w:rsid w:val="008E5ABF"/>
    <w:rsid w:val="008E5D6B"/>
    <w:rsid w:val="008E76F0"/>
    <w:rsid w:val="008E7D76"/>
    <w:rsid w:val="008E7DF2"/>
    <w:rsid w:val="008F05E2"/>
    <w:rsid w:val="008F15FE"/>
    <w:rsid w:val="008F2D29"/>
    <w:rsid w:val="008F30F2"/>
    <w:rsid w:val="008F3195"/>
    <w:rsid w:val="008F5187"/>
    <w:rsid w:val="008F5F9C"/>
    <w:rsid w:val="008F60D8"/>
    <w:rsid w:val="00901086"/>
    <w:rsid w:val="00902133"/>
    <w:rsid w:val="009022E7"/>
    <w:rsid w:val="0090232C"/>
    <w:rsid w:val="00902727"/>
    <w:rsid w:val="00902851"/>
    <w:rsid w:val="00902B0D"/>
    <w:rsid w:val="0090312B"/>
    <w:rsid w:val="00903691"/>
    <w:rsid w:val="00905326"/>
    <w:rsid w:val="00905821"/>
    <w:rsid w:val="00906166"/>
    <w:rsid w:val="00906B21"/>
    <w:rsid w:val="00911266"/>
    <w:rsid w:val="0091736D"/>
    <w:rsid w:val="0092226F"/>
    <w:rsid w:val="00922A4B"/>
    <w:rsid w:val="00923926"/>
    <w:rsid w:val="00927B13"/>
    <w:rsid w:val="0093037A"/>
    <w:rsid w:val="00931FA9"/>
    <w:rsid w:val="009350CE"/>
    <w:rsid w:val="00935E51"/>
    <w:rsid w:val="00936C0A"/>
    <w:rsid w:val="00937170"/>
    <w:rsid w:val="00940324"/>
    <w:rsid w:val="00940A0D"/>
    <w:rsid w:val="0094154D"/>
    <w:rsid w:val="009421B0"/>
    <w:rsid w:val="009428ED"/>
    <w:rsid w:val="009461E9"/>
    <w:rsid w:val="00946A90"/>
    <w:rsid w:val="00947F17"/>
    <w:rsid w:val="0095155F"/>
    <w:rsid w:val="00952920"/>
    <w:rsid w:val="00952DEB"/>
    <w:rsid w:val="00954429"/>
    <w:rsid w:val="00954E1B"/>
    <w:rsid w:val="00955619"/>
    <w:rsid w:val="00955D6C"/>
    <w:rsid w:val="00955E74"/>
    <w:rsid w:val="009563CE"/>
    <w:rsid w:val="00957696"/>
    <w:rsid w:val="009609FB"/>
    <w:rsid w:val="00962E5E"/>
    <w:rsid w:val="00966747"/>
    <w:rsid w:val="00967394"/>
    <w:rsid w:val="0097160A"/>
    <w:rsid w:val="00972364"/>
    <w:rsid w:val="00972448"/>
    <w:rsid w:val="009733BB"/>
    <w:rsid w:val="009754D6"/>
    <w:rsid w:val="00976328"/>
    <w:rsid w:val="00976597"/>
    <w:rsid w:val="0097680D"/>
    <w:rsid w:val="009816C9"/>
    <w:rsid w:val="00982438"/>
    <w:rsid w:val="009833F5"/>
    <w:rsid w:val="00983BFA"/>
    <w:rsid w:val="0098404C"/>
    <w:rsid w:val="00985283"/>
    <w:rsid w:val="00986C90"/>
    <w:rsid w:val="00990B08"/>
    <w:rsid w:val="009910A5"/>
    <w:rsid w:val="00994361"/>
    <w:rsid w:val="009956BB"/>
    <w:rsid w:val="009957D0"/>
    <w:rsid w:val="00995992"/>
    <w:rsid w:val="00996CD7"/>
    <w:rsid w:val="009975B0"/>
    <w:rsid w:val="009A024F"/>
    <w:rsid w:val="009A03E5"/>
    <w:rsid w:val="009A0F3B"/>
    <w:rsid w:val="009A13B3"/>
    <w:rsid w:val="009A1BB4"/>
    <w:rsid w:val="009A2628"/>
    <w:rsid w:val="009A2FAD"/>
    <w:rsid w:val="009A3200"/>
    <w:rsid w:val="009A32D2"/>
    <w:rsid w:val="009A3C76"/>
    <w:rsid w:val="009A4C69"/>
    <w:rsid w:val="009A4F3B"/>
    <w:rsid w:val="009A6226"/>
    <w:rsid w:val="009B0897"/>
    <w:rsid w:val="009B096C"/>
    <w:rsid w:val="009B2A30"/>
    <w:rsid w:val="009B5417"/>
    <w:rsid w:val="009B7BD9"/>
    <w:rsid w:val="009C14D5"/>
    <w:rsid w:val="009C1DE6"/>
    <w:rsid w:val="009C65D3"/>
    <w:rsid w:val="009C7959"/>
    <w:rsid w:val="009C7DD5"/>
    <w:rsid w:val="009D239A"/>
    <w:rsid w:val="009D2753"/>
    <w:rsid w:val="009D2AC3"/>
    <w:rsid w:val="009D31F2"/>
    <w:rsid w:val="009D4789"/>
    <w:rsid w:val="009D49BB"/>
    <w:rsid w:val="009D571B"/>
    <w:rsid w:val="009D6AE0"/>
    <w:rsid w:val="009D6D61"/>
    <w:rsid w:val="009E0062"/>
    <w:rsid w:val="009E1876"/>
    <w:rsid w:val="009E227D"/>
    <w:rsid w:val="009E3478"/>
    <w:rsid w:val="009E3D73"/>
    <w:rsid w:val="009E43B2"/>
    <w:rsid w:val="009E5019"/>
    <w:rsid w:val="009F1E1E"/>
    <w:rsid w:val="009F2E6D"/>
    <w:rsid w:val="009F30FB"/>
    <w:rsid w:val="009F3326"/>
    <w:rsid w:val="009F4B87"/>
    <w:rsid w:val="009F4E99"/>
    <w:rsid w:val="009F7BA9"/>
    <w:rsid w:val="00A0458A"/>
    <w:rsid w:val="00A04F1B"/>
    <w:rsid w:val="00A0501B"/>
    <w:rsid w:val="00A06A53"/>
    <w:rsid w:val="00A10587"/>
    <w:rsid w:val="00A11512"/>
    <w:rsid w:val="00A11938"/>
    <w:rsid w:val="00A13AA7"/>
    <w:rsid w:val="00A142E9"/>
    <w:rsid w:val="00A14947"/>
    <w:rsid w:val="00A20BA0"/>
    <w:rsid w:val="00A20FF3"/>
    <w:rsid w:val="00A23214"/>
    <w:rsid w:val="00A263A0"/>
    <w:rsid w:val="00A30D0F"/>
    <w:rsid w:val="00A32A83"/>
    <w:rsid w:val="00A3457E"/>
    <w:rsid w:val="00A35C5B"/>
    <w:rsid w:val="00A368DB"/>
    <w:rsid w:val="00A375C4"/>
    <w:rsid w:val="00A40483"/>
    <w:rsid w:val="00A41A06"/>
    <w:rsid w:val="00A423AA"/>
    <w:rsid w:val="00A45B8C"/>
    <w:rsid w:val="00A47576"/>
    <w:rsid w:val="00A519EC"/>
    <w:rsid w:val="00A52584"/>
    <w:rsid w:val="00A53EC6"/>
    <w:rsid w:val="00A54824"/>
    <w:rsid w:val="00A55C0F"/>
    <w:rsid w:val="00A57766"/>
    <w:rsid w:val="00A60185"/>
    <w:rsid w:val="00A60C08"/>
    <w:rsid w:val="00A6277E"/>
    <w:rsid w:val="00A64640"/>
    <w:rsid w:val="00A6481E"/>
    <w:rsid w:val="00A6485C"/>
    <w:rsid w:val="00A65097"/>
    <w:rsid w:val="00A66037"/>
    <w:rsid w:val="00A72C59"/>
    <w:rsid w:val="00A73656"/>
    <w:rsid w:val="00A73775"/>
    <w:rsid w:val="00A75034"/>
    <w:rsid w:val="00A7521A"/>
    <w:rsid w:val="00A77A21"/>
    <w:rsid w:val="00A811A6"/>
    <w:rsid w:val="00A83AD0"/>
    <w:rsid w:val="00A84B31"/>
    <w:rsid w:val="00A85458"/>
    <w:rsid w:val="00A868B6"/>
    <w:rsid w:val="00A8713F"/>
    <w:rsid w:val="00A905F2"/>
    <w:rsid w:val="00A90BA1"/>
    <w:rsid w:val="00A90EE8"/>
    <w:rsid w:val="00A91510"/>
    <w:rsid w:val="00A93553"/>
    <w:rsid w:val="00A957A7"/>
    <w:rsid w:val="00A95AA5"/>
    <w:rsid w:val="00A96E11"/>
    <w:rsid w:val="00A97A9A"/>
    <w:rsid w:val="00AA0671"/>
    <w:rsid w:val="00AA14F1"/>
    <w:rsid w:val="00AA1B76"/>
    <w:rsid w:val="00AA20D8"/>
    <w:rsid w:val="00AA2531"/>
    <w:rsid w:val="00AA65EC"/>
    <w:rsid w:val="00AB1A06"/>
    <w:rsid w:val="00AB1DB5"/>
    <w:rsid w:val="00AB1E09"/>
    <w:rsid w:val="00AB5330"/>
    <w:rsid w:val="00AB5807"/>
    <w:rsid w:val="00AB5978"/>
    <w:rsid w:val="00AB65CD"/>
    <w:rsid w:val="00AB7383"/>
    <w:rsid w:val="00AB763B"/>
    <w:rsid w:val="00AB7747"/>
    <w:rsid w:val="00AB7A64"/>
    <w:rsid w:val="00AC14CE"/>
    <w:rsid w:val="00AC2A56"/>
    <w:rsid w:val="00AC401D"/>
    <w:rsid w:val="00AC413D"/>
    <w:rsid w:val="00AC4648"/>
    <w:rsid w:val="00AC54D9"/>
    <w:rsid w:val="00AD008E"/>
    <w:rsid w:val="00AD055E"/>
    <w:rsid w:val="00AD1390"/>
    <w:rsid w:val="00AD2D35"/>
    <w:rsid w:val="00AD30D3"/>
    <w:rsid w:val="00AD3A45"/>
    <w:rsid w:val="00AD3B65"/>
    <w:rsid w:val="00AD47A7"/>
    <w:rsid w:val="00AD49DA"/>
    <w:rsid w:val="00AD6515"/>
    <w:rsid w:val="00AD6995"/>
    <w:rsid w:val="00AD7EBB"/>
    <w:rsid w:val="00AE2054"/>
    <w:rsid w:val="00AE24AA"/>
    <w:rsid w:val="00AE3651"/>
    <w:rsid w:val="00AE3C57"/>
    <w:rsid w:val="00AE3CC9"/>
    <w:rsid w:val="00AE5EEC"/>
    <w:rsid w:val="00AF0260"/>
    <w:rsid w:val="00AF0CBF"/>
    <w:rsid w:val="00AF1A26"/>
    <w:rsid w:val="00AF257F"/>
    <w:rsid w:val="00AF3229"/>
    <w:rsid w:val="00AF33CF"/>
    <w:rsid w:val="00AF3BD3"/>
    <w:rsid w:val="00AF4D50"/>
    <w:rsid w:val="00AF5839"/>
    <w:rsid w:val="00AF6179"/>
    <w:rsid w:val="00AF6D75"/>
    <w:rsid w:val="00B004B0"/>
    <w:rsid w:val="00B016A6"/>
    <w:rsid w:val="00B0224C"/>
    <w:rsid w:val="00B02DAE"/>
    <w:rsid w:val="00B034AB"/>
    <w:rsid w:val="00B0568D"/>
    <w:rsid w:val="00B06844"/>
    <w:rsid w:val="00B07037"/>
    <w:rsid w:val="00B077EB"/>
    <w:rsid w:val="00B07CC5"/>
    <w:rsid w:val="00B117C4"/>
    <w:rsid w:val="00B11FA7"/>
    <w:rsid w:val="00B1295A"/>
    <w:rsid w:val="00B15F3C"/>
    <w:rsid w:val="00B164EB"/>
    <w:rsid w:val="00B16EE3"/>
    <w:rsid w:val="00B170B7"/>
    <w:rsid w:val="00B20A45"/>
    <w:rsid w:val="00B214DE"/>
    <w:rsid w:val="00B222F6"/>
    <w:rsid w:val="00B22C5C"/>
    <w:rsid w:val="00B24F30"/>
    <w:rsid w:val="00B270C6"/>
    <w:rsid w:val="00B300DB"/>
    <w:rsid w:val="00B3067E"/>
    <w:rsid w:val="00B308AE"/>
    <w:rsid w:val="00B30BFA"/>
    <w:rsid w:val="00B3150D"/>
    <w:rsid w:val="00B31ABF"/>
    <w:rsid w:val="00B33BE3"/>
    <w:rsid w:val="00B35799"/>
    <w:rsid w:val="00B40257"/>
    <w:rsid w:val="00B41324"/>
    <w:rsid w:val="00B418F7"/>
    <w:rsid w:val="00B45C4F"/>
    <w:rsid w:val="00B45D05"/>
    <w:rsid w:val="00B47D59"/>
    <w:rsid w:val="00B52277"/>
    <w:rsid w:val="00B53479"/>
    <w:rsid w:val="00B53B5D"/>
    <w:rsid w:val="00B5457E"/>
    <w:rsid w:val="00B5534B"/>
    <w:rsid w:val="00B565B8"/>
    <w:rsid w:val="00B56A31"/>
    <w:rsid w:val="00B6055E"/>
    <w:rsid w:val="00B60713"/>
    <w:rsid w:val="00B6084B"/>
    <w:rsid w:val="00B60E14"/>
    <w:rsid w:val="00B617A5"/>
    <w:rsid w:val="00B6317D"/>
    <w:rsid w:val="00B64B60"/>
    <w:rsid w:val="00B65225"/>
    <w:rsid w:val="00B65B11"/>
    <w:rsid w:val="00B66AA4"/>
    <w:rsid w:val="00B66C65"/>
    <w:rsid w:val="00B672DE"/>
    <w:rsid w:val="00B7479A"/>
    <w:rsid w:val="00B74FB7"/>
    <w:rsid w:val="00B76A16"/>
    <w:rsid w:val="00B7723F"/>
    <w:rsid w:val="00B80534"/>
    <w:rsid w:val="00B81982"/>
    <w:rsid w:val="00B82EF1"/>
    <w:rsid w:val="00B8303E"/>
    <w:rsid w:val="00B842B1"/>
    <w:rsid w:val="00B8433C"/>
    <w:rsid w:val="00B86930"/>
    <w:rsid w:val="00B86E0E"/>
    <w:rsid w:val="00B86E9D"/>
    <w:rsid w:val="00B8725E"/>
    <w:rsid w:val="00B87491"/>
    <w:rsid w:val="00B87523"/>
    <w:rsid w:val="00B91BEE"/>
    <w:rsid w:val="00B9221B"/>
    <w:rsid w:val="00B9274C"/>
    <w:rsid w:val="00B92D96"/>
    <w:rsid w:val="00B932E0"/>
    <w:rsid w:val="00B93CB7"/>
    <w:rsid w:val="00B9635A"/>
    <w:rsid w:val="00B97283"/>
    <w:rsid w:val="00BA0C29"/>
    <w:rsid w:val="00BA2023"/>
    <w:rsid w:val="00BA29E9"/>
    <w:rsid w:val="00BA4D52"/>
    <w:rsid w:val="00BA649F"/>
    <w:rsid w:val="00BA6642"/>
    <w:rsid w:val="00BA7142"/>
    <w:rsid w:val="00BA7D5C"/>
    <w:rsid w:val="00BB0A66"/>
    <w:rsid w:val="00BB15ED"/>
    <w:rsid w:val="00BB2044"/>
    <w:rsid w:val="00BB237C"/>
    <w:rsid w:val="00BB2A76"/>
    <w:rsid w:val="00BB3A85"/>
    <w:rsid w:val="00BB41A3"/>
    <w:rsid w:val="00BC22C1"/>
    <w:rsid w:val="00BC3143"/>
    <w:rsid w:val="00BC32DC"/>
    <w:rsid w:val="00BC35B6"/>
    <w:rsid w:val="00BC4816"/>
    <w:rsid w:val="00BC795B"/>
    <w:rsid w:val="00BC7BE2"/>
    <w:rsid w:val="00BD04BA"/>
    <w:rsid w:val="00BD0816"/>
    <w:rsid w:val="00BD1B51"/>
    <w:rsid w:val="00BD2267"/>
    <w:rsid w:val="00BD22CA"/>
    <w:rsid w:val="00BD414D"/>
    <w:rsid w:val="00BD4596"/>
    <w:rsid w:val="00BD4BA8"/>
    <w:rsid w:val="00BD6880"/>
    <w:rsid w:val="00BD6DF6"/>
    <w:rsid w:val="00BE12B3"/>
    <w:rsid w:val="00BE1405"/>
    <w:rsid w:val="00BE1712"/>
    <w:rsid w:val="00BE3021"/>
    <w:rsid w:val="00BE312D"/>
    <w:rsid w:val="00BE4D78"/>
    <w:rsid w:val="00BE5118"/>
    <w:rsid w:val="00BE7B1E"/>
    <w:rsid w:val="00BF0894"/>
    <w:rsid w:val="00BF1436"/>
    <w:rsid w:val="00BF1C20"/>
    <w:rsid w:val="00BF2FB7"/>
    <w:rsid w:val="00BF3104"/>
    <w:rsid w:val="00BF3779"/>
    <w:rsid w:val="00BF449E"/>
    <w:rsid w:val="00BF4AA3"/>
    <w:rsid w:val="00BF6AAE"/>
    <w:rsid w:val="00BF74E6"/>
    <w:rsid w:val="00C0021A"/>
    <w:rsid w:val="00C016D6"/>
    <w:rsid w:val="00C029CC"/>
    <w:rsid w:val="00C03477"/>
    <w:rsid w:val="00C034F2"/>
    <w:rsid w:val="00C05736"/>
    <w:rsid w:val="00C06B02"/>
    <w:rsid w:val="00C10578"/>
    <w:rsid w:val="00C10E0B"/>
    <w:rsid w:val="00C11242"/>
    <w:rsid w:val="00C135BC"/>
    <w:rsid w:val="00C14051"/>
    <w:rsid w:val="00C14375"/>
    <w:rsid w:val="00C15005"/>
    <w:rsid w:val="00C15537"/>
    <w:rsid w:val="00C156A4"/>
    <w:rsid w:val="00C15C95"/>
    <w:rsid w:val="00C15CA2"/>
    <w:rsid w:val="00C16371"/>
    <w:rsid w:val="00C22393"/>
    <w:rsid w:val="00C22767"/>
    <w:rsid w:val="00C2361B"/>
    <w:rsid w:val="00C2596A"/>
    <w:rsid w:val="00C26939"/>
    <w:rsid w:val="00C27537"/>
    <w:rsid w:val="00C315D4"/>
    <w:rsid w:val="00C328FE"/>
    <w:rsid w:val="00C33507"/>
    <w:rsid w:val="00C34174"/>
    <w:rsid w:val="00C34AFB"/>
    <w:rsid w:val="00C359FF"/>
    <w:rsid w:val="00C36AF1"/>
    <w:rsid w:val="00C372B7"/>
    <w:rsid w:val="00C4409D"/>
    <w:rsid w:val="00C44C25"/>
    <w:rsid w:val="00C44E72"/>
    <w:rsid w:val="00C45A06"/>
    <w:rsid w:val="00C47E5B"/>
    <w:rsid w:val="00C515B5"/>
    <w:rsid w:val="00C5187C"/>
    <w:rsid w:val="00C52121"/>
    <w:rsid w:val="00C568EC"/>
    <w:rsid w:val="00C575A0"/>
    <w:rsid w:val="00C603FA"/>
    <w:rsid w:val="00C60A0E"/>
    <w:rsid w:val="00C61717"/>
    <w:rsid w:val="00C6180B"/>
    <w:rsid w:val="00C61E4B"/>
    <w:rsid w:val="00C62F02"/>
    <w:rsid w:val="00C63DB2"/>
    <w:rsid w:val="00C64BFF"/>
    <w:rsid w:val="00C66217"/>
    <w:rsid w:val="00C6664C"/>
    <w:rsid w:val="00C66F06"/>
    <w:rsid w:val="00C67391"/>
    <w:rsid w:val="00C679B2"/>
    <w:rsid w:val="00C704E9"/>
    <w:rsid w:val="00C726CC"/>
    <w:rsid w:val="00C738D2"/>
    <w:rsid w:val="00C73CFF"/>
    <w:rsid w:val="00C74BBC"/>
    <w:rsid w:val="00C74D6E"/>
    <w:rsid w:val="00C75086"/>
    <w:rsid w:val="00C7520C"/>
    <w:rsid w:val="00C75DAC"/>
    <w:rsid w:val="00C763C9"/>
    <w:rsid w:val="00C77E09"/>
    <w:rsid w:val="00C80057"/>
    <w:rsid w:val="00C80524"/>
    <w:rsid w:val="00C81292"/>
    <w:rsid w:val="00C81418"/>
    <w:rsid w:val="00C816D1"/>
    <w:rsid w:val="00C82232"/>
    <w:rsid w:val="00C82913"/>
    <w:rsid w:val="00C86E1B"/>
    <w:rsid w:val="00C902D0"/>
    <w:rsid w:val="00C904E5"/>
    <w:rsid w:val="00C90932"/>
    <w:rsid w:val="00C94823"/>
    <w:rsid w:val="00C951E5"/>
    <w:rsid w:val="00C972B1"/>
    <w:rsid w:val="00C97DC1"/>
    <w:rsid w:val="00CA08EA"/>
    <w:rsid w:val="00CA2CCE"/>
    <w:rsid w:val="00CA38B9"/>
    <w:rsid w:val="00CA43FD"/>
    <w:rsid w:val="00CA48E6"/>
    <w:rsid w:val="00CA64C1"/>
    <w:rsid w:val="00CA6522"/>
    <w:rsid w:val="00CA7EF8"/>
    <w:rsid w:val="00CB0E74"/>
    <w:rsid w:val="00CB1EBC"/>
    <w:rsid w:val="00CB23C6"/>
    <w:rsid w:val="00CB3B61"/>
    <w:rsid w:val="00CB5651"/>
    <w:rsid w:val="00CB6ED3"/>
    <w:rsid w:val="00CB72D7"/>
    <w:rsid w:val="00CC1D19"/>
    <w:rsid w:val="00CC28FC"/>
    <w:rsid w:val="00CC2DCC"/>
    <w:rsid w:val="00CC46CF"/>
    <w:rsid w:val="00CC489B"/>
    <w:rsid w:val="00CC4D80"/>
    <w:rsid w:val="00CC5916"/>
    <w:rsid w:val="00CC6309"/>
    <w:rsid w:val="00CC7077"/>
    <w:rsid w:val="00CC722D"/>
    <w:rsid w:val="00CC78A0"/>
    <w:rsid w:val="00CC7D89"/>
    <w:rsid w:val="00CD00B9"/>
    <w:rsid w:val="00CD2511"/>
    <w:rsid w:val="00CD2BCD"/>
    <w:rsid w:val="00CD373C"/>
    <w:rsid w:val="00CD3A4C"/>
    <w:rsid w:val="00CD3C55"/>
    <w:rsid w:val="00CD63AA"/>
    <w:rsid w:val="00CD76AE"/>
    <w:rsid w:val="00CD78ED"/>
    <w:rsid w:val="00CE0AB8"/>
    <w:rsid w:val="00CE10E9"/>
    <w:rsid w:val="00CE247A"/>
    <w:rsid w:val="00CE2910"/>
    <w:rsid w:val="00CE33E4"/>
    <w:rsid w:val="00CE36E7"/>
    <w:rsid w:val="00CE39AC"/>
    <w:rsid w:val="00CE3F7E"/>
    <w:rsid w:val="00CE4448"/>
    <w:rsid w:val="00CE48F1"/>
    <w:rsid w:val="00CE5393"/>
    <w:rsid w:val="00CE6468"/>
    <w:rsid w:val="00CE6642"/>
    <w:rsid w:val="00CF1194"/>
    <w:rsid w:val="00CF1CCF"/>
    <w:rsid w:val="00CF248C"/>
    <w:rsid w:val="00CF36BE"/>
    <w:rsid w:val="00CF535D"/>
    <w:rsid w:val="00CF539A"/>
    <w:rsid w:val="00CF5C5C"/>
    <w:rsid w:val="00CF6000"/>
    <w:rsid w:val="00CF6D12"/>
    <w:rsid w:val="00CF7773"/>
    <w:rsid w:val="00D003F3"/>
    <w:rsid w:val="00D02529"/>
    <w:rsid w:val="00D025DD"/>
    <w:rsid w:val="00D0364F"/>
    <w:rsid w:val="00D06834"/>
    <w:rsid w:val="00D11975"/>
    <w:rsid w:val="00D13FA6"/>
    <w:rsid w:val="00D145FB"/>
    <w:rsid w:val="00D15C32"/>
    <w:rsid w:val="00D17056"/>
    <w:rsid w:val="00D232EE"/>
    <w:rsid w:val="00D2355C"/>
    <w:rsid w:val="00D23F8D"/>
    <w:rsid w:val="00D26B44"/>
    <w:rsid w:val="00D2707D"/>
    <w:rsid w:val="00D271C9"/>
    <w:rsid w:val="00D308ED"/>
    <w:rsid w:val="00D31095"/>
    <w:rsid w:val="00D31129"/>
    <w:rsid w:val="00D31854"/>
    <w:rsid w:val="00D31990"/>
    <w:rsid w:val="00D32D74"/>
    <w:rsid w:val="00D33708"/>
    <w:rsid w:val="00D34EB3"/>
    <w:rsid w:val="00D36D86"/>
    <w:rsid w:val="00D40637"/>
    <w:rsid w:val="00D40855"/>
    <w:rsid w:val="00D41071"/>
    <w:rsid w:val="00D4133C"/>
    <w:rsid w:val="00D428AA"/>
    <w:rsid w:val="00D43B47"/>
    <w:rsid w:val="00D43FAA"/>
    <w:rsid w:val="00D44196"/>
    <w:rsid w:val="00D45DFE"/>
    <w:rsid w:val="00D46F1F"/>
    <w:rsid w:val="00D50A34"/>
    <w:rsid w:val="00D51DB4"/>
    <w:rsid w:val="00D521C5"/>
    <w:rsid w:val="00D5234E"/>
    <w:rsid w:val="00D53EFA"/>
    <w:rsid w:val="00D54A78"/>
    <w:rsid w:val="00D562D1"/>
    <w:rsid w:val="00D56A1F"/>
    <w:rsid w:val="00D61F3E"/>
    <w:rsid w:val="00D6231E"/>
    <w:rsid w:val="00D625D4"/>
    <w:rsid w:val="00D63D9C"/>
    <w:rsid w:val="00D640DA"/>
    <w:rsid w:val="00D64BC9"/>
    <w:rsid w:val="00D66BAE"/>
    <w:rsid w:val="00D67CE8"/>
    <w:rsid w:val="00D707D9"/>
    <w:rsid w:val="00D72170"/>
    <w:rsid w:val="00D72AAB"/>
    <w:rsid w:val="00D73CB8"/>
    <w:rsid w:val="00D74D37"/>
    <w:rsid w:val="00D75D7A"/>
    <w:rsid w:val="00D75DEF"/>
    <w:rsid w:val="00D76685"/>
    <w:rsid w:val="00D77CEA"/>
    <w:rsid w:val="00D802D4"/>
    <w:rsid w:val="00D81491"/>
    <w:rsid w:val="00D84B24"/>
    <w:rsid w:val="00D8573B"/>
    <w:rsid w:val="00D873D1"/>
    <w:rsid w:val="00D90F4E"/>
    <w:rsid w:val="00D91478"/>
    <w:rsid w:val="00D92443"/>
    <w:rsid w:val="00D94607"/>
    <w:rsid w:val="00D948ED"/>
    <w:rsid w:val="00D94A7C"/>
    <w:rsid w:val="00D94BE1"/>
    <w:rsid w:val="00D95896"/>
    <w:rsid w:val="00D9589D"/>
    <w:rsid w:val="00D96CED"/>
    <w:rsid w:val="00DA0316"/>
    <w:rsid w:val="00DA0A10"/>
    <w:rsid w:val="00DA1553"/>
    <w:rsid w:val="00DA25CE"/>
    <w:rsid w:val="00DA25EA"/>
    <w:rsid w:val="00DA27BB"/>
    <w:rsid w:val="00DA3203"/>
    <w:rsid w:val="00DA4B5B"/>
    <w:rsid w:val="00DA55B7"/>
    <w:rsid w:val="00DA55C2"/>
    <w:rsid w:val="00DA5C53"/>
    <w:rsid w:val="00DA5DCB"/>
    <w:rsid w:val="00DA63BE"/>
    <w:rsid w:val="00DA69ED"/>
    <w:rsid w:val="00DB03AF"/>
    <w:rsid w:val="00DB294D"/>
    <w:rsid w:val="00DB2983"/>
    <w:rsid w:val="00DB35E3"/>
    <w:rsid w:val="00DB526D"/>
    <w:rsid w:val="00DB563D"/>
    <w:rsid w:val="00DB61A2"/>
    <w:rsid w:val="00DC0FA9"/>
    <w:rsid w:val="00DC1257"/>
    <w:rsid w:val="00DC1513"/>
    <w:rsid w:val="00DC1CC0"/>
    <w:rsid w:val="00DC210A"/>
    <w:rsid w:val="00DC23E8"/>
    <w:rsid w:val="00DC258A"/>
    <w:rsid w:val="00DC3DC0"/>
    <w:rsid w:val="00DC5156"/>
    <w:rsid w:val="00DC5B2B"/>
    <w:rsid w:val="00DC60F4"/>
    <w:rsid w:val="00DC662C"/>
    <w:rsid w:val="00DC6D15"/>
    <w:rsid w:val="00DC6E38"/>
    <w:rsid w:val="00DC7611"/>
    <w:rsid w:val="00DC7BEB"/>
    <w:rsid w:val="00DD0E37"/>
    <w:rsid w:val="00DD318D"/>
    <w:rsid w:val="00DD41F7"/>
    <w:rsid w:val="00DD55CB"/>
    <w:rsid w:val="00DD7885"/>
    <w:rsid w:val="00DD78DA"/>
    <w:rsid w:val="00DD7CD3"/>
    <w:rsid w:val="00DE04DE"/>
    <w:rsid w:val="00DE47E6"/>
    <w:rsid w:val="00DE51CE"/>
    <w:rsid w:val="00DE51EE"/>
    <w:rsid w:val="00DE56CC"/>
    <w:rsid w:val="00DE6EA5"/>
    <w:rsid w:val="00DF1A00"/>
    <w:rsid w:val="00DF2E12"/>
    <w:rsid w:val="00DF3BF6"/>
    <w:rsid w:val="00DF514A"/>
    <w:rsid w:val="00DF5F6C"/>
    <w:rsid w:val="00DF6690"/>
    <w:rsid w:val="00DF669E"/>
    <w:rsid w:val="00DF6804"/>
    <w:rsid w:val="00E007BD"/>
    <w:rsid w:val="00E00994"/>
    <w:rsid w:val="00E01B60"/>
    <w:rsid w:val="00E02439"/>
    <w:rsid w:val="00E0358D"/>
    <w:rsid w:val="00E04323"/>
    <w:rsid w:val="00E045E6"/>
    <w:rsid w:val="00E070A2"/>
    <w:rsid w:val="00E07BC8"/>
    <w:rsid w:val="00E100B3"/>
    <w:rsid w:val="00E101E5"/>
    <w:rsid w:val="00E10254"/>
    <w:rsid w:val="00E13DE4"/>
    <w:rsid w:val="00E1565E"/>
    <w:rsid w:val="00E16568"/>
    <w:rsid w:val="00E1713D"/>
    <w:rsid w:val="00E17B6C"/>
    <w:rsid w:val="00E23281"/>
    <w:rsid w:val="00E23C97"/>
    <w:rsid w:val="00E247FC"/>
    <w:rsid w:val="00E2656A"/>
    <w:rsid w:val="00E30DC9"/>
    <w:rsid w:val="00E33D9B"/>
    <w:rsid w:val="00E34591"/>
    <w:rsid w:val="00E35180"/>
    <w:rsid w:val="00E35F79"/>
    <w:rsid w:val="00E3674F"/>
    <w:rsid w:val="00E412D0"/>
    <w:rsid w:val="00E42238"/>
    <w:rsid w:val="00E43127"/>
    <w:rsid w:val="00E44C5E"/>
    <w:rsid w:val="00E44F09"/>
    <w:rsid w:val="00E46564"/>
    <w:rsid w:val="00E46BDB"/>
    <w:rsid w:val="00E46E52"/>
    <w:rsid w:val="00E47E1F"/>
    <w:rsid w:val="00E5008E"/>
    <w:rsid w:val="00E508C5"/>
    <w:rsid w:val="00E51E77"/>
    <w:rsid w:val="00E53B55"/>
    <w:rsid w:val="00E54884"/>
    <w:rsid w:val="00E54B9D"/>
    <w:rsid w:val="00E560D0"/>
    <w:rsid w:val="00E56322"/>
    <w:rsid w:val="00E605FF"/>
    <w:rsid w:val="00E60982"/>
    <w:rsid w:val="00E612FC"/>
    <w:rsid w:val="00E6192F"/>
    <w:rsid w:val="00E62C62"/>
    <w:rsid w:val="00E62FEA"/>
    <w:rsid w:val="00E645F8"/>
    <w:rsid w:val="00E64A5D"/>
    <w:rsid w:val="00E65093"/>
    <w:rsid w:val="00E654C1"/>
    <w:rsid w:val="00E65D97"/>
    <w:rsid w:val="00E66E09"/>
    <w:rsid w:val="00E675E8"/>
    <w:rsid w:val="00E7053C"/>
    <w:rsid w:val="00E71177"/>
    <w:rsid w:val="00E71C19"/>
    <w:rsid w:val="00E72A5A"/>
    <w:rsid w:val="00E73354"/>
    <w:rsid w:val="00E76367"/>
    <w:rsid w:val="00E76413"/>
    <w:rsid w:val="00E7773E"/>
    <w:rsid w:val="00E777DC"/>
    <w:rsid w:val="00E851C1"/>
    <w:rsid w:val="00E869DE"/>
    <w:rsid w:val="00E879F4"/>
    <w:rsid w:val="00E90C85"/>
    <w:rsid w:val="00E91B68"/>
    <w:rsid w:val="00E9242D"/>
    <w:rsid w:val="00E937C2"/>
    <w:rsid w:val="00E93E6C"/>
    <w:rsid w:val="00E97E0C"/>
    <w:rsid w:val="00EA0E31"/>
    <w:rsid w:val="00EA11A0"/>
    <w:rsid w:val="00EA253F"/>
    <w:rsid w:val="00EA4C6E"/>
    <w:rsid w:val="00EA5E92"/>
    <w:rsid w:val="00EA6BA8"/>
    <w:rsid w:val="00EB030E"/>
    <w:rsid w:val="00EB1C31"/>
    <w:rsid w:val="00EB2873"/>
    <w:rsid w:val="00EB332B"/>
    <w:rsid w:val="00EB3350"/>
    <w:rsid w:val="00EB37A0"/>
    <w:rsid w:val="00EB5255"/>
    <w:rsid w:val="00EB5491"/>
    <w:rsid w:val="00EB5C47"/>
    <w:rsid w:val="00EB60DF"/>
    <w:rsid w:val="00EB6933"/>
    <w:rsid w:val="00EC1607"/>
    <w:rsid w:val="00EC28B1"/>
    <w:rsid w:val="00EC4AB9"/>
    <w:rsid w:val="00EC76F2"/>
    <w:rsid w:val="00ED0639"/>
    <w:rsid w:val="00ED2208"/>
    <w:rsid w:val="00ED2505"/>
    <w:rsid w:val="00ED494C"/>
    <w:rsid w:val="00ED5720"/>
    <w:rsid w:val="00ED61C7"/>
    <w:rsid w:val="00ED77A9"/>
    <w:rsid w:val="00ED7E25"/>
    <w:rsid w:val="00EE13C8"/>
    <w:rsid w:val="00EE2202"/>
    <w:rsid w:val="00EE2CE9"/>
    <w:rsid w:val="00EE2CEC"/>
    <w:rsid w:val="00EE3D40"/>
    <w:rsid w:val="00EE3E60"/>
    <w:rsid w:val="00EE55EE"/>
    <w:rsid w:val="00EE5667"/>
    <w:rsid w:val="00EF07D8"/>
    <w:rsid w:val="00EF36F3"/>
    <w:rsid w:val="00EF4510"/>
    <w:rsid w:val="00EF4755"/>
    <w:rsid w:val="00EF63F0"/>
    <w:rsid w:val="00EF7135"/>
    <w:rsid w:val="00EF73BD"/>
    <w:rsid w:val="00F00231"/>
    <w:rsid w:val="00F027DB"/>
    <w:rsid w:val="00F03F40"/>
    <w:rsid w:val="00F04144"/>
    <w:rsid w:val="00F06E8C"/>
    <w:rsid w:val="00F1036D"/>
    <w:rsid w:val="00F121F4"/>
    <w:rsid w:val="00F14A7A"/>
    <w:rsid w:val="00F14C21"/>
    <w:rsid w:val="00F17883"/>
    <w:rsid w:val="00F2108F"/>
    <w:rsid w:val="00F21B2D"/>
    <w:rsid w:val="00F22985"/>
    <w:rsid w:val="00F23208"/>
    <w:rsid w:val="00F2382E"/>
    <w:rsid w:val="00F23A84"/>
    <w:rsid w:val="00F26032"/>
    <w:rsid w:val="00F30B4A"/>
    <w:rsid w:val="00F32F63"/>
    <w:rsid w:val="00F33294"/>
    <w:rsid w:val="00F335D0"/>
    <w:rsid w:val="00F3383E"/>
    <w:rsid w:val="00F33C42"/>
    <w:rsid w:val="00F33C87"/>
    <w:rsid w:val="00F3566C"/>
    <w:rsid w:val="00F36BA8"/>
    <w:rsid w:val="00F416B4"/>
    <w:rsid w:val="00F4277A"/>
    <w:rsid w:val="00F454DD"/>
    <w:rsid w:val="00F45E16"/>
    <w:rsid w:val="00F465A7"/>
    <w:rsid w:val="00F50B7C"/>
    <w:rsid w:val="00F51FD8"/>
    <w:rsid w:val="00F536BF"/>
    <w:rsid w:val="00F550E6"/>
    <w:rsid w:val="00F551D2"/>
    <w:rsid w:val="00F61698"/>
    <w:rsid w:val="00F61F9D"/>
    <w:rsid w:val="00F620E2"/>
    <w:rsid w:val="00F62B08"/>
    <w:rsid w:val="00F63A3D"/>
    <w:rsid w:val="00F71FBF"/>
    <w:rsid w:val="00F727C6"/>
    <w:rsid w:val="00F74345"/>
    <w:rsid w:val="00F75568"/>
    <w:rsid w:val="00F769DD"/>
    <w:rsid w:val="00F777E3"/>
    <w:rsid w:val="00F80A0A"/>
    <w:rsid w:val="00F80A14"/>
    <w:rsid w:val="00F80B52"/>
    <w:rsid w:val="00F81059"/>
    <w:rsid w:val="00F820CE"/>
    <w:rsid w:val="00F82B19"/>
    <w:rsid w:val="00F832BF"/>
    <w:rsid w:val="00F84321"/>
    <w:rsid w:val="00F85352"/>
    <w:rsid w:val="00F86111"/>
    <w:rsid w:val="00F8614E"/>
    <w:rsid w:val="00F8657C"/>
    <w:rsid w:val="00F86F34"/>
    <w:rsid w:val="00F9212D"/>
    <w:rsid w:val="00F965DA"/>
    <w:rsid w:val="00F978DF"/>
    <w:rsid w:val="00FA0A20"/>
    <w:rsid w:val="00FA109F"/>
    <w:rsid w:val="00FA2E3D"/>
    <w:rsid w:val="00FA3975"/>
    <w:rsid w:val="00FA406A"/>
    <w:rsid w:val="00FA49D5"/>
    <w:rsid w:val="00FA4D7C"/>
    <w:rsid w:val="00FA5B16"/>
    <w:rsid w:val="00FA671D"/>
    <w:rsid w:val="00FA6E76"/>
    <w:rsid w:val="00FB0AC5"/>
    <w:rsid w:val="00FB26B0"/>
    <w:rsid w:val="00FB2829"/>
    <w:rsid w:val="00FB2DC8"/>
    <w:rsid w:val="00FB503A"/>
    <w:rsid w:val="00FB516C"/>
    <w:rsid w:val="00FB67E6"/>
    <w:rsid w:val="00FB7556"/>
    <w:rsid w:val="00FB78F6"/>
    <w:rsid w:val="00FC1345"/>
    <w:rsid w:val="00FC13C2"/>
    <w:rsid w:val="00FC1EAB"/>
    <w:rsid w:val="00FC206D"/>
    <w:rsid w:val="00FC2CEB"/>
    <w:rsid w:val="00FC497B"/>
    <w:rsid w:val="00FC5C6A"/>
    <w:rsid w:val="00FC6C6B"/>
    <w:rsid w:val="00FC6FE8"/>
    <w:rsid w:val="00FC73DF"/>
    <w:rsid w:val="00FC7DFF"/>
    <w:rsid w:val="00FD0236"/>
    <w:rsid w:val="00FD0C06"/>
    <w:rsid w:val="00FD18F4"/>
    <w:rsid w:val="00FD1BEC"/>
    <w:rsid w:val="00FD3328"/>
    <w:rsid w:val="00FD4033"/>
    <w:rsid w:val="00FD54DB"/>
    <w:rsid w:val="00FD619F"/>
    <w:rsid w:val="00FD707F"/>
    <w:rsid w:val="00FE2E96"/>
    <w:rsid w:val="00FE32AD"/>
    <w:rsid w:val="00FE477C"/>
    <w:rsid w:val="00FE4EEE"/>
    <w:rsid w:val="00FE7324"/>
    <w:rsid w:val="00FF227D"/>
    <w:rsid w:val="00FF290C"/>
    <w:rsid w:val="00FF3729"/>
    <w:rsid w:val="00FF3A7F"/>
    <w:rsid w:val="00FF4F93"/>
    <w:rsid w:val="00FF5A75"/>
    <w:rsid w:val="00FF5E13"/>
    <w:rsid w:val="00FF6E56"/>
    <w:rsid w:val="00FF6E63"/>
    <w:rsid w:val="00FF76F4"/>
    <w:rsid w:val="010158D6"/>
    <w:rsid w:val="010942E8"/>
    <w:rsid w:val="01097CE8"/>
    <w:rsid w:val="010B22B0"/>
    <w:rsid w:val="010D6A12"/>
    <w:rsid w:val="010F1DA1"/>
    <w:rsid w:val="011473B7"/>
    <w:rsid w:val="011744E3"/>
    <w:rsid w:val="011F0CED"/>
    <w:rsid w:val="011F61C5"/>
    <w:rsid w:val="0125460F"/>
    <w:rsid w:val="012700B8"/>
    <w:rsid w:val="01290F7E"/>
    <w:rsid w:val="012C2953"/>
    <w:rsid w:val="012D2956"/>
    <w:rsid w:val="01310449"/>
    <w:rsid w:val="013B4944"/>
    <w:rsid w:val="013E4434"/>
    <w:rsid w:val="01415983"/>
    <w:rsid w:val="0143304E"/>
    <w:rsid w:val="014F03EF"/>
    <w:rsid w:val="01501F10"/>
    <w:rsid w:val="01514167"/>
    <w:rsid w:val="015170E8"/>
    <w:rsid w:val="01545A05"/>
    <w:rsid w:val="015D1E09"/>
    <w:rsid w:val="016027D5"/>
    <w:rsid w:val="016043AA"/>
    <w:rsid w:val="016519C1"/>
    <w:rsid w:val="01695955"/>
    <w:rsid w:val="016F32E5"/>
    <w:rsid w:val="017D778F"/>
    <w:rsid w:val="017E5FA0"/>
    <w:rsid w:val="017E6156"/>
    <w:rsid w:val="01807AF1"/>
    <w:rsid w:val="01972837"/>
    <w:rsid w:val="01973B44"/>
    <w:rsid w:val="019A43DE"/>
    <w:rsid w:val="019B3634"/>
    <w:rsid w:val="01B01FDC"/>
    <w:rsid w:val="01B42966"/>
    <w:rsid w:val="01B70956"/>
    <w:rsid w:val="01C20BC1"/>
    <w:rsid w:val="01C6253C"/>
    <w:rsid w:val="01C7267B"/>
    <w:rsid w:val="01D14FB8"/>
    <w:rsid w:val="01D54D98"/>
    <w:rsid w:val="01D63B6F"/>
    <w:rsid w:val="01DA729B"/>
    <w:rsid w:val="01E303F1"/>
    <w:rsid w:val="01E6443F"/>
    <w:rsid w:val="01E925F2"/>
    <w:rsid w:val="01EA3D73"/>
    <w:rsid w:val="01EA636A"/>
    <w:rsid w:val="01EC0334"/>
    <w:rsid w:val="01EF122A"/>
    <w:rsid w:val="020B3948"/>
    <w:rsid w:val="02165FAF"/>
    <w:rsid w:val="021A6C4F"/>
    <w:rsid w:val="0222008D"/>
    <w:rsid w:val="0224187C"/>
    <w:rsid w:val="0229329B"/>
    <w:rsid w:val="022C5CCC"/>
    <w:rsid w:val="02331ABF"/>
    <w:rsid w:val="02380E83"/>
    <w:rsid w:val="023F42AD"/>
    <w:rsid w:val="02404E4B"/>
    <w:rsid w:val="02421D02"/>
    <w:rsid w:val="02441F1E"/>
    <w:rsid w:val="02447828"/>
    <w:rsid w:val="02471C19"/>
    <w:rsid w:val="024B215D"/>
    <w:rsid w:val="02516F0E"/>
    <w:rsid w:val="02590796"/>
    <w:rsid w:val="025E2EB0"/>
    <w:rsid w:val="02642874"/>
    <w:rsid w:val="02661E94"/>
    <w:rsid w:val="026826BF"/>
    <w:rsid w:val="02697903"/>
    <w:rsid w:val="02847D4F"/>
    <w:rsid w:val="028D5673"/>
    <w:rsid w:val="02924A37"/>
    <w:rsid w:val="02962EDE"/>
    <w:rsid w:val="02994018"/>
    <w:rsid w:val="029947C4"/>
    <w:rsid w:val="02996051"/>
    <w:rsid w:val="029A778E"/>
    <w:rsid w:val="02A14C7A"/>
    <w:rsid w:val="02A1522A"/>
    <w:rsid w:val="02A62291"/>
    <w:rsid w:val="02B069D1"/>
    <w:rsid w:val="02B40A38"/>
    <w:rsid w:val="02B50726"/>
    <w:rsid w:val="02B66E76"/>
    <w:rsid w:val="02B80216"/>
    <w:rsid w:val="02B96468"/>
    <w:rsid w:val="02BD21E4"/>
    <w:rsid w:val="02C10E79"/>
    <w:rsid w:val="02C92423"/>
    <w:rsid w:val="02CA2696"/>
    <w:rsid w:val="02D23086"/>
    <w:rsid w:val="02DA3E4C"/>
    <w:rsid w:val="02E334E5"/>
    <w:rsid w:val="02E826F7"/>
    <w:rsid w:val="02EA0864"/>
    <w:rsid w:val="02F73717"/>
    <w:rsid w:val="02F96569"/>
    <w:rsid w:val="02FA25DD"/>
    <w:rsid w:val="02FD530A"/>
    <w:rsid w:val="0305345B"/>
    <w:rsid w:val="031134B4"/>
    <w:rsid w:val="03140A3C"/>
    <w:rsid w:val="032064E7"/>
    <w:rsid w:val="0328539C"/>
    <w:rsid w:val="032C4E8C"/>
    <w:rsid w:val="033B50CF"/>
    <w:rsid w:val="033D06B8"/>
    <w:rsid w:val="03424463"/>
    <w:rsid w:val="036902F4"/>
    <w:rsid w:val="036F6B27"/>
    <w:rsid w:val="0374345B"/>
    <w:rsid w:val="037C1244"/>
    <w:rsid w:val="03830824"/>
    <w:rsid w:val="038C517C"/>
    <w:rsid w:val="038E1D2C"/>
    <w:rsid w:val="039447DF"/>
    <w:rsid w:val="03956FE5"/>
    <w:rsid w:val="03A10CAA"/>
    <w:rsid w:val="03A74512"/>
    <w:rsid w:val="03A96C0F"/>
    <w:rsid w:val="03AF1662"/>
    <w:rsid w:val="03B24C65"/>
    <w:rsid w:val="03BB1D6C"/>
    <w:rsid w:val="03C055D4"/>
    <w:rsid w:val="03C74658"/>
    <w:rsid w:val="03C87A90"/>
    <w:rsid w:val="03CC06C2"/>
    <w:rsid w:val="03D3283C"/>
    <w:rsid w:val="03D35307"/>
    <w:rsid w:val="03D76674"/>
    <w:rsid w:val="03E0050C"/>
    <w:rsid w:val="03EA7B21"/>
    <w:rsid w:val="03F1578E"/>
    <w:rsid w:val="03F4702C"/>
    <w:rsid w:val="03F91A6B"/>
    <w:rsid w:val="03FA2051"/>
    <w:rsid w:val="03FA6D38"/>
    <w:rsid w:val="03FE4DF0"/>
    <w:rsid w:val="03FF2A13"/>
    <w:rsid w:val="040A5B3F"/>
    <w:rsid w:val="04185410"/>
    <w:rsid w:val="041D47D5"/>
    <w:rsid w:val="041E22FB"/>
    <w:rsid w:val="04267B2D"/>
    <w:rsid w:val="042B5143"/>
    <w:rsid w:val="04333FF8"/>
    <w:rsid w:val="04372FD3"/>
    <w:rsid w:val="0439496B"/>
    <w:rsid w:val="04395576"/>
    <w:rsid w:val="044004C3"/>
    <w:rsid w:val="044637E9"/>
    <w:rsid w:val="04510922"/>
    <w:rsid w:val="04575F38"/>
    <w:rsid w:val="045C1D31"/>
    <w:rsid w:val="04693B13"/>
    <w:rsid w:val="046E77C1"/>
    <w:rsid w:val="047D389E"/>
    <w:rsid w:val="04892F2B"/>
    <w:rsid w:val="04895BC8"/>
    <w:rsid w:val="04912B00"/>
    <w:rsid w:val="04982B21"/>
    <w:rsid w:val="049A4077"/>
    <w:rsid w:val="04A10F62"/>
    <w:rsid w:val="04A15406"/>
    <w:rsid w:val="04AE367F"/>
    <w:rsid w:val="04B62533"/>
    <w:rsid w:val="04B844FD"/>
    <w:rsid w:val="04BB296E"/>
    <w:rsid w:val="04BB31FA"/>
    <w:rsid w:val="04C95EF8"/>
    <w:rsid w:val="04CB0441"/>
    <w:rsid w:val="04D8709C"/>
    <w:rsid w:val="04DC4690"/>
    <w:rsid w:val="04E903A7"/>
    <w:rsid w:val="04E90B5B"/>
    <w:rsid w:val="04E95BAF"/>
    <w:rsid w:val="04F26060"/>
    <w:rsid w:val="04F454D9"/>
    <w:rsid w:val="04F54A98"/>
    <w:rsid w:val="04FB7C04"/>
    <w:rsid w:val="050634BB"/>
    <w:rsid w:val="050D2A9B"/>
    <w:rsid w:val="050D4546"/>
    <w:rsid w:val="051313FD"/>
    <w:rsid w:val="051554AC"/>
    <w:rsid w:val="05184F9C"/>
    <w:rsid w:val="051E0804"/>
    <w:rsid w:val="05293230"/>
    <w:rsid w:val="052D6C99"/>
    <w:rsid w:val="052F573E"/>
    <w:rsid w:val="0534627A"/>
    <w:rsid w:val="05432019"/>
    <w:rsid w:val="05453FE3"/>
    <w:rsid w:val="05485881"/>
    <w:rsid w:val="054C26F9"/>
    <w:rsid w:val="054D3C9F"/>
    <w:rsid w:val="05500BDA"/>
    <w:rsid w:val="05522AFC"/>
    <w:rsid w:val="05573334"/>
    <w:rsid w:val="0558131F"/>
    <w:rsid w:val="055A4D20"/>
    <w:rsid w:val="055E241A"/>
    <w:rsid w:val="055F2BCB"/>
    <w:rsid w:val="05663F59"/>
    <w:rsid w:val="057B7A05"/>
    <w:rsid w:val="057C19CF"/>
    <w:rsid w:val="05822C11"/>
    <w:rsid w:val="05824577"/>
    <w:rsid w:val="05900FD6"/>
    <w:rsid w:val="05942874"/>
    <w:rsid w:val="05947C79"/>
    <w:rsid w:val="05964A65"/>
    <w:rsid w:val="059A088A"/>
    <w:rsid w:val="05A21435"/>
    <w:rsid w:val="05A277B6"/>
    <w:rsid w:val="05AC515A"/>
    <w:rsid w:val="05AD2488"/>
    <w:rsid w:val="05AD48C9"/>
    <w:rsid w:val="05B04764"/>
    <w:rsid w:val="05B42FBD"/>
    <w:rsid w:val="05C869C2"/>
    <w:rsid w:val="05DE7F94"/>
    <w:rsid w:val="05E97064"/>
    <w:rsid w:val="05EF315A"/>
    <w:rsid w:val="05F01CA9"/>
    <w:rsid w:val="05F332D1"/>
    <w:rsid w:val="05F338D5"/>
    <w:rsid w:val="05F83EAE"/>
    <w:rsid w:val="05F872A7"/>
    <w:rsid w:val="06097575"/>
    <w:rsid w:val="060A0277"/>
    <w:rsid w:val="060D2627"/>
    <w:rsid w:val="06112117"/>
    <w:rsid w:val="061567A2"/>
    <w:rsid w:val="061623F8"/>
    <w:rsid w:val="0619721E"/>
    <w:rsid w:val="061F0F2E"/>
    <w:rsid w:val="062F259D"/>
    <w:rsid w:val="063127B9"/>
    <w:rsid w:val="06347D79"/>
    <w:rsid w:val="06357338"/>
    <w:rsid w:val="06391E09"/>
    <w:rsid w:val="063E7D85"/>
    <w:rsid w:val="06471FDD"/>
    <w:rsid w:val="064C75F3"/>
    <w:rsid w:val="064E5119"/>
    <w:rsid w:val="064F1B08"/>
    <w:rsid w:val="06514C09"/>
    <w:rsid w:val="0654535D"/>
    <w:rsid w:val="065A4629"/>
    <w:rsid w:val="066165AE"/>
    <w:rsid w:val="06691F53"/>
    <w:rsid w:val="066C6E17"/>
    <w:rsid w:val="0671265E"/>
    <w:rsid w:val="06747F80"/>
    <w:rsid w:val="067A1963"/>
    <w:rsid w:val="067C3D26"/>
    <w:rsid w:val="067D3FAA"/>
    <w:rsid w:val="067F2639"/>
    <w:rsid w:val="067F3525"/>
    <w:rsid w:val="067F52D3"/>
    <w:rsid w:val="06826B71"/>
    <w:rsid w:val="068943A3"/>
    <w:rsid w:val="06896151"/>
    <w:rsid w:val="06930D7E"/>
    <w:rsid w:val="069F5975"/>
    <w:rsid w:val="06A116ED"/>
    <w:rsid w:val="06A66D03"/>
    <w:rsid w:val="06A92017"/>
    <w:rsid w:val="06A967F3"/>
    <w:rsid w:val="06B01054"/>
    <w:rsid w:val="06B8420F"/>
    <w:rsid w:val="06BF75C9"/>
    <w:rsid w:val="06C62F02"/>
    <w:rsid w:val="06C6742E"/>
    <w:rsid w:val="06C74ECC"/>
    <w:rsid w:val="06D32584"/>
    <w:rsid w:val="06D418A0"/>
    <w:rsid w:val="06D679DB"/>
    <w:rsid w:val="06DA075B"/>
    <w:rsid w:val="06E23AB3"/>
    <w:rsid w:val="06E93094"/>
    <w:rsid w:val="06EA39DF"/>
    <w:rsid w:val="06ED562C"/>
    <w:rsid w:val="06F25FCE"/>
    <w:rsid w:val="06F3181D"/>
    <w:rsid w:val="06F32700"/>
    <w:rsid w:val="06F37A6F"/>
    <w:rsid w:val="06F46D37"/>
    <w:rsid w:val="06F834E1"/>
    <w:rsid w:val="06FC0970"/>
    <w:rsid w:val="070000D4"/>
    <w:rsid w:val="07030E6E"/>
    <w:rsid w:val="07034156"/>
    <w:rsid w:val="070D64A5"/>
    <w:rsid w:val="07230354"/>
    <w:rsid w:val="07247E14"/>
    <w:rsid w:val="072916E2"/>
    <w:rsid w:val="07293586"/>
    <w:rsid w:val="07295285"/>
    <w:rsid w:val="072A7934"/>
    <w:rsid w:val="072B7208"/>
    <w:rsid w:val="072C7195"/>
    <w:rsid w:val="073445CA"/>
    <w:rsid w:val="0737795B"/>
    <w:rsid w:val="07454E7C"/>
    <w:rsid w:val="074D0A2F"/>
    <w:rsid w:val="074E070A"/>
    <w:rsid w:val="074E5043"/>
    <w:rsid w:val="07504EC1"/>
    <w:rsid w:val="07554285"/>
    <w:rsid w:val="07585815"/>
    <w:rsid w:val="075A7AEE"/>
    <w:rsid w:val="075C5614"/>
    <w:rsid w:val="07636392"/>
    <w:rsid w:val="076606C8"/>
    <w:rsid w:val="07677245"/>
    <w:rsid w:val="07713FF9"/>
    <w:rsid w:val="07770C56"/>
    <w:rsid w:val="07796C79"/>
    <w:rsid w:val="077C7A64"/>
    <w:rsid w:val="077E37DC"/>
    <w:rsid w:val="078304DF"/>
    <w:rsid w:val="07837045"/>
    <w:rsid w:val="078B5EF9"/>
    <w:rsid w:val="079254DA"/>
    <w:rsid w:val="079511E1"/>
    <w:rsid w:val="07A019A5"/>
    <w:rsid w:val="07A4199C"/>
    <w:rsid w:val="07A80859"/>
    <w:rsid w:val="07A82607"/>
    <w:rsid w:val="07AD26B8"/>
    <w:rsid w:val="07B554F2"/>
    <w:rsid w:val="07BD796A"/>
    <w:rsid w:val="07C06CE8"/>
    <w:rsid w:val="07C538A6"/>
    <w:rsid w:val="07C733D5"/>
    <w:rsid w:val="07CD3779"/>
    <w:rsid w:val="07CE6FAD"/>
    <w:rsid w:val="07DD49A7"/>
    <w:rsid w:val="07DD6ABC"/>
    <w:rsid w:val="07E51AAD"/>
    <w:rsid w:val="07E605BE"/>
    <w:rsid w:val="07ED25AB"/>
    <w:rsid w:val="07F7703A"/>
    <w:rsid w:val="07FE491D"/>
    <w:rsid w:val="08055CAB"/>
    <w:rsid w:val="08087F7A"/>
    <w:rsid w:val="080D4B60"/>
    <w:rsid w:val="08156C5F"/>
    <w:rsid w:val="08167EB9"/>
    <w:rsid w:val="082A0972"/>
    <w:rsid w:val="082A5712"/>
    <w:rsid w:val="082F4AD6"/>
    <w:rsid w:val="0831084F"/>
    <w:rsid w:val="08357BE1"/>
    <w:rsid w:val="08403C42"/>
    <w:rsid w:val="084542FA"/>
    <w:rsid w:val="084A5DB4"/>
    <w:rsid w:val="08513E84"/>
    <w:rsid w:val="08646E76"/>
    <w:rsid w:val="086735A3"/>
    <w:rsid w:val="086C210C"/>
    <w:rsid w:val="088C017B"/>
    <w:rsid w:val="0899026A"/>
    <w:rsid w:val="089A4646"/>
    <w:rsid w:val="08A6123D"/>
    <w:rsid w:val="08A637F4"/>
    <w:rsid w:val="08B208E2"/>
    <w:rsid w:val="08BB45BC"/>
    <w:rsid w:val="08BF5D29"/>
    <w:rsid w:val="08C73411"/>
    <w:rsid w:val="08D31906"/>
    <w:rsid w:val="08D8320E"/>
    <w:rsid w:val="08D9797B"/>
    <w:rsid w:val="08DF02AB"/>
    <w:rsid w:val="08E3100B"/>
    <w:rsid w:val="08F17FDE"/>
    <w:rsid w:val="08F4242E"/>
    <w:rsid w:val="090146C5"/>
    <w:rsid w:val="09067F2D"/>
    <w:rsid w:val="09075A53"/>
    <w:rsid w:val="091772F6"/>
    <w:rsid w:val="09187C60"/>
    <w:rsid w:val="091A6AE6"/>
    <w:rsid w:val="091C14FF"/>
    <w:rsid w:val="092217DD"/>
    <w:rsid w:val="09297FF5"/>
    <w:rsid w:val="092D54BA"/>
    <w:rsid w:val="09304FAA"/>
    <w:rsid w:val="09331C27"/>
    <w:rsid w:val="093323A4"/>
    <w:rsid w:val="09332561"/>
    <w:rsid w:val="093951B3"/>
    <w:rsid w:val="093A7294"/>
    <w:rsid w:val="093A7BD7"/>
    <w:rsid w:val="093C74AB"/>
    <w:rsid w:val="09412D13"/>
    <w:rsid w:val="09540C99"/>
    <w:rsid w:val="09615163"/>
    <w:rsid w:val="096802A0"/>
    <w:rsid w:val="09733EB1"/>
    <w:rsid w:val="097529BD"/>
    <w:rsid w:val="09773D0A"/>
    <w:rsid w:val="097924AD"/>
    <w:rsid w:val="098552F6"/>
    <w:rsid w:val="09866978"/>
    <w:rsid w:val="09867761"/>
    <w:rsid w:val="098B2CC4"/>
    <w:rsid w:val="098D423D"/>
    <w:rsid w:val="098F7F23"/>
    <w:rsid w:val="09907BA7"/>
    <w:rsid w:val="09922C09"/>
    <w:rsid w:val="099D1CDF"/>
    <w:rsid w:val="099D39BD"/>
    <w:rsid w:val="099E08BB"/>
    <w:rsid w:val="099F1451"/>
    <w:rsid w:val="09A146FA"/>
    <w:rsid w:val="09A53B82"/>
    <w:rsid w:val="09A91553"/>
    <w:rsid w:val="09AE2811"/>
    <w:rsid w:val="09B7036B"/>
    <w:rsid w:val="09C0632E"/>
    <w:rsid w:val="09C9203C"/>
    <w:rsid w:val="09CD27F9"/>
    <w:rsid w:val="09CF6571"/>
    <w:rsid w:val="09D90390"/>
    <w:rsid w:val="09DB4F16"/>
    <w:rsid w:val="09E57362"/>
    <w:rsid w:val="09E65607"/>
    <w:rsid w:val="09E813E1"/>
    <w:rsid w:val="09E84DC7"/>
    <w:rsid w:val="09EA5159"/>
    <w:rsid w:val="09F03CE2"/>
    <w:rsid w:val="09F9539C"/>
    <w:rsid w:val="09FC6C3A"/>
    <w:rsid w:val="0A00497C"/>
    <w:rsid w:val="0A053D41"/>
    <w:rsid w:val="0A0C24FF"/>
    <w:rsid w:val="0A1A250B"/>
    <w:rsid w:val="0A1A67FD"/>
    <w:rsid w:val="0A263993"/>
    <w:rsid w:val="0A2D3AC2"/>
    <w:rsid w:val="0A2E3537"/>
    <w:rsid w:val="0A3016CE"/>
    <w:rsid w:val="0A333840"/>
    <w:rsid w:val="0A335301"/>
    <w:rsid w:val="0A374116"/>
    <w:rsid w:val="0A3A3B56"/>
    <w:rsid w:val="0A3B1E0E"/>
    <w:rsid w:val="0A3C54E3"/>
    <w:rsid w:val="0A426D43"/>
    <w:rsid w:val="0A430D0D"/>
    <w:rsid w:val="0A451FDE"/>
    <w:rsid w:val="0A622F41"/>
    <w:rsid w:val="0A682522"/>
    <w:rsid w:val="0A726EFC"/>
    <w:rsid w:val="0A756EBC"/>
    <w:rsid w:val="0A762E91"/>
    <w:rsid w:val="0A7947E6"/>
    <w:rsid w:val="0A8157F2"/>
    <w:rsid w:val="0A8235E3"/>
    <w:rsid w:val="0A99092D"/>
    <w:rsid w:val="0A9F7992"/>
    <w:rsid w:val="0AA23C86"/>
    <w:rsid w:val="0AA755DF"/>
    <w:rsid w:val="0AA95014"/>
    <w:rsid w:val="0AAA48E8"/>
    <w:rsid w:val="0AB66451"/>
    <w:rsid w:val="0AB80568"/>
    <w:rsid w:val="0ABD461B"/>
    <w:rsid w:val="0AC21C32"/>
    <w:rsid w:val="0ACD37DE"/>
    <w:rsid w:val="0ACE079A"/>
    <w:rsid w:val="0ACF0E24"/>
    <w:rsid w:val="0AD35BED"/>
    <w:rsid w:val="0AD656DD"/>
    <w:rsid w:val="0ADE4913"/>
    <w:rsid w:val="0AEA1189"/>
    <w:rsid w:val="0AFD710E"/>
    <w:rsid w:val="0B057D70"/>
    <w:rsid w:val="0B072072"/>
    <w:rsid w:val="0B077F8D"/>
    <w:rsid w:val="0B120D44"/>
    <w:rsid w:val="0B13248D"/>
    <w:rsid w:val="0B152302"/>
    <w:rsid w:val="0B1A1A6E"/>
    <w:rsid w:val="0B222FBA"/>
    <w:rsid w:val="0B275F39"/>
    <w:rsid w:val="0B287EF2"/>
    <w:rsid w:val="0B2A34DD"/>
    <w:rsid w:val="0B2C587F"/>
    <w:rsid w:val="0B420FC5"/>
    <w:rsid w:val="0B42435B"/>
    <w:rsid w:val="0B425C19"/>
    <w:rsid w:val="0B432FA2"/>
    <w:rsid w:val="0B460AB5"/>
    <w:rsid w:val="0B4B40F9"/>
    <w:rsid w:val="0B4D6420"/>
    <w:rsid w:val="0B5205EC"/>
    <w:rsid w:val="0B57681E"/>
    <w:rsid w:val="0B5B5EEE"/>
    <w:rsid w:val="0B660046"/>
    <w:rsid w:val="0B6F4D1A"/>
    <w:rsid w:val="0B70448E"/>
    <w:rsid w:val="0B732F2C"/>
    <w:rsid w:val="0B7958BA"/>
    <w:rsid w:val="0B7D4E82"/>
    <w:rsid w:val="0B7E6C6B"/>
    <w:rsid w:val="0B8B28CC"/>
    <w:rsid w:val="0B91045B"/>
    <w:rsid w:val="0B974E6D"/>
    <w:rsid w:val="0BA15CEB"/>
    <w:rsid w:val="0BA354C3"/>
    <w:rsid w:val="0BA53A2D"/>
    <w:rsid w:val="0BB579E9"/>
    <w:rsid w:val="0BD27BF6"/>
    <w:rsid w:val="0BD40DA4"/>
    <w:rsid w:val="0BD465DB"/>
    <w:rsid w:val="0BD7795F"/>
    <w:rsid w:val="0BE61950"/>
    <w:rsid w:val="0BE64530"/>
    <w:rsid w:val="0BEF2EFA"/>
    <w:rsid w:val="0BF1626A"/>
    <w:rsid w:val="0BF222C8"/>
    <w:rsid w:val="0BF24799"/>
    <w:rsid w:val="0BF4406D"/>
    <w:rsid w:val="0BF70001"/>
    <w:rsid w:val="0C031B2E"/>
    <w:rsid w:val="0C040775"/>
    <w:rsid w:val="0C0E7282"/>
    <w:rsid w:val="0C0F534B"/>
    <w:rsid w:val="0C2D26E3"/>
    <w:rsid w:val="0C304C60"/>
    <w:rsid w:val="0C321039"/>
    <w:rsid w:val="0C395F24"/>
    <w:rsid w:val="0C3B3C7D"/>
    <w:rsid w:val="0C3C43DB"/>
    <w:rsid w:val="0C3E79DE"/>
    <w:rsid w:val="0C477939"/>
    <w:rsid w:val="0C497F29"/>
    <w:rsid w:val="0C526FE5"/>
    <w:rsid w:val="0C55046C"/>
    <w:rsid w:val="0C550884"/>
    <w:rsid w:val="0C5678A1"/>
    <w:rsid w:val="0C580AA0"/>
    <w:rsid w:val="0C5817A4"/>
    <w:rsid w:val="0C590BAD"/>
    <w:rsid w:val="0C633590"/>
    <w:rsid w:val="0C690872"/>
    <w:rsid w:val="0C6B5F2A"/>
    <w:rsid w:val="0C6C62F9"/>
    <w:rsid w:val="0C7358DA"/>
    <w:rsid w:val="0C762CD4"/>
    <w:rsid w:val="0C790A16"/>
    <w:rsid w:val="0C794286"/>
    <w:rsid w:val="0C7B02EA"/>
    <w:rsid w:val="0C880C59"/>
    <w:rsid w:val="0C8A6C00"/>
    <w:rsid w:val="0C8B172B"/>
    <w:rsid w:val="0C8E2713"/>
    <w:rsid w:val="0C8F2C97"/>
    <w:rsid w:val="0C9037D2"/>
    <w:rsid w:val="0C913FB2"/>
    <w:rsid w:val="0C930D9B"/>
    <w:rsid w:val="0C967A01"/>
    <w:rsid w:val="0C994C14"/>
    <w:rsid w:val="0CA02447"/>
    <w:rsid w:val="0CA57A5D"/>
    <w:rsid w:val="0CA736FB"/>
    <w:rsid w:val="0CAA3851"/>
    <w:rsid w:val="0CAB2EAE"/>
    <w:rsid w:val="0CAD06C0"/>
    <w:rsid w:val="0CAF10F9"/>
    <w:rsid w:val="0CB97065"/>
    <w:rsid w:val="0CBB4B8B"/>
    <w:rsid w:val="0CC223BD"/>
    <w:rsid w:val="0CC3045E"/>
    <w:rsid w:val="0CC71781"/>
    <w:rsid w:val="0CC7352F"/>
    <w:rsid w:val="0CCF6888"/>
    <w:rsid w:val="0CD8398F"/>
    <w:rsid w:val="0CDB347F"/>
    <w:rsid w:val="0CE967E8"/>
    <w:rsid w:val="0CEF7770"/>
    <w:rsid w:val="0CF602B9"/>
    <w:rsid w:val="0CF663AE"/>
    <w:rsid w:val="0CF91902"/>
    <w:rsid w:val="0CFB58CF"/>
    <w:rsid w:val="0D156597"/>
    <w:rsid w:val="0D16768D"/>
    <w:rsid w:val="0D183D8B"/>
    <w:rsid w:val="0D1A3FA7"/>
    <w:rsid w:val="0D223D2F"/>
    <w:rsid w:val="0D244E26"/>
    <w:rsid w:val="0D2B3EE5"/>
    <w:rsid w:val="0D307327"/>
    <w:rsid w:val="0D31575F"/>
    <w:rsid w:val="0D333231"/>
    <w:rsid w:val="0D352B8F"/>
    <w:rsid w:val="0D366907"/>
    <w:rsid w:val="0D3764E2"/>
    <w:rsid w:val="0D3B3AB8"/>
    <w:rsid w:val="0D3F756A"/>
    <w:rsid w:val="0D4402DB"/>
    <w:rsid w:val="0D4B06FE"/>
    <w:rsid w:val="0D4E1EA3"/>
    <w:rsid w:val="0D5946AA"/>
    <w:rsid w:val="0D5A05B1"/>
    <w:rsid w:val="0D5C5417"/>
    <w:rsid w:val="0D5C5DF1"/>
    <w:rsid w:val="0D5E3553"/>
    <w:rsid w:val="0D621C7D"/>
    <w:rsid w:val="0D674D12"/>
    <w:rsid w:val="0D6C65BC"/>
    <w:rsid w:val="0D7B0357"/>
    <w:rsid w:val="0D7F321E"/>
    <w:rsid w:val="0D800C11"/>
    <w:rsid w:val="0D8633EB"/>
    <w:rsid w:val="0D8D4981"/>
    <w:rsid w:val="0D8E229F"/>
    <w:rsid w:val="0D9773A6"/>
    <w:rsid w:val="0D984ECC"/>
    <w:rsid w:val="0DA25D4B"/>
    <w:rsid w:val="0DA4018A"/>
    <w:rsid w:val="0DB37F58"/>
    <w:rsid w:val="0DB51A3F"/>
    <w:rsid w:val="0DB735A4"/>
    <w:rsid w:val="0DBE2B84"/>
    <w:rsid w:val="0DCD1F19"/>
    <w:rsid w:val="0DD14FB3"/>
    <w:rsid w:val="0DD203DE"/>
    <w:rsid w:val="0DD26D65"/>
    <w:rsid w:val="0DD3627F"/>
    <w:rsid w:val="0DD4230C"/>
    <w:rsid w:val="0DD759F4"/>
    <w:rsid w:val="0DD8176C"/>
    <w:rsid w:val="0DEA4012"/>
    <w:rsid w:val="0DEB14A0"/>
    <w:rsid w:val="0DEE2D3E"/>
    <w:rsid w:val="0DEF4D3D"/>
    <w:rsid w:val="0DF02F5A"/>
    <w:rsid w:val="0DF62754"/>
    <w:rsid w:val="0E0B38F0"/>
    <w:rsid w:val="0E0D7668"/>
    <w:rsid w:val="0E1A3B33"/>
    <w:rsid w:val="0E1D7A23"/>
    <w:rsid w:val="0E1E3623"/>
    <w:rsid w:val="0E2826F4"/>
    <w:rsid w:val="0E2D7D0A"/>
    <w:rsid w:val="0E323391"/>
    <w:rsid w:val="0E37505E"/>
    <w:rsid w:val="0E3837AB"/>
    <w:rsid w:val="0E38593A"/>
    <w:rsid w:val="0E3C7F4D"/>
    <w:rsid w:val="0E46145F"/>
    <w:rsid w:val="0E4B1AD8"/>
    <w:rsid w:val="0E4D215A"/>
    <w:rsid w:val="0E5434E9"/>
    <w:rsid w:val="0E545297"/>
    <w:rsid w:val="0E555607"/>
    <w:rsid w:val="0E5E7EC3"/>
    <w:rsid w:val="0E64514C"/>
    <w:rsid w:val="0E6A7DF0"/>
    <w:rsid w:val="0E6B25E0"/>
    <w:rsid w:val="0E6C0156"/>
    <w:rsid w:val="0E7019A5"/>
    <w:rsid w:val="0E7262FB"/>
    <w:rsid w:val="0E73034D"/>
    <w:rsid w:val="0E7343A1"/>
    <w:rsid w:val="0E7C6CE8"/>
    <w:rsid w:val="0E802B47"/>
    <w:rsid w:val="0E8F43C2"/>
    <w:rsid w:val="0E8F4D9D"/>
    <w:rsid w:val="0E903615"/>
    <w:rsid w:val="0E9A3896"/>
    <w:rsid w:val="0E9D70C0"/>
    <w:rsid w:val="0E9D742B"/>
    <w:rsid w:val="0EA94DFB"/>
    <w:rsid w:val="0EAA29A3"/>
    <w:rsid w:val="0EAB22DF"/>
    <w:rsid w:val="0EB9159E"/>
    <w:rsid w:val="0EBF4972"/>
    <w:rsid w:val="0EC71E62"/>
    <w:rsid w:val="0ECB733C"/>
    <w:rsid w:val="0ECC307F"/>
    <w:rsid w:val="0ECF0DC1"/>
    <w:rsid w:val="0ED1350D"/>
    <w:rsid w:val="0ED805F3"/>
    <w:rsid w:val="0EEF216E"/>
    <w:rsid w:val="0EF45FEF"/>
    <w:rsid w:val="0EFE5203"/>
    <w:rsid w:val="0F130469"/>
    <w:rsid w:val="0F13775A"/>
    <w:rsid w:val="0F212E80"/>
    <w:rsid w:val="0F225395"/>
    <w:rsid w:val="0F2A5FF8"/>
    <w:rsid w:val="0F36499C"/>
    <w:rsid w:val="0F3D033A"/>
    <w:rsid w:val="0F3D07C0"/>
    <w:rsid w:val="0F3F75AE"/>
    <w:rsid w:val="0F4277E5"/>
    <w:rsid w:val="0F491B88"/>
    <w:rsid w:val="0F4B58CF"/>
    <w:rsid w:val="0F4C2412"/>
    <w:rsid w:val="0F4D20F6"/>
    <w:rsid w:val="0F4F5A5E"/>
    <w:rsid w:val="0F5226CD"/>
    <w:rsid w:val="0F536247"/>
    <w:rsid w:val="0F59068B"/>
    <w:rsid w:val="0F5F38C7"/>
    <w:rsid w:val="0F5F45FE"/>
    <w:rsid w:val="0F753717"/>
    <w:rsid w:val="0F772B5B"/>
    <w:rsid w:val="0F783207"/>
    <w:rsid w:val="0F790E4C"/>
    <w:rsid w:val="0F826515"/>
    <w:rsid w:val="0F871BA5"/>
    <w:rsid w:val="0F955B67"/>
    <w:rsid w:val="0F96368D"/>
    <w:rsid w:val="0F9A112B"/>
    <w:rsid w:val="0FA405E3"/>
    <w:rsid w:val="0FA66E59"/>
    <w:rsid w:val="0FA73155"/>
    <w:rsid w:val="0FAC4347"/>
    <w:rsid w:val="0FBF4992"/>
    <w:rsid w:val="0FBF6D8B"/>
    <w:rsid w:val="0FC4453D"/>
    <w:rsid w:val="0FCC0FF8"/>
    <w:rsid w:val="0FD115EF"/>
    <w:rsid w:val="0FD3668F"/>
    <w:rsid w:val="0FD86A85"/>
    <w:rsid w:val="0FDA6D40"/>
    <w:rsid w:val="0FDC047D"/>
    <w:rsid w:val="0FE663C2"/>
    <w:rsid w:val="0FEB1C2B"/>
    <w:rsid w:val="10030D22"/>
    <w:rsid w:val="10081B39"/>
    <w:rsid w:val="1008458B"/>
    <w:rsid w:val="10090303"/>
    <w:rsid w:val="100917CE"/>
    <w:rsid w:val="100952D6"/>
    <w:rsid w:val="10110E04"/>
    <w:rsid w:val="10117E47"/>
    <w:rsid w:val="10127F8E"/>
    <w:rsid w:val="10134CDE"/>
    <w:rsid w:val="10150A56"/>
    <w:rsid w:val="101510DA"/>
    <w:rsid w:val="10164BA2"/>
    <w:rsid w:val="101822F4"/>
    <w:rsid w:val="10287AF0"/>
    <w:rsid w:val="102F5FF2"/>
    <w:rsid w:val="1031492B"/>
    <w:rsid w:val="10321608"/>
    <w:rsid w:val="10352221"/>
    <w:rsid w:val="105243C6"/>
    <w:rsid w:val="10533619"/>
    <w:rsid w:val="105570A4"/>
    <w:rsid w:val="10572D77"/>
    <w:rsid w:val="105F0026"/>
    <w:rsid w:val="106D2F64"/>
    <w:rsid w:val="106F11CA"/>
    <w:rsid w:val="106F18A1"/>
    <w:rsid w:val="10710382"/>
    <w:rsid w:val="10711606"/>
    <w:rsid w:val="10716125"/>
    <w:rsid w:val="10790FE5"/>
    <w:rsid w:val="107F0312"/>
    <w:rsid w:val="10855BDB"/>
    <w:rsid w:val="108B0D18"/>
    <w:rsid w:val="108D4996"/>
    <w:rsid w:val="10907E3C"/>
    <w:rsid w:val="10923E54"/>
    <w:rsid w:val="10934CF3"/>
    <w:rsid w:val="109662D5"/>
    <w:rsid w:val="10AA15E5"/>
    <w:rsid w:val="10AB0728"/>
    <w:rsid w:val="10AF2C58"/>
    <w:rsid w:val="10AF3F7D"/>
    <w:rsid w:val="10B244F7"/>
    <w:rsid w:val="10B501AC"/>
    <w:rsid w:val="10B63710"/>
    <w:rsid w:val="10B734BD"/>
    <w:rsid w:val="10B85FB1"/>
    <w:rsid w:val="10BD632E"/>
    <w:rsid w:val="10C53AD6"/>
    <w:rsid w:val="10CA1840"/>
    <w:rsid w:val="10D4477F"/>
    <w:rsid w:val="10D84EA1"/>
    <w:rsid w:val="10DA7F31"/>
    <w:rsid w:val="10E16330"/>
    <w:rsid w:val="10E24D48"/>
    <w:rsid w:val="10E4370F"/>
    <w:rsid w:val="10E809B0"/>
    <w:rsid w:val="10EA3C90"/>
    <w:rsid w:val="10EC7A09"/>
    <w:rsid w:val="10EE19D3"/>
    <w:rsid w:val="10F10820"/>
    <w:rsid w:val="10F6011B"/>
    <w:rsid w:val="10FB40F0"/>
    <w:rsid w:val="10FE598E"/>
    <w:rsid w:val="10FE773C"/>
    <w:rsid w:val="110A7E8F"/>
    <w:rsid w:val="110D797F"/>
    <w:rsid w:val="111022AF"/>
    <w:rsid w:val="11186A50"/>
    <w:rsid w:val="111921EA"/>
    <w:rsid w:val="111C2F7A"/>
    <w:rsid w:val="111C679B"/>
    <w:rsid w:val="111D2270"/>
    <w:rsid w:val="111E393A"/>
    <w:rsid w:val="11206DF3"/>
    <w:rsid w:val="11246480"/>
    <w:rsid w:val="11254CC9"/>
    <w:rsid w:val="11291336"/>
    <w:rsid w:val="11294683"/>
    <w:rsid w:val="112B6FA8"/>
    <w:rsid w:val="113A41CF"/>
    <w:rsid w:val="11427949"/>
    <w:rsid w:val="1145536B"/>
    <w:rsid w:val="11494744"/>
    <w:rsid w:val="11555F29"/>
    <w:rsid w:val="11567578"/>
    <w:rsid w:val="11592BC4"/>
    <w:rsid w:val="115C6507"/>
    <w:rsid w:val="115D4462"/>
    <w:rsid w:val="11665CA1"/>
    <w:rsid w:val="117439BB"/>
    <w:rsid w:val="11744B2C"/>
    <w:rsid w:val="117479FE"/>
    <w:rsid w:val="11785740"/>
    <w:rsid w:val="117B0D8C"/>
    <w:rsid w:val="11823EC9"/>
    <w:rsid w:val="1194159F"/>
    <w:rsid w:val="11A0066D"/>
    <w:rsid w:val="11A007F3"/>
    <w:rsid w:val="11A023A5"/>
    <w:rsid w:val="11A1591C"/>
    <w:rsid w:val="11A227BD"/>
    <w:rsid w:val="11A77E80"/>
    <w:rsid w:val="11B03C20"/>
    <w:rsid w:val="11B170E6"/>
    <w:rsid w:val="11B60016"/>
    <w:rsid w:val="11B94E6D"/>
    <w:rsid w:val="11B95EF7"/>
    <w:rsid w:val="11BA02F0"/>
    <w:rsid w:val="11BD13A5"/>
    <w:rsid w:val="11C40985"/>
    <w:rsid w:val="11C6025A"/>
    <w:rsid w:val="11CB205D"/>
    <w:rsid w:val="11CC15E8"/>
    <w:rsid w:val="11CE5360"/>
    <w:rsid w:val="11D20449"/>
    <w:rsid w:val="11DC21D7"/>
    <w:rsid w:val="11DF1E87"/>
    <w:rsid w:val="11E46932"/>
    <w:rsid w:val="11E614B4"/>
    <w:rsid w:val="11E72E33"/>
    <w:rsid w:val="11EA5152"/>
    <w:rsid w:val="11ED1C8A"/>
    <w:rsid w:val="11EE77B0"/>
    <w:rsid w:val="11F456DF"/>
    <w:rsid w:val="11FD795D"/>
    <w:rsid w:val="12011292"/>
    <w:rsid w:val="12015FE0"/>
    <w:rsid w:val="12152F8F"/>
    <w:rsid w:val="12323B41"/>
    <w:rsid w:val="12326E23"/>
    <w:rsid w:val="123D6042"/>
    <w:rsid w:val="123E190B"/>
    <w:rsid w:val="124043EC"/>
    <w:rsid w:val="12407C85"/>
    <w:rsid w:val="12456514"/>
    <w:rsid w:val="1246139A"/>
    <w:rsid w:val="12464B7E"/>
    <w:rsid w:val="124B075F"/>
    <w:rsid w:val="124F6B19"/>
    <w:rsid w:val="12527D3F"/>
    <w:rsid w:val="125A6232"/>
    <w:rsid w:val="126B72EC"/>
    <w:rsid w:val="126C30D5"/>
    <w:rsid w:val="12745F08"/>
    <w:rsid w:val="12746BE0"/>
    <w:rsid w:val="12762995"/>
    <w:rsid w:val="127759F8"/>
    <w:rsid w:val="12794AAC"/>
    <w:rsid w:val="127E27F8"/>
    <w:rsid w:val="12891287"/>
    <w:rsid w:val="129409F9"/>
    <w:rsid w:val="129526FC"/>
    <w:rsid w:val="1299033E"/>
    <w:rsid w:val="129904F4"/>
    <w:rsid w:val="12994089"/>
    <w:rsid w:val="12A32349"/>
    <w:rsid w:val="12A63DE9"/>
    <w:rsid w:val="12A72CD1"/>
    <w:rsid w:val="12A827B0"/>
    <w:rsid w:val="12AD766B"/>
    <w:rsid w:val="12B02CB8"/>
    <w:rsid w:val="12BB577E"/>
    <w:rsid w:val="12C80B06"/>
    <w:rsid w:val="12D90460"/>
    <w:rsid w:val="12DE7825"/>
    <w:rsid w:val="12E237EC"/>
    <w:rsid w:val="12F0630A"/>
    <w:rsid w:val="12F0682B"/>
    <w:rsid w:val="12F26E2C"/>
    <w:rsid w:val="13010D7D"/>
    <w:rsid w:val="130354DD"/>
    <w:rsid w:val="13053A34"/>
    <w:rsid w:val="130552BB"/>
    <w:rsid w:val="13184DD0"/>
    <w:rsid w:val="131D3DEC"/>
    <w:rsid w:val="13213322"/>
    <w:rsid w:val="132316DC"/>
    <w:rsid w:val="132810EB"/>
    <w:rsid w:val="1346303C"/>
    <w:rsid w:val="13577776"/>
    <w:rsid w:val="135B0E75"/>
    <w:rsid w:val="135E2714"/>
    <w:rsid w:val="136A269D"/>
    <w:rsid w:val="136A67D5"/>
    <w:rsid w:val="13763621"/>
    <w:rsid w:val="13765CAF"/>
    <w:rsid w:val="138071AD"/>
    <w:rsid w:val="1381676B"/>
    <w:rsid w:val="138F0B1F"/>
    <w:rsid w:val="1390019C"/>
    <w:rsid w:val="13944DA0"/>
    <w:rsid w:val="13951726"/>
    <w:rsid w:val="13991A8C"/>
    <w:rsid w:val="139A199E"/>
    <w:rsid w:val="13A22600"/>
    <w:rsid w:val="13A256BE"/>
    <w:rsid w:val="13A51976"/>
    <w:rsid w:val="13A6407E"/>
    <w:rsid w:val="13A97E33"/>
    <w:rsid w:val="13AB65D9"/>
    <w:rsid w:val="13AC16D1"/>
    <w:rsid w:val="13AC7EF0"/>
    <w:rsid w:val="13B50586"/>
    <w:rsid w:val="13B66003"/>
    <w:rsid w:val="13B70D10"/>
    <w:rsid w:val="13BA2040"/>
    <w:rsid w:val="13C07196"/>
    <w:rsid w:val="13CA1DA5"/>
    <w:rsid w:val="13CB7DA9"/>
    <w:rsid w:val="13CF064E"/>
    <w:rsid w:val="13D37032"/>
    <w:rsid w:val="13E23359"/>
    <w:rsid w:val="13F53078"/>
    <w:rsid w:val="13F60B9E"/>
    <w:rsid w:val="14045069"/>
    <w:rsid w:val="14050323"/>
    <w:rsid w:val="140504E8"/>
    <w:rsid w:val="140E7C96"/>
    <w:rsid w:val="14157276"/>
    <w:rsid w:val="14186D36"/>
    <w:rsid w:val="141E334D"/>
    <w:rsid w:val="1421237B"/>
    <w:rsid w:val="14225437"/>
    <w:rsid w:val="143212D7"/>
    <w:rsid w:val="14327E28"/>
    <w:rsid w:val="14396509"/>
    <w:rsid w:val="144D3B68"/>
    <w:rsid w:val="144D7C01"/>
    <w:rsid w:val="14514FE4"/>
    <w:rsid w:val="14563F45"/>
    <w:rsid w:val="14607FC4"/>
    <w:rsid w:val="146401FE"/>
    <w:rsid w:val="14643D5A"/>
    <w:rsid w:val="14667AD2"/>
    <w:rsid w:val="14727ABB"/>
    <w:rsid w:val="14780E1C"/>
    <w:rsid w:val="148F1C33"/>
    <w:rsid w:val="14904B4F"/>
    <w:rsid w:val="14951F61"/>
    <w:rsid w:val="149B3F31"/>
    <w:rsid w:val="149C34F4"/>
    <w:rsid w:val="14A45268"/>
    <w:rsid w:val="14A8633C"/>
    <w:rsid w:val="14B00D4D"/>
    <w:rsid w:val="14B309D0"/>
    <w:rsid w:val="14B52807"/>
    <w:rsid w:val="14B940A6"/>
    <w:rsid w:val="14BC76F2"/>
    <w:rsid w:val="14BE790E"/>
    <w:rsid w:val="14D62EA9"/>
    <w:rsid w:val="14DA401C"/>
    <w:rsid w:val="14DD2C3C"/>
    <w:rsid w:val="14E1184E"/>
    <w:rsid w:val="14EE3D05"/>
    <w:rsid w:val="14F055ED"/>
    <w:rsid w:val="15023C9F"/>
    <w:rsid w:val="15065D8D"/>
    <w:rsid w:val="15080B89"/>
    <w:rsid w:val="150D257F"/>
    <w:rsid w:val="1514752E"/>
    <w:rsid w:val="151A411A"/>
    <w:rsid w:val="1520158F"/>
    <w:rsid w:val="15214D82"/>
    <w:rsid w:val="152359C3"/>
    <w:rsid w:val="152717B5"/>
    <w:rsid w:val="15284BB4"/>
    <w:rsid w:val="152B471C"/>
    <w:rsid w:val="152C2579"/>
    <w:rsid w:val="1537321C"/>
    <w:rsid w:val="153B4ABB"/>
    <w:rsid w:val="153F7762"/>
    <w:rsid w:val="15433673"/>
    <w:rsid w:val="15477903"/>
    <w:rsid w:val="15512530"/>
    <w:rsid w:val="15542020"/>
    <w:rsid w:val="155572BB"/>
    <w:rsid w:val="15595B6B"/>
    <w:rsid w:val="155D7127"/>
    <w:rsid w:val="1568787A"/>
    <w:rsid w:val="156A35F2"/>
    <w:rsid w:val="156C1118"/>
    <w:rsid w:val="156C50F2"/>
    <w:rsid w:val="1571672E"/>
    <w:rsid w:val="157E55BA"/>
    <w:rsid w:val="157E709D"/>
    <w:rsid w:val="157E75CB"/>
    <w:rsid w:val="15802E15"/>
    <w:rsid w:val="158B2EC0"/>
    <w:rsid w:val="158D16D2"/>
    <w:rsid w:val="158D1BF3"/>
    <w:rsid w:val="159468F5"/>
    <w:rsid w:val="159A15BB"/>
    <w:rsid w:val="15A308B2"/>
    <w:rsid w:val="15A877A4"/>
    <w:rsid w:val="15AA3754"/>
    <w:rsid w:val="15B06A9C"/>
    <w:rsid w:val="15B8610B"/>
    <w:rsid w:val="15B914BE"/>
    <w:rsid w:val="15BB209F"/>
    <w:rsid w:val="15BB5BFB"/>
    <w:rsid w:val="15BE749A"/>
    <w:rsid w:val="15C23F41"/>
    <w:rsid w:val="15C843F4"/>
    <w:rsid w:val="15CD0E88"/>
    <w:rsid w:val="15CE6BA7"/>
    <w:rsid w:val="15D47121"/>
    <w:rsid w:val="15EB5B02"/>
    <w:rsid w:val="15F335E7"/>
    <w:rsid w:val="15F6257B"/>
    <w:rsid w:val="15F76B65"/>
    <w:rsid w:val="15FA088E"/>
    <w:rsid w:val="15FA2BC8"/>
    <w:rsid w:val="16007AB2"/>
    <w:rsid w:val="1606331B"/>
    <w:rsid w:val="16087E1D"/>
    <w:rsid w:val="16094BB9"/>
    <w:rsid w:val="160E21CF"/>
    <w:rsid w:val="16101D7E"/>
    <w:rsid w:val="16105ED3"/>
    <w:rsid w:val="161517B0"/>
    <w:rsid w:val="161A0B74"/>
    <w:rsid w:val="161F262E"/>
    <w:rsid w:val="16225C7A"/>
    <w:rsid w:val="16253B1A"/>
    <w:rsid w:val="1629321E"/>
    <w:rsid w:val="162C1C6A"/>
    <w:rsid w:val="163868AA"/>
    <w:rsid w:val="163C4F8E"/>
    <w:rsid w:val="1642631D"/>
    <w:rsid w:val="1642632E"/>
    <w:rsid w:val="164E081E"/>
    <w:rsid w:val="164F6705"/>
    <w:rsid w:val="16501A7C"/>
    <w:rsid w:val="16556050"/>
    <w:rsid w:val="16585B40"/>
    <w:rsid w:val="165B2F3A"/>
    <w:rsid w:val="166246DD"/>
    <w:rsid w:val="16640722"/>
    <w:rsid w:val="16670DD7"/>
    <w:rsid w:val="166E7112"/>
    <w:rsid w:val="16731C0F"/>
    <w:rsid w:val="1675378E"/>
    <w:rsid w:val="167B7F56"/>
    <w:rsid w:val="167C182F"/>
    <w:rsid w:val="16813FC1"/>
    <w:rsid w:val="168904FA"/>
    <w:rsid w:val="16897F26"/>
    <w:rsid w:val="168E5B5C"/>
    <w:rsid w:val="16907088"/>
    <w:rsid w:val="16941BC7"/>
    <w:rsid w:val="169745A9"/>
    <w:rsid w:val="1699418F"/>
    <w:rsid w:val="169F1079"/>
    <w:rsid w:val="169F551D"/>
    <w:rsid w:val="16A33EC5"/>
    <w:rsid w:val="16A60BC5"/>
    <w:rsid w:val="16A9014A"/>
    <w:rsid w:val="16AB4A01"/>
    <w:rsid w:val="16B000D0"/>
    <w:rsid w:val="16BA2357"/>
    <w:rsid w:val="16BC745F"/>
    <w:rsid w:val="16C927E8"/>
    <w:rsid w:val="16CB5C81"/>
    <w:rsid w:val="16D1671C"/>
    <w:rsid w:val="16D53622"/>
    <w:rsid w:val="16E00A6F"/>
    <w:rsid w:val="16F75359"/>
    <w:rsid w:val="17011D34"/>
    <w:rsid w:val="170E522D"/>
    <w:rsid w:val="17101F77"/>
    <w:rsid w:val="17154F8B"/>
    <w:rsid w:val="171B2DF6"/>
    <w:rsid w:val="171B605C"/>
    <w:rsid w:val="17242CEB"/>
    <w:rsid w:val="172A4DE7"/>
    <w:rsid w:val="172B0DE8"/>
    <w:rsid w:val="172B4755"/>
    <w:rsid w:val="173619DD"/>
    <w:rsid w:val="173B5246"/>
    <w:rsid w:val="174B3D3F"/>
    <w:rsid w:val="174F0CF1"/>
    <w:rsid w:val="17547C85"/>
    <w:rsid w:val="17605686"/>
    <w:rsid w:val="17614581"/>
    <w:rsid w:val="176C18A3"/>
    <w:rsid w:val="176D1177"/>
    <w:rsid w:val="17701D14"/>
    <w:rsid w:val="17735226"/>
    <w:rsid w:val="1774180A"/>
    <w:rsid w:val="177A6F24"/>
    <w:rsid w:val="177B7D38"/>
    <w:rsid w:val="1789364A"/>
    <w:rsid w:val="178A7F7B"/>
    <w:rsid w:val="178C3EC7"/>
    <w:rsid w:val="179025B9"/>
    <w:rsid w:val="17945043"/>
    <w:rsid w:val="17950BEF"/>
    <w:rsid w:val="17966920"/>
    <w:rsid w:val="17A5468C"/>
    <w:rsid w:val="17AA4D66"/>
    <w:rsid w:val="17AB69E5"/>
    <w:rsid w:val="17AC1F27"/>
    <w:rsid w:val="17AF1790"/>
    <w:rsid w:val="17B0596B"/>
    <w:rsid w:val="17B7074A"/>
    <w:rsid w:val="17B97ABD"/>
    <w:rsid w:val="17BF5EF1"/>
    <w:rsid w:val="17C0399D"/>
    <w:rsid w:val="17C85ABA"/>
    <w:rsid w:val="17DB29DD"/>
    <w:rsid w:val="17DB4333"/>
    <w:rsid w:val="17E75E45"/>
    <w:rsid w:val="17F0312F"/>
    <w:rsid w:val="17F51899"/>
    <w:rsid w:val="17F81389"/>
    <w:rsid w:val="17FB49D5"/>
    <w:rsid w:val="17FE7DB3"/>
    <w:rsid w:val="18016BC3"/>
    <w:rsid w:val="18027B0E"/>
    <w:rsid w:val="18100480"/>
    <w:rsid w:val="18115FA7"/>
    <w:rsid w:val="181405F5"/>
    <w:rsid w:val="18174183"/>
    <w:rsid w:val="181B5077"/>
    <w:rsid w:val="181C187B"/>
    <w:rsid w:val="182D5F3D"/>
    <w:rsid w:val="18307719"/>
    <w:rsid w:val="18333713"/>
    <w:rsid w:val="18420856"/>
    <w:rsid w:val="1846212A"/>
    <w:rsid w:val="185632CE"/>
    <w:rsid w:val="18581E27"/>
    <w:rsid w:val="186270E4"/>
    <w:rsid w:val="186366A3"/>
    <w:rsid w:val="186453D5"/>
    <w:rsid w:val="18701DE2"/>
    <w:rsid w:val="1871170C"/>
    <w:rsid w:val="187A3B4C"/>
    <w:rsid w:val="1881312C"/>
    <w:rsid w:val="18820964"/>
    <w:rsid w:val="18850BC0"/>
    <w:rsid w:val="18882132"/>
    <w:rsid w:val="1891463B"/>
    <w:rsid w:val="189310B2"/>
    <w:rsid w:val="18932590"/>
    <w:rsid w:val="18936DFE"/>
    <w:rsid w:val="189F2F3C"/>
    <w:rsid w:val="189F624C"/>
    <w:rsid w:val="18A474FD"/>
    <w:rsid w:val="18AD3F21"/>
    <w:rsid w:val="18B74DA0"/>
    <w:rsid w:val="18BC5F12"/>
    <w:rsid w:val="18BD6512"/>
    <w:rsid w:val="18D771F0"/>
    <w:rsid w:val="18D85850"/>
    <w:rsid w:val="18E575D0"/>
    <w:rsid w:val="18E67433"/>
    <w:rsid w:val="18E831AB"/>
    <w:rsid w:val="18E90CD1"/>
    <w:rsid w:val="18EB4A4A"/>
    <w:rsid w:val="18F51424"/>
    <w:rsid w:val="190E060F"/>
    <w:rsid w:val="190F0738"/>
    <w:rsid w:val="1910625E"/>
    <w:rsid w:val="19121DAF"/>
    <w:rsid w:val="19131523"/>
    <w:rsid w:val="191A6D21"/>
    <w:rsid w:val="191B09EA"/>
    <w:rsid w:val="191C10A7"/>
    <w:rsid w:val="191C4C03"/>
    <w:rsid w:val="19204AAD"/>
    <w:rsid w:val="192470E6"/>
    <w:rsid w:val="19277122"/>
    <w:rsid w:val="192F70D4"/>
    <w:rsid w:val="19333488"/>
    <w:rsid w:val="193A152D"/>
    <w:rsid w:val="193F08F1"/>
    <w:rsid w:val="19471413"/>
    <w:rsid w:val="194F6D87"/>
    <w:rsid w:val="19552630"/>
    <w:rsid w:val="195647A7"/>
    <w:rsid w:val="197B5DCD"/>
    <w:rsid w:val="198033E4"/>
    <w:rsid w:val="19873DD3"/>
    <w:rsid w:val="198804EA"/>
    <w:rsid w:val="198A4263"/>
    <w:rsid w:val="198F39B3"/>
    <w:rsid w:val="1990114D"/>
    <w:rsid w:val="19914F2C"/>
    <w:rsid w:val="1991739F"/>
    <w:rsid w:val="199206E1"/>
    <w:rsid w:val="1997072D"/>
    <w:rsid w:val="199C4450"/>
    <w:rsid w:val="19A73191"/>
    <w:rsid w:val="19A755AF"/>
    <w:rsid w:val="19BA39F1"/>
    <w:rsid w:val="19C71013"/>
    <w:rsid w:val="19C72A50"/>
    <w:rsid w:val="19CC487B"/>
    <w:rsid w:val="19CE0F66"/>
    <w:rsid w:val="19CF33FC"/>
    <w:rsid w:val="19D21766"/>
    <w:rsid w:val="19E27BFB"/>
    <w:rsid w:val="19E73463"/>
    <w:rsid w:val="19FC6162"/>
    <w:rsid w:val="19FD67E3"/>
    <w:rsid w:val="19FD6DEB"/>
    <w:rsid w:val="1A0062D3"/>
    <w:rsid w:val="1A02204B"/>
    <w:rsid w:val="1A02268E"/>
    <w:rsid w:val="1A027F67"/>
    <w:rsid w:val="1A057D8D"/>
    <w:rsid w:val="1A07140F"/>
    <w:rsid w:val="1A0A5498"/>
    <w:rsid w:val="1A0D2047"/>
    <w:rsid w:val="1A1B5908"/>
    <w:rsid w:val="1A1C66C0"/>
    <w:rsid w:val="1A206945"/>
    <w:rsid w:val="1A2A2B7C"/>
    <w:rsid w:val="1A361CF4"/>
    <w:rsid w:val="1A392129"/>
    <w:rsid w:val="1A3D7527"/>
    <w:rsid w:val="1A3E3269"/>
    <w:rsid w:val="1A42393B"/>
    <w:rsid w:val="1A441CBC"/>
    <w:rsid w:val="1A4621B2"/>
    <w:rsid w:val="1A470B95"/>
    <w:rsid w:val="1A4F2DB6"/>
    <w:rsid w:val="1A5018AD"/>
    <w:rsid w:val="1A613215"/>
    <w:rsid w:val="1A616FE2"/>
    <w:rsid w:val="1A65037C"/>
    <w:rsid w:val="1A69031C"/>
    <w:rsid w:val="1A700BC8"/>
    <w:rsid w:val="1A7D44BD"/>
    <w:rsid w:val="1A7F18ED"/>
    <w:rsid w:val="1A807414"/>
    <w:rsid w:val="1A8707A2"/>
    <w:rsid w:val="1A8B7A46"/>
    <w:rsid w:val="1A8C4BEE"/>
    <w:rsid w:val="1A8C6E4F"/>
    <w:rsid w:val="1A91517D"/>
    <w:rsid w:val="1A9806EB"/>
    <w:rsid w:val="1A98475D"/>
    <w:rsid w:val="1A9A6727"/>
    <w:rsid w:val="1A9D7FC6"/>
    <w:rsid w:val="1AA64793"/>
    <w:rsid w:val="1AAC0209"/>
    <w:rsid w:val="1AAD45DE"/>
    <w:rsid w:val="1AB2774D"/>
    <w:rsid w:val="1AB377E9"/>
    <w:rsid w:val="1AB8095B"/>
    <w:rsid w:val="1AC23431"/>
    <w:rsid w:val="1AC440B9"/>
    <w:rsid w:val="1AC90DBB"/>
    <w:rsid w:val="1AD32329"/>
    <w:rsid w:val="1AD36A86"/>
    <w:rsid w:val="1AD75285"/>
    <w:rsid w:val="1AD978AB"/>
    <w:rsid w:val="1ADF3326"/>
    <w:rsid w:val="1ADF4158"/>
    <w:rsid w:val="1AE31E7C"/>
    <w:rsid w:val="1AF347C3"/>
    <w:rsid w:val="1AF855C3"/>
    <w:rsid w:val="1B046F80"/>
    <w:rsid w:val="1B080D46"/>
    <w:rsid w:val="1B0846BD"/>
    <w:rsid w:val="1B09565B"/>
    <w:rsid w:val="1B0A7C6C"/>
    <w:rsid w:val="1B0B3181"/>
    <w:rsid w:val="1B1A1616"/>
    <w:rsid w:val="1B1D4B81"/>
    <w:rsid w:val="1B237C08"/>
    <w:rsid w:val="1B2B07C0"/>
    <w:rsid w:val="1B2D30F7"/>
    <w:rsid w:val="1B3267B5"/>
    <w:rsid w:val="1B394F38"/>
    <w:rsid w:val="1B3C158C"/>
    <w:rsid w:val="1B40161D"/>
    <w:rsid w:val="1B430D6D"/>
    <w:rsid w:val="1B4346C9"/>
    <w:rsid w:val="1B441859"/>
    <w:rsid w:val="1B48540F"/>
    <w:rsid w:val="1B4F05F6"/>
    <w:rsid w:val="1B4F7512"/>
    <w:rsid w:val="1B520000"/>
    <w:rsid w:val="1B560813"/>
    <w:rsid w:val="1B5763C6"/>
    <w:rsid w:val="1B5A7C65"/>
    <w:rsid w:val="1B617181"/>
    <w:rsid w:val="1B652C55"/>
    <w:rsid w:val="1B6606B1"/>
    <w:rsid w:val="1B661B3D"/>
    <w:rsid w:val="1B6D7998"/>
    <w:rsid w:val="1B6F3710"/>
    <w:rsid w:val="1B724FAE"/>
    <w:rsid w:val="1B796994"/>
    <w:rsid w:val="1B7A3E63"/>
    <w:rsid w:val="1B7F088E"/>
    <w:rsid w:val="1B862808"/>
    <w:rsid w:val="1B8A22F8"/>
    <w:rsid w:val="1B8B647F"/>
    <w:rsid w:val="1B8D1F89"/>
    <w:rsid w:val="1B903686"/>
    <w:rsid w:val="1B9238A2"/>
    <w:rsid w:val="1B937410"/>
    <w:rsid w:val="1BA62EAA"/>
    <w:rsid w:val="1BA6336D"/>
    <w:rsid w:val="1BA809D0"/>
    <w:rsid w:val="1BA86B8C"/>
    <w:rsid w:val="1BAD0563"/>
    <w:rsid w:val="1BBE70C8"/>
    <w:rsid w:val="1BC82E20"/>
    <w:rsid w:val="1BCB46BE"/>
    <w:rsid w:val="1BD17F27"/>
    <w:rsid w:val="1BD57951"/>
    <w:rsid w:val="1BD66805"/>
    <w:rsid w:val="1BD712B5"/>
    <w:rsid w:val="1BD931D0"/>
    <w:rsid w:val="1BDD5CC2"/>
    <w:rsid w:val="1BE340FE"/>
    <w:rsid w:val="1BE7599C"/>
    <w:rsid w:val="1BEA2D97"/>
    <w:rsid w:val="1BEA5226"/>
    <w:rsid w:val="1BED0AD9"/>
    <w:rsid w:val="1BF1114A"/>
    <w:rsid w:val="1BFC453C"/>
    <w:rsid w:val="1C0306F4"/>
    <w:rsid w:val="1C035388"/>
    <w:rsid w:val="1C037E31"/>
    <w:rsid w:val="1C085913"/>
    <w:rsid w:val="1C0A27E2"/>
    <w:rsid w:val="1C0F0A4F"/>
    <w:rsid w:val="1C134A9D"/>
    <w:rsid w:val="1C1366CD"/>
    <w:rsid w:val="1C154B73"/>
    <w:rsid w:val="1C16449D"/>
    <w:rsid w:val="1C183DA8"/>
    <w:rsid w:val="1C232937"/>
    <w:rsid w:val="1C233B9C"/>
    <w:rsid w:val="1C273FEB"/>
    <w:rsid w:val="1C314E69"/>
    <w:rsid w:val="1C365FDC"/>
    <w:rsid w:val="1C444B9D"/>
    <w:rsid w:val="1C4E611B"/>
    <w:rsid w:val="1C4F16D7"/>
    <w:rsid w:val="1C5020B1"/>
    <w:rsid w:val="1C5773E4"/>
    <w:rsid w:val="1C5B4184"/>
    <w:rsid w:val="1C5C34FF"/>
    <w:rsid w:val="1C5E7925"/>
    <w:rsid w:val="1C603E61"/>
    <w:rsid w:val="1C6C7C4F"/>
    <w:rsid w:val="1C746B04"/>
    <w:rsid w:val="1C747071"/>
    <w:rsid w:val="1C762EBD"/>
    <w:rsid w:val="1C765283"/>
    <w:rsid w:val="1C7F273B"/>
    <w:rsid w:val="1C8036FB"/>
    <w:rsid w:val="1C874A89"/>
    <w:rsid w:val="1C925E48"/>
    <w:rsid w:val="1C98798D"/>
    <w:rsid w:val="1C9F2730"/>
    <w:rsid w:val="1CA613B3"/>
    <w:rsid w:val="1CAA49F4"/>
    <w:rsid w:val="1CB46F25"/>
    <w:rsid w:val="1CB83672"/>
    <w:rsid w:val="1CC161ED"/>
    <w:rsid w:val="1CC80C01"/>
    <w:rsid w:val="1CC83A43"/>
    <w:rsid w:val="1CCB706C"/>
    <w:rsid w:val="1CCE090A"/>
    <w:rsid w:val="1CD86382"/>
    <w:rsid w:val="1CDF48C5"/>
    <w:rsid w:val="1CE65C54"/>
    <w:rsid w:val="1CEC12BA"/>
    <w:rsid w:val="1CEC2B3E"/>
    <w:rsid w:val="1CF030EB"/>
    <w:rsid w:val="1CF06AD2"/>
    <w:rsid w:val="1CF55697"/>
    <w:rsid w:val="1CFC7225"/>
    <w:rsid w:val="1CFD070F"/>
    <w:rsid w:val="1D004ACA"/>
    <w:rsid w:val="1D033E7C"/>
    <w:rsid w:val="1D0676EB"/>
    <w:rsid w:val="1D077978"/>
    <w:rsid w:val="1D091942"/>
    <w:rsid w:val="1D0C4F8F"/>
    <w:rsid w:val="1D1D0F4A"/>
    <w:rsid w:val="1D1E3640"/>
    <w:rsid w:val="1D1F2520"/>
    <w:rsid w:val="1D2A0D94"/>
    <w:rsid w:val="1D3764AF"/>
    <w:rsid w:val="1D385D84"/>
    <w:rsid w:val="1D3A7D4E"/>
    <w:rsid w:val="1D3E15EC"/>
    <w:rsid w:val="1D3E783E"/>
    <w:rsid w:val="1D3F3D52"/>
    <w:rsid w:val="1D41685C"/>
    <w:rsid w:val="1D4666F2"/>
    <w:rsid w:val="1D491D3F"/>
    <w:rsid w:val="1D497F91"/>
    <w:rsid w:val="1D4D7A81"/>
    <w:rsid w:val="1D552DD9"/>
    <w:rsid w:val="1D5F6196"/>
    <w:rsid w:val="1D6132A5"/>
    <w:rsid w:val="1D6C0388"/>
    <w:rsid w:val="1D7008E4"/>
    <w:rsid w:val="1D733EAC"/>
    <w:rsid w:val="1D787CBC"/>
    <w:rsid w:val="1D7917DC"/>
    <w:rsid w:val="1D792624"/>
    <w:rsid w:val="1D807E56"/>
    <w:rsid w:val="1D862F93"/>
    <w:rsid w:val="1D8A53BB"/>
    <w:rsid w:val="1D8E56D5"/>
    <w:rsid w:val="1DA9032A"/>
    <w:rsid w:val="1DA97D6B"/>
    <w:rsid w:val="1DAD5900"/>
    <w:rsid w:val="1DB21FDA"/>
    <w:rsid w:val="1DB23D88"/>
    <w:rsid w:val="1DB624A5"/>
    <w:rsid w:val="1DC064A5"/>
    <w:rsid w:val="1DC835AB"/>
    <w:rsid w:val="1DD157FB"/>
    <w:rsid w:val="1DD737EE"/>
    <w:rsid w:val="1DD75C8E"/>
    <w:rsid w:val="1DDD21BF"/>
    <w:rsid w:val="1DDF7C04"/>
    <w:rsid w:val="1DE7131E"/>
    <w:rsid w:val="1DE7675C"/>
    <w:rsid w:val="1DF60118"/>
    <w:rsid w:val="1DF61502"/>
    <w:rsid w:val="1DF83E91"/>
    <w:rsid w:val="1E014C93"/>
    <w:rsid w:val="1E020431"/>
    <w:rsid w:val="1E087E4C"/>
    <w:rsid w:val="1E0A3BC4"/>
    <w:rsid w:val="1E0C3728"/>
    <w:rsid w:val="1E0D6DAC"/>
    <w:rsid w:val="1E1260A9"/>
    <w:rsid w:val="1E12759A"/>
    <w:rsid w:val="1E136360"/>
    <w:rsid w:val="1E2A0A44"/>
    <w:rsid w:val="1E2D340E"/>
    <w:rsid w:val="1E48483A"/>
    <w:rsid w:val="1E48649A"/>
    <w:rsid w:val="1E4D201B"/>
    <w:rsid w:val="1E503619"/>
    <w:rsid w:val="1E526EE4"/>
    <w:rsid w:val="1E594193"/>
    <w:rsid w:val="1E5B7F7C"/>
    <w:rsid w:val="1E641DAB"/>
    <w:rsid w:val="1E6D4FC0"/>
    <w:rsid w:val="1E6D7CAF"/>
    <w:rsid w:val="1E725558"/>
    <w:rsid w:val="1E777B20"/>
    <w:rsid w:val="1E7828DC"/>
    <w:rsid w:val="1E7A43DA"/>
    <w:rsid w:val="1E8066E5"/>
    <w:rsid w:val="1E861706"/>
    <w:rsid w:val="1E891D36"/>
    <w:rsid w:val="1EA046E4"/>
    <w:rsid w:val="1EA307B4"/>
    <w:rsid w:val="1EA70084"/>
    <w:rsid w:val="1EAC6868"/>
    <w:rsid w:val="1EB27BD0"/>
    <w:rsid w:val="1EBE331A"/>
    <w:rsid w:val="1EC51B1E"/>
    <w:rsid w:val="1EC72883"/>
    <w:rsid w:val="1ECA499A"/>
    <w:rsid w:val="1ECD229B"/>
    <w:rsid w:val="1ECE5AEC"/>
    <w:rsid w:val="1ECF44C6"/>
    <w:rsid w:val="1ED00825"/>
    <w:rsid w:val="1EDD751C"/>
    <w:rsid w:val="1EE6018D"/>
    <w:rsid w:val="1EEA12FF"/>
    <w:rsid w:val="1EEC17D9"/>
    <w:rsid w:val="1EF037F9"/>
    <w:rsid w:val="1EF06916"/>
    <w:rsid w:val="1EF54BEB"/>
    <w:rsid w:val="1EF85C50"/>
    <w:rsid w:val="1F0B7BF4"/>
    <w:rsid w:val="1F0E4FEE"/>
    <w:rsid w:val="1F1970AB"/>
    <w:rsid w:val="1F1F544D"/>
    <w:rsid w:val="1F212F73"/>
    <w:rsid w:val="1F262B56"/>
    <w:rsid w:val="1F30765A"/>
    <w:rsid w:val="1F325180"/>
    <w:rsid w:val="1F392D01"/>
    <w:rsid w:val="1F3B03AF"/>
    <w:rsid w:val="1F3B13F3"/>
    <w:rsid w:val="1F3D2127"/>
    <w:rsid w:val="1F443C53"/>
    <w:rsid w:val="1F4570D0"/>
    <w:rsid w:val="1F551D94"/>
    <w:rsid w:val="1F60475F"/>
    <w:rsid w:val="1F6115C2"/>
    <w:rsid w:val="1F6507F2"/>
    <w:rsid w:val="1F672950"/>
    <w:rsid w:val="1F7312F5"/>
    <w:rsid w:val="1F764CB2"/>
    <w:rsid w:val="1F767C5C"/>
    <w:rsid w:val="1F784BFC"/>
    <w:rsid w:val="1F817EB6"/>
    <w:rsid w:val="1F8359DC"/>
    <w:rsid w:val="1F890B18"/>
    <w:rsid w:val="1F8B2AE2"/>
    <w:rsid w:val="1F8C2F94"/>
    <w:rsid w:val="1F8E1CB4"/>
    <w:rsid w:val="1F9279CD"/>
    <w:rsid w:val="1F933745"/>
    <w:rsid w:val="1F946E5A"/>
    <w:rsid w:val="1FA0658E"/>
    <w:rsid w:val="1FA31BDA"/>
    <w:rsid w:val="1FA47700"/>
    <w:rsid w:val="1FA8046F"/>
    <w:rsid w:val="1FA971A1"/>
    <w:rsid w:val="1FB634D8"/>
    <w:rsid w:val="1FB63935"/>
    <w:rsid w:val="1FBA5176"/>
    <w:rsid w:val="1FC3402A"/>
    <w:rsid w:val="1FC856D1"/>
    <w:rsid w:val="1FD06747"/>
    <w:rsid w:val="1FDE2C12"/>
    <w:rsid w:val="1FE03AB0"/>
    <w:rsid w:val="1FE44472"/>
    <w:rsid w:val="1FE7539E"/>
    <w:rsid w:val="1FEC738C"/>
    <w:rsid w:val="1FF13814"/>
    <w:rsid w:val="1FF22B62"/>
    <w:rsid w:val="1FF3623A"/>
    <w:rsid w:val="1FF73CD4"/>
    <w:rsid w:val="1FFC62A9"/>
    <w:rsid w:val="200F3EAF"/>
    <w:rsid w:val="201725C8"/>
    <w:rsid w:val="201A79C2"/>
    <w:rsid w:val="201E3957"/>
    <w:rsid w:val="202A40A9"/>
    <w:rsid w:val="20376625"/>
    <w:rsid w:val="20392737"/>
    <w:rsid w:val="203942EC"/>
    <w:rsid w:val="203D202F"/>
    <w:rsid w:val="20482300"/>
    <w:rsid w:val="204824B6"/>
    <w:rsid w:val="20570DB0"/>
    <w:rsid w:val="20592542"/>
    <w:rsid w:val="2059673D"/>
    <w:rsid w:val="20597EB3"/>
    <w:rsid w:val="20635781"/>
    <w:rsid w:val="20671BE0"/>
    <w:rsid w:val="206A26F8"/>
    <w:rsid w:val="207318E2"/>
    <w:rsid w:val="207A2CBA"/>
    <w:rsid w:val="207D13AB"/>
    <w:rsid w:val="207D68CF"/>
    <w:rsid w:val="208D63E6"/>
    <w:rsid w:val="208F215E"/>
    <w:rsid w:val="20914128"/>
    <w:rsid w:val="20914159"/>
    <w:rsid w:val="20915ED7"/>
    <w:rsid w:val="20963CB8"/>
    <w:rsid w:val="209E05F3"/>
    <w:rsid w:val="209F64C7"/>
    <w:rsid w:val="20A15EE7"/>
    <w:rsid w:val="20A81A1B"/>
    <w:rsid w:val="20A951E7"/>
    <w:rsid w:val="20AB6F7B"/>
    <w:rsid w:val="20AC7E9E"/>
    <w:rsid w:val="20B07FB6"/>
    <w:rsid w:val="20B25632"/>
    <w:rsid w:val="20B514C0"/>
    <w:rsid w:val="20B646FB"/>
    <w:rsid w:val="20BD452B"/>
    <w:rsid w:val="20BE4D41"/>
    <w:rsid w:val="20C0517F"/>
    <w:rsid w:val="20C75D9C"/>
    <w:rsid w:val="20CE712B"/>
    <w:rsid w:val="20CF6B27"/>
    <w:rsid w:val="20D12777"/>
    <w:rsid w:val="20D504B9"/>
    <w:rsid w:val="20DE2847"/>
    <w:rsid w:val="20E02454"/>
    <w:rsid w:val="20E21FD6"/>
    <w:rsid w:val="20E71F9A"/>
    <w:rsid w:val="20E73D48"/>
    <w:rsid w:val="20F86C66"/>
    <w:rsid w:val="2100305C"/>
    <w:rsid w:val="21026DD4"/>
    <w:rsid w:val="21030780"/>
    <w:rsid w:val="210D3335"/>
    <w:rsid w:val="2110329F"/>
    <w:rsid w:val="21133454"/>
    <w:rsid w:val="211508B6"/>
    <w:rsid w:val="2116094D"/>
    <w:rsid w:val="211F1734"/>
    <w:rsid w:val="211F7DEC"/>
    <w:rsid w:val="21221225"/>
    <w:rsid w:val="21365523"/>
    <w:rsid w:val="213B74B1"/>
    <w:rsid w:val="2144566C"/>
    <w:rsid w:val="21487D1A"/>
    <w:rsid w:val="214B412D"/>
    <w:rsid w:val="214F21EB"/>
    <w:rsid w:val="21520A7B"/>
    <w:rsid w:val="215A2310"/>
    <w:rsid w:val="215B0293"/>
    <w:rsid w:val="215D37B0"/>
    <w:rsid w:val="215F7D83"/>
    <w:rsid w:val="21667363"/>
    <w:rsid w:val="216929AF"/>
    <w:rsid w:val="216C787B"/>
    <w:rsid w:val="216E5201"/>
    <w:rsid w:val="216F43E6"/>
    <w:rsid w:val="217041B3"/>
    <w:rsid w:val="217A4BBD"/>
    <w:rsid w:val="218112EB"/>
    <w:rsid w:val="21842AA0"/>
    <w:rsid w:val="21881B1F"/>
    <w:rsid w:val="218B3C37"/>
    <w:rsid w:val="218E68BA"/>
    <w:rsid w:val="219043E0"/>
    <w:rsid w:val="219055DF"/>
    <w:rsid w:val="219263AA"/>
    <w:rsid w:val="219315A3"/>
    <w:rsid w:val="21A35A6C"/>
    <w:rsid w:val="21A74DF6"/>
    <w:rsid w:val="21AA2676"/>
    <w:rsid w:val="21AA46F4"/>
    <w:rsid w:val="21AE2AB8"/>
    <w:rsid w:val="21AF6A69"/>
    <w:rsid w:val="21B24356"/>
    <w:rsid w:val="21B53220"/>
    <w:rsid w:val="21B7196D"/>
    <w:rsid w:val="21BC3427"/>
    <w:rsid w:val="21C10A3D"/>
    <w:rsid w:val="21C1390C"/>
    <w:rsid w:val="21C70F79"/>
    <w:rsid w:val="21CE75F7"/>
    <w:rsid w:val="21CF5E82"/>
    <w:rsid w:val="21D36D57"/>
    <w:rsid w:val="21DA1AFF"/>
    <w:rsid w:val="21DE318A"/>
    <w:rsid w:val="21DE514B"/>
    <w:rsid w:val="21E464DA"/>
    <w:rsid w:val="21ED5D8B"/>
    <w:rsid w:val="21EF5B80"/>
    <w:rsid w:val="2201708C"/>
    <w:rsid w:val="22026793"/>
    <w:rsid w:val="2205092A"/>
    <w:rsid w:val="220B214E"/>
    <w:rsid w:val="220C0B15"/>
    <w:rsid w:val="221A409F"/>
    <w:rsid w:val="2221328A"/>
    <w:rsid w:val="22267A99"/>
    <w:rsid w:val="222A213F"/>
    <w:rsid w:val="222F1188"/>
    <w:rsid w:val="222F1E4B"/>
    <w:rsid w:val="22364F87"/>
    <w:rsid w:val="22456F79"/>
    <w:rsid w:val="22467B12"/>
    <w:rsid w:val="22484CBB"/>
    <w:rsid w:val="225418B2"/>
    <w:rsid w:val="22576990"/>
    <w:rsid w:val="225E003A"/>
    <w:rsid w:val="22636AE2"/>
    <w:rsid w:val="226A7B95"/>
    <w:rsid w:val="227026FD"/>
    <w:rsid w:val="22804455"/>
    <w:rsid w:val="22873A35"/>
    <w:rsid w:val="228C4BA7"/>
    <w:rsid w:val="22970985"/>
    <w:rsid w:val="22974ED0"/>
    <w:rsid w:val="22A2261D"/>
    <w:rsid w:val="22AD4B1E"/>
    <w:rsid w:val="22B10AB2"/>
    <w:rsid w:val="22BB146C"/>
    <w:rsid w:val="22BB458D"/>
    <w:rsid w:val="22BD2FB3"/>
    <w:rsid w:val="22BE03AA"/>
    <w:rsid w:val="22C35A33"/>
    <w:rsid w:val="22C5455D"/>
    <w:rsid w:val="22C95D2C"/>
    <w:rsid w:val="22CC31F6"/>
    <w:rsid w:val="22D56B65"/>
    <w:rsid w:val="22D71C1D"/>
    <w:rsid w:val="22D8603F"/>
    <w:rsid w:val="22E54C87"/>
    <w:rsid w:val="22EA48B2"/>
    <w:rsid w:val="22EF66BB"/>
    <w:rsid w:val="22F015DA"/>
    <w:rsid w:val="22F47480"/>
    <w:rsid w:val="23061C85"/>
    <w:rsid w:val="230B6414"/>
    <w:rsid w:val="23143199"/>
    <w:rsid w:val="2318468D"/>
    <w:rsid w:val="23201E3D"/>
    <w:rsid w:val="23250B58"/>
    <w:rsid w:val="232F7513"/>
    <w:rsid w:val="2338762A"/>
    <w:rsid w:val="233C2A9D"/>
    <w:rsid w:val="23405992"/>
    <w:rsid w:val="23453EE9"/>
    <w:rsid w:val="23467CA5"/>
    <w:rsid w:val="234B340B"/>
    <w:rsid w:val="234C67A9"/>
    <w:rsid w:val="2351194D"/>
    <w:rsid w:val="23582CDC"/>
    <w:rsid w:val="236B6EB3"/>
    <w:rsid w:val="236C26F9"/>
    <w:rsid w:val="236E03B0"/>
    <w:rsid w:val="23767606"/>
    <w:rsid w:val="23776020"/>
    <w:rsid w:val="2379286D"/>
    <w:rsid w:val="238735C1"/>
    <w:rsid w:val="2387457D"/>
    <w:rsid w:val="2392443F"/>
    <w:rsid w:val="239A7798"/>
    <w:rsid w:val="239F6B5C"/>
    <w:rsid w:val="23A221A9"/>
    <w:rsid w:val="23A82AE6"/>
    <w:rsid w:val="23B343B6"/>
    <w:rsid w:val="23B4085A"/>
    <w:rsid w:val="23B62B06"/>
    <w:rsid w:val="23BB7507"/>
    <w:rsid w:val="23BC0C45"/>
    <w:rsid w:val="23BC770E"/>
    <w:rsid w:val="23BF71FF"/>
    <w:rsid w:val="23C579E4"/>
    <w:rsid w:val="23CB5BA3"/>
    <w:rsid w:val="23CC72A7"/>
    <w:rsid w:val="23D21FE8"/>
    <w:rsid w:val="23DC0222"/>
    <w:rsid w:val="23DC4258"/>
    <w:rsid w:val="23DE1C48"/>
    <w:rsid w:val="23E869F5"/>
    <w:rsid w:val="23EC298D"/>
    <w:rsid w:val="23ED1676"/>
    <w:rsid w:val="23F32A04"/>
    <w:rsid w:val="23FF75FB"/>
    <w:rsid w:val="240210CD"/>
    <w:rsid w:val="2406098A"/>
    <w:rsid w:val="24151E4A"/>
    <w:rsid w:val="2432177F"/>
    <w:rsid w:val="243C1D02"/>
    <w:rsid w:val="24415E66"/>
    <w:rsid w:val="244514B2"/>
    <w:rsid w:val="24675940"/>
    <w:rsid w:val="246B0F38"/>
    <w:rsid w:val="246F4781"/>
    <w:rsid w:val="24727BE5"/>
    <w:rsid w:val="24786628"/>
    <w:rsid w:val="247A4BEB"/>
    <w:rsid w:val="247B4ED4"/>
    <w:rsid w:val="248024EA"/>
    <w:rsid w:val="248D0808"/>
    <w:rsid w:val="249E5066"/>
    <w:rsid w:val="24A73F1B"/>
    <w:rsid w:val="24AA32E6"/>
    <w:rsid w:val="24AE69D2"/>
    <w:rsid w:val="24B623B0"/>
    <w:rsid w:val="24B95082"/>
    <w:rsid w:val="24BF09F7"/>
    <w:rsid w:val="24C0422D"/>
    <w:rsid w:val="24C97AC0"/>
    <w:rsid w:val="24D10F97"/>
    <w:rsid w:val="24D26ABE"/>
    <w:rsid w:val="24D35AF2"/>
    <w:rsid w:val="24D6035C"/>
    <w:rsid w:val="24DB0068"/>
    <w:rsid w:val="24DB300A"/>
    <w:rsid w:val="24DE1906"/>
    <w:rsid w:val="24E5168B"/>
    <w:rsid w:val="24E56C98"/>
    <w:rsid w:val="24E76A0D"/>
    <w:rsid w:val="24E82F1B"/>
    <w:rsid w:val="24F42ED8"/>
    <w:rsid w:val="24F627AC"/>
    <w:rsid w:val="24F85F77"/>
    <w:rsid w:val="24FB7DC2"/>
    <w:rsid w:val="24FD4DCA"/>
    <w:rsid w:val="24FD52CA"/>
    <w:rsid w:val="24FD75C2"/>
    <w:rsid w:val="2500362B"/>
    <w:rsid w:val="2504136D"/>
    <w:rsid w:val="250A26FB"/>
    <w:rsid w:val="250A7DD1"/>
    <w:rsid w:val="250C7A19"/>
    <w:rsid w:val="250F386E"/>
    <w:rsid w:val="25115838"/>
    <w:rsid w:val="251530EB"/>
    <w:rsid w:val="251B0465"/>
    <w:rsid w:val="25237319"/>
    <w:rsid w:val="252C0529"/>
    <w:rsid w:val="252D53FE"/>
    <w:rsid w:val="25366A7A"/>
    <w:rsid w:val="25381017"/>
    <w:rsid w:val="2538655B"/>
    <w:rsid w:val="253B4663"/>
    <w:rsid w:val="253D4222"/>
    <w:rsid w:val="253F05F7"/>
    <w:rsid w:val="25451805"/>
    <w:rsid w:val="254607F4"/>
    <w:rsid w:val="25481BC4"/>
    <w:rsid w:val="254B640F"/>
    <w:rsid w:val="254C2D14"/>
    <w:rsid w:val="25551BC9"/>
    <w:rsid w:val="25556F4C"/>
    <w:rsid w:val="25633DD9"/>
    <w:rsid w:val="25652197"/>
    <w:rsid w:val="256811AE"/>
    <w:rsid w:val="256B5BB0"/>
    <w:rsid w:val="257162D7"/>
    <w:rsid w:val="257C5270"/>
    <w:rsid w:val="257E6920"/>
    <w:rsid w:val="2580651A"/>
    <w:rsid w:val="258108C5"/>
    <w:rsid w:val="25834631"/>
    <w:rsid w:val="2584633F"/>
    <w:rsid w:val="25871828"/>
    <w:rsid w:val="25875AFA"/>
    <w:rsid w:val="25893620"/>
    <w:rsid w:val="259205FB"/>
    <w:rsid w:val="259721E1"/>
    <w:rsid w:val="25983C0C"/>
    <w:rsid w:val="259874E2"/>
    <w:rsid w:val="2599037B"/>
    <w:rsid w:val="259D531E"/>
    <w:rsid w:val="25A60D52"/>
    <w:rsid w:val="25A62424"/>
    <w:rsid w:val="25B34B41"/>
    <w:rsid w:val="25B763DF"/>
    <w:rsid w:val="25BA7C7E"/>
    <w:rsid w:val="25CD1458"/>
    <w:rsid w:val="25CF5B98"/>
    <w:rsid w:val="25D074A1"/>
    <w:rsid w:val="25E33337"/>
    <w:rsid w:val="25E35426"/>
    <w:rsid w:val="25EB35DB"/>
    <w:rsid w:val="25EC2D81"/>
    <w:rsid w:val="25F27417"/>
    <w:rsid w:val="25F71B51"/>
    <w:rsid w:val="2605469A"/>
    <w:rsid w:val="26056D25"/>
    <w:rsid w:val="2608197C"/>
    <w:rsid w:val="26121868"/>
    <w:rsid w:val="26160CB4"/>
    <w:rsid w:val="26217CFD"/>
    <w:rsid w:val="262227B8"/>
    <w:rsid w:val="2629095F"/>
    <w:rsid w:val="263118CB"/>
    <w:rsid w:val="26321F0A"/>
    <w:rsid w:val="26325A66"/>
    <w:rsid w:val="263306B3"/>
    <w:rsid w:val="26377520"/>
    <w:rsid w:val="26393298"/>
    <w:rsid w:val="263D44E4"/>
    <w:rsid w:val="264141A3"/>
    <w:rsid w:val="26414749"/>
    <w:rsid w:val="26466E58"/>
    <w:rsid w:val="2647197F"/>
    <w:rsid w:val="26547F57"/>
    <w:rsid w:val="265949C5"/>
    <w:rsid w:val="266404E5"/>
    <w:rsid w:val="26695200"/>
    <w:rsid w:val="266D4ED1"/>
    <w:rsid w:val="267B5085"/>
    <w:rsid w:val="267E061F"/>
    <w:rsid w:val="26804A23"/>
    <w:rsid w:val="268E39D0"/>
    <w:rsid w:val="268F110A"/>
    <w:rsid w:val="26924756"/>
    <w:rsid w:val="269478D8"/>
    <w:rsid w:val="26955359"/>
    <w:rsid w:val="2698203F"/>
    <w:rsid w:val="26AE33EC"/>
    <w:rsid w:val="26AF01F4"/>
    <w:rsid w:val="26B172D2"/>
    <w:rsid w:val="26C54B2C"/>
    <w:rsid w:val="26CC7C68"/>
    <w:rsid w:val="26D11723"/>
    <w:rsid w:val="26E36D60"/>
    <w:rsid w:val="26E769B2"/>
    <w:rsid w:val="26EE4083"/>
    <w:rsid w:val="26FB054E"/>
    <w:rsid w:val="27102ED4"/>
    <w:rsid w:val="271635D9"/>
    <w:rsid w:val="271F6B87"/>
    <w:rsid w:val="27441EF5"/>
    <w:rsid w:val="274517C9"/>
    <w:rsid w:val="27455C6D"/>
    <w:rsid w:val="274612B7"/>
    <w:rsid w:val="27561C28"/>
    <w:rsid w:val="275703DE"/>
    <w:rsid w:val="275A639C"/>
    <w:rsid w:val="277057A2"/>
    <w:rsid w:val="27775093"/>
    <w:rsid w:val="27800A53"/>
    <w:rsid w:val="27862302"/>
    <w:rsid w:val="279462AC"/>
    <w:rsid w:val="279571FA"/>
    <w:rsid w:val="279D33D4"/>
    <w:rsid w:val="279D467A"/>
    <w:rsid w:val="27A44741"/>
    <w:rsid w:val="27A74EBE"/>
    <w:rsid w:val="27AC51B9"/>
    <w:rsid w:val="27BA3F65"/>
    <w:rsid w:val="27BB0DA8"/>
    <w:rsid w:val="27C160FB"/>
    <w:rsid w:val="27C43035"/>
    <w:rsid w:val="27C82E0F"/>
    <w:rsid w:val="27D767A4"/>
    <w:rsid w:val="27E74159"/>
    <w:rsid w:val="27EE3C0E"/>
    <w:rsid w:val="27F56AE0"/>
    <w:rsid w:val="27F92BDD"/>
    <w:rsid w:val="27FC05C1"/>
    <w:rsid w:val="2804422C"/>
    <w:rsid w:val="28090D5A"/>
    <w:rsid w:val="280B47C0"/>
    <w:rsid w:val="28117600"/>
    <w:rsid w:val="28126F2A"/>
    <w:rsid w:val="28186EDD"/>
    <w:rsid w:val="281C4C20"/>
    <w:rsid w:val="282A2D36"/>
    <w:rsid w:val="282B09BF"/>
    <w:rsid w:val="283642C0"/>
    <w:rsid w:val="283755B5"/>
    <w:rsid w:val="283A68DD"/>
    <w:rsid w:val="283B40D1"/>
    <w:rsid w:val="284576CE"/>
    <w:rsid w:val="285048C9"/>
    <w:rsid w:val="28537F15"/>
    <w:rsid w:val="28541BD2"/>
    <w:rsid w:val="28575C58"/>
    <w:rsid w:val="285B2719"/>
    <w:rsid w:val="28677614"/>
    <w:rsid w:val="286926D3"/>
    <w:rsid w:val="286B34B1"/>
    <w:rsid w:val="28803518"/>
    <w:rsid w:val="28880ED1"/>
    <w:rsid w:val="288A7DDB"/>
    <w:rsid w:val="289355EF"/>
    <w:rsid w:val="28942A08"/>
    <w:rsid w:val="28953A96"/>
    <w:rsid w:val="28981E2E"/>
    <w:rsid w:val="289D7E88"/>
    <w:rsid w:val="28AF15F0"/>
    <w:rsid w:val="28BE1833"/>
    <w:rsid w:val="28BE4931"/>
    <w:rsid w:val="28CA0E3C"/>
    <w:rsid w:val="28CC448E"/>
    <w:rsid w:val="28CD7CC8"/>
    <w:rsid w:val="28DC615D"/>
    <w:rsid w:val="28E22AAD"/>
    <w:rsid w:val="28E72E42"/>
    <w:rsid w:val="28E862AC"/>
    <w:rsid w:val="28EA17C3"/>
    <w:rsid w:val="28EE2D47"/>
    <w:rsid w:val="28F2040C"/>
    <w:rsid w:val="28F22C3A"/>
    <w:rsid w:val="28F25190"/>
    <w:rsid w:val="28F33FB6"/>
    <w:rsid w:val="28F40AF9"/>
    <w:rsid w:val="28F6721F"/>
    <w:rsid w:val="290032A5"/>
    <w:rsid w:val="29054839"/>
    <w:rsid w:val="290556B4"/>
    <w:rsid w:val="291122AA"/>
    <w:rsid w:val="29114058"/>
    <w:rsid w:val="29162BC5"/>
    <w:rsid w:val="291870F9"/>
    <w:rsid w:val="291B4ED7"/>
    <w:rsid w:val="2920604A"/>
    <w:rsid w:val="29206EB8"/>
    <w:rsid w:val="29237CAD"/>
    <w:rsid w:val="293A32D8"/>
    <w:rsid w:val="293E4722"/>
    <w:rsid w:val="29436A16"/>
    <w:rsid w:val="29437F4F"/>
    <w:rsid w:val="29441486"/>
    <w:rsid w:val="294856D2"/>
    <w:rsid w:val="2950368E"/>
    <w:rsid w:val="2959155B"/>
    <w:rsid w:val="29595666"/>
    <w:rsid w:val="29695C42"/>
    <w:rsid w:val="296F6419"/>
    <w:rsid w:val="29702FAD"/>
    <w:rsid w:val="29703508"/>
    <w:rsid w:val="29755792"/>
    <w:rsid w:val="29791FFA"/>
    <w:rsid w:val="298011DE"/>
    <w:rsid w:val="29816F23"/>
    <w:rsid w:val="298365D8"/>
    <w:rsid w:val="29852351"/>
    <w:rsid w:val="29874881"/>
    <w:rsid w:val="298760C9"/>
    <w:rsid w:val="298B3FCA"/>
    <w:rsid w:val="298B46A0"/>
    <w:rsid w:val="29934A6D"/>
    <w:rsid w:val="29980ADF"/>
    <w:rsid w:val="299B7100"/>
    <w:rsid w:val="29A22182"/>
    <w:rsid w:val="29AC486E"/>
    <w:rsid w:val="29B82726"/>
    <w:rsid w:val="29B83B80"/>
    <w:rsid w:val="29C015DB"/>
    <w:rsid w:val="29C6209B"/>
    <w:rsid w:val="29C64E26"/>
    <w:rsid w:val="29CB308E"/>
    <w:rsid w:val="29CE019B"/>
    <w:rsid w:val="29D67050"/>
    <w:rsid w:val="29DD145E"/>
    <w:rsid w:val="29E325E0"/>
    <w:rsid w:val="29E928DF"/>
    <w:rsid w:val="29F1759E"/>
    <w:rsid w:val="29F37C02"/>
    <w:rsid w:val="29F766E0"/>
    <w:rsid w:val="29F85218"/>
    <w:rsid w:val="2A005E7B"/>
    <w:rsid w:val="2A0216BC"/>
    <w:rsid w:val="2A043BBD"/>
    <w:rsid w:val="2A141531"/>
    <w:rsid w:val="2A16744D"/>
    <w:rsid w:val="2A1738F0"/>
    <w:rsid w:val="2A1C40C0"/>
    <w:rsid w:val="2A1D28D2"/>
    <w:rsid w:val="2A1D4C7F"/>
    <w:rsid w:val="2A1E6264"/>
    <w:rsid w:val="2A1F619E"/>
    <w:rsid w:val="2A20493A"/>
    <w:rsid w:val="2A204996"/>
    <w:rsid w:val="2A2B5CA6"/>
    <w:rsid w:val="2A314286"/>
    <w:rsid w:val="2A3873C3"/>
    <w:rsid w:val="2A3A313B"/>
    <w:rsid w:val="2A3C62B6"/>
    <w:rsid w:val="2A452503"/>
    <w:rsid w:val="2A4C2E6E"/>
    <w:rsid w:val="2A506E02"/>
    <w:rsid w:val="2A510485"/>
    <w:rsid w:val="2A583579"/>
    <w:rsid w:val="2A5C1303"/>
    <w:rsid w:val="2A5C7555"/>
    <w:rsid w:val="2A5D137B"/>
    <w:rsid w:val="2A656CB8"/>
    <w:rsid w:val="2A6603D4"/>
    <w:rsid w:val="2A6A2C93"/>
    <w:rsid w:val="2A725283"/>
    <w:rsid w:val="2A7725E1"/>
    <w:rsid w:val="2A7740BB"/>
    <w:rsid w:val="2A7D127A"/>
    <w:rsid w:val="2A832B5A"/>
    <w:rsid w:val="2A841EDB"/>
    <w:rsid w:val="2A8B7E3A"/>
    <w:rsid w:val="2A8C37E9"/>
    <w:rsid w:val="2AA03CB8"/>
    <w:rsid w:val="2AA50EFC"/>
    <w:rsid w:val="2AAF3855"/>
    <w:rsid w:val="2AB7640D"/>
    <w:rsid w:val="2AC3330D"/>
    <w:rsid w:val="2AC60E73"/>
    <w:rsid w:val="2ACC6194"/>
    <w:rsid w:val="2ACD2FBA"/>
    <w:rsid w:val="2AD40F00"/>
    <w:rsid w:val="2AD44455"/>
    <w:rsid w:val="2ADA376F"/>
    <w:rsid w:val="2AE128D7"/>
    <w:rsid w:val="2AE337D3"/>
    <w:rsid w:val="2AEF3F25"/>
    <w:rsid w:val="2AF459E0"/>
    <w:rsid w:val="2AF9465D"/>
    <w:rsid w:val="2B0674C1"/>
    <w:rsid w:val="2B243DF5"/>
    <w:rsid w:val="2B3758CC"/>
    <w:rsid w:val="2B4012D0"/>
    <w:rsid w:val="2B4D5D0F"/>
    <w:rsid w:val="2B4F38F7"/>
    <w:rsid w:val="2B4F4E2D"/>
    <w:rsid w:val="2B6B0546"/>
    <w:rsid w:val="2B732123"/>
    <w:rsid w:val="2B79391A"/>
    <w:rsid w:val="2B886128"/>
    <w:rsid w:val="2B8C029D"/>
    <w:rsid w:val="2B9B40AD"/>
    <w:rsid w:val="2BA44FCF"/>
    <w:rsid w:val="2BA936A8"/>
    <w:rsid w:val="2BAE0DC2"/>
    <w:rsid w:val="2BB40550"/>
    <w:rsid w:val="2BB77B14"/>
    <w:rsid w:val="2BB92785"/>
    <w:rsid w:val="2BD21B3B"/>
    <w:rsid w:val="2BD575BF"/>
    <w:rsid w:val="2BD71534"/>
    <w:rsid w:val="2BD94334"/>
    <w:rsid w:val="2BDB6BA0"/>
    <w:rsid w:val="2BDF043E"/>
    <w:rsid w:val="2BE01D10"/>
    <w:rsid w:val="2BE05C4E"/>
    <w:rsid w:val="2BE16591"/>
    <w:rsid w:val="2BE2738B"/>
    <w:rsid w:val="2BF10171"/>
    <w:rsid w:val="2C027343"/>
    <w:rsid w:val="2C0B2FE1"/>
    <w:rsid w:val="2C0C1475"/>
    <w:rsid w:val="2C0C162B"/>
    <w:rsid w:val="2C0C1D01"/>
    <w:rsid w:val="2C131EB8"/>
    <w:rsid w:val="2C163734"/>
    <w:rsid w:val="2C1C51EE"/>
    <w:rsid w:val="2C1D2D14"/>
    <w:rsid w:val="2C2916B9"/>
    <w:rsid w:val="2C31056E"/>
    <w:rsid w:val="2C315A5A"/>
    <w:rsid w:val="2C3320BC"/>
    <w:rsid w:val="2C353716"/>
    <w:rsid w:val="2C416A03"/>
    <w:rsid w:val="2C4509EF"/>
    <w:rsid w:val="2C482E15"/>
    <w:rsid w:val="2C4B162F"/>
    <w:rsid w:val="2C4B1C25"/>
    <w:rsid w:val="2C520C10"/>
    <w:rsid w:val="2C581F9E"/>
    <w:rsid w:val="2C624BCB"/>
    <w:rsid w:val="2C6B4037"/>
    <w:rsid w:val="2C6D4D45"/>
    <w:rsid w:val="2C721392"/>
    <w:rsid w:val="2C7A1F15"/>
    <w:rsid w:val="2C7F3E29"/>
    <w:rsid w:val="2C7F4FF3"/>
    <w:rsid w:val="2C815051"/>
    <w:rsid w:val="2C82701B"/>
    <w:rsid w:val="2C8566CE"/>
    <w:rsid w:val="2C970D19"/>
    <w:rsid w:val="2C9D1421"/>
    <w:rsid w:val="2C9E029E"/>
    <w:rsid w:val="2C9E0609"/>
    <w:rsid w:val="2C9E3E55"/>
    <w:rsid w:val="2CA628E2"/>
    <w:rsid w:val="2CAC475F"/>
    <w:rsid w:val="2CB201D5"/>
    <w:rsid w:val="2CC13E88"/>
    <w:rsid w:val="2CC807E2"/>
    <w:rsid w:val="2CC80A91"/>
    <w:rsid w:val="2CCB6C14"/>
    <w:rsid w:val="2CD258AD"/>
    <w:rsid w:val="2CD47877"/>
    <w:rsid w:val="2CD72733"/>
    <w:rsid w:val="2CE03230"/>
    <w:rsid w:val="2CF63C91"/>
    <w:rsid w:val="2CF9552F"/>
    <w:rsid w:val="2CFC4120"/>
    <w:rsid w:val="2D010831"/>
    <w:rsid w:val="2D0115A8"/>
    <w:rsid w:val="2D0D4B37"/>
    <w:rsid w:val="2D14258E"/>
    <w:rsid w:val="2D197542"/>
    <w:rsid w:val="2D1B777C"/>
    <w:rsid w:val="2D1F70EF"/>
    <w:rsid w:val="2D241E80"/>
    <w:rsid w:val="2D2638CE"/>
    <w:rsid w:val="2D297AB8"/>
    <w:rsid w:val="2D2B79D4"/>
    <w:rsid w:val="2D2F5A8D"/>
    <w:rsid w:val="2D340277"/>
    <w:rsid w:val="2D340315"/>
    <w:rsid w:val="2D357669"/>
    <w:rsid w:val="2D3619B4"/>
    <w:rsid w:val="2D480265"/>
    <w:rsid w:val="2D5503F3"/>
    <w:rsid w:val="2D5B4AF5"/>
    <w:rsid w:val="2D5B685D"/>
    <w:rsid w:val="2D5E5392"/>
    <w:rsid w:val="2D73274B"/>
    <w:rsid w:val="2D766B80"/>
    <w:rsid w:val="2D7E66F1"/>
    <w:rsid w:val="2D7F2833"/>
    <w:rsid w:val="2D806BDB"/>
    <w:rsid w:val="2D8F7C42"/>
    <w:rsid w:val="2D915768"/>
    <w:rsid w:val="2D9E56F5"/>
    <w:rsid w:val="2DB631E5"/>
    <w:rsid w:val="2DB66EEA"/>
    <w:rsid w:val="2DBD030B"/>
    <w:rsid w:val="2DC518B5"/>
    <w:rsid w:val="2DC72D62"/>
    <w:rsid w:val="2DC81EA9"/>
    <w:rsid w:val="2DCC054E"/>
    <w:rsid w:val="2DD52E33"/>
    <w:rsid w:val="2DD907B5"/>
    <w:rsid w:val="2DDB2F86"/>
    <w:rsid w:val="2DDD3AA0"/>
    <w:rsid w:val="2DDF2977"/>
    <w:rsid w:val="2DDF7DE3"/>
    <w:rsid w:val="2DE27D71"/>
    <w:rsid w:val="2DE63201"/>
    <w:rsid w:val="2DEB7395"/>
    <w:rsid w:val="2DF81343"/>
    <w:rsid w:val="2DF91807"/>
    <w:rsid w:val="2E02189A"/>
    <w:rsid w:val="2E026666"/>
    <w:rsid w:val="2E0979F4"/>
    <w:rsid w:val="2E110181"/>
    <w:rsid w:val="2E152297"/>
    <w:rsid w:val="2E166B2C"/>
    <w:rsid w:val="2E180085"/>
    <w:rsid w:val="2E1B47E9"/>
    <w:rsid w:val="2E1C0B0B"/>
    <w:rsid w:val="2E1F500D"/>
    <w:rsid w:val="2E262354"/>
    <w:rsid w:val="2E266F24"/>
    <w:rsid w:val="2E271C28"/>
    <w:rsid w:val="2E2959A0"/>
    <w:rsid w:val="2E2A34C6"/>
    <w:rsid w:val="2E2E026D"/>
    <w:rsid w:val="2E2F0953"/>
    <w:rsid w:val="2E352597"/>
    <w:rsid w:val="2E375D15"/>
    <w:rsid w:val="2E417FB6"/>
    <w:rsid w:val="2E4F2F2D"/>
    <w:rsid w:val="2E504A9C"/>
    <w:rsid w:val="2E506366"/>
    <w:rsid w:val="2E534AA2"/>
    <w:rsid w:val="2E5F1A8F"/>
    <w:rsid w:val="2E60104E"/>
    <w:rsid w:val="2E6115DE"/>
    <w:rsid w:val="2E667F96"/>
    <w:rsid w:val="2E6C1D31"/>
    <w:rsid w:val="2E6D4AF8"/>
    <w:rsid w:val="2E6E3CFB"/>
    <w:rsid w:val="2E734E6D"/>
    <w:rsid w:val="2E7510C8"/>
    <w:rsid w:val="2E76108E"/>
    <w:rsid w:val="2E797950"/>
    <w:rsid w:val="2E7C6DB5"/>
    <w:rsid w:val="2E7D3F3E"/>
    <w:rsid w:val="2E7F3812"/>
    <w:rsid w:val="2E8226AB"/>
    <w:rsid w:val="2E876B6B"/>
    <w:rsid w:val="2E8C7518"/>
    <w:rsid w:val="2E8E1CA7"/>
    <w:rsid w:val="2E9A689E"/>
    <w:rsid w:val="2E9B161E"/>
    <w:rsid w:val="2E9C43C4"/>
    <w:rsid w:val="2EA96AE1"/>
    <w:rsid w:val="2EAC599E"/>
    <w:rsid w:val="2EB37960"/>
    <w:rsid w:val="2EB536D8"/>
    <w:rsid w:val="2EB72FAC"/>
    <w:rsid w:val="2EB857A7"/>
    <w:rsid w:val="2EC75BBC"/>
    <w:rsid w:val="2ECD1756"/>
    <w:rsid w:val="2ED40002"/>
    <w:rsid w:val="2ED7364E"/>
    <w:rsid w:val="2EDC6EB7"/>
    <w:rsid w:val="2EDE2C2F"/>
    <w:rsid w:val="2EE26B1C"/>
    <w:rsid w:val="2EE44AA2"/>
    <w:rsid w:val="2EE81957"/>
    <w:rsid w:val="2EF30B0C"/>
    <w:rsid w:val="2EF42085"/>
    <w:rsid w:val="2EF44200"/>
    <w:rsid w:val="2F012479"/>
    <w:rsid w:val="2F030B0F"/>
    <w:rsid w:val="2F0B32F8"/>
    <w:rsid w:val="2F106B60"/>
    <w:rsid w:val="2F13270B"/>
    <w:rsid w:val="2F141827"/>
    <w:rsid w:val="2F210D6D"/>
    <w:rsid w:val="2F266384"/>
    <w:rsid w:val="2F2B5CE3"/>
    <w:rsid w:val="2F326AD7"/>
    <w:rsid w:val="2F3740ED"/>
    <w:rsid w:val="2F424F98"/>
    <w:rsid w:val="2F48454C"/>
    <w:rsid w:val="2F4E0DAB"/>
    <w:rsid w:val="2F540E91"/>
    <w:rsid w:val="2F57478F"/>
    <w:rsid w:val="2F5836E9"/>
    <w:rsid w:val="2F700F60"/>
    <w:rsid w:val="2F7E5719"/>
    <w:rsid w:val="2F8202D8"/>
    <w:rsid w:val="2F8A6913"/>
    <w:rsid w:val="2F8C4439"/>
    <w:rsid w:val="2F950E14"/>
    <w:rsid w:val="2F9718C9"/>
    <w:rsid w:val="2F9B28BE"/>
    <w:rsid w:val="2FA07530"/>
    <w:rsid w:val="2FA15A0A"/>
    <w:rsid w:val="2FA23C5C"/>
    <w:rsid w:val="2FA5374C"/>
    <w:rsid w:val="2FB25651"/>
    <w:rsid w:val="2FB56015"/>
    <w:rsid w:val="2FB67708"/>
    <w:rsid w:val="2FB944A8"/>
    <w:rsid w:val="2FBC2844"/>
    <w:rsid w:val="2FCB3E32"/>
    <w:rsid w:val="2FCC2A87"/>
    <w:rsid w:val="2FD065E6"/>
    <w:rsid w:val="2FD96870"/>
    <w:rsid w:val="2FE708CC"/>
    <w:rsid w:val="2FE87E8A"/>
    <w:rsid w:val="2FE9188B"/>
    <w:rsid w:val="2FF371D9"/>
    <w:rsid w:val="2FF63FA8"/>
    <w:rsid w:val="2FFB572C"/>
    <w:rsid w:val="30004E27"/>
    <w:rsid w:val="30075E17"/>
    <w:rsid w:val="30087837"/>
    <w:rsid w:val="30093CDB"/>
    <w:rsid w:val="300D4E4E"/>
    <w:rsid w:val="30191A45"/>
    <w:rsid w:val="301A5EE8"/>
    <w:rsid w:val="30221A93"/>
    <w:rsid w:val="3025663B"/>
    <w:rsid w:val="30294E86"/>
    <w:rsid w:val="302C5C1C"/>
    <w:rsid w:val="302D5A00"/>
    <w:rsid w:val="303074BA"/>
    <w:rsid w:val="30330D58"/>
    <w:rsid w:val="303B3B4E"/>
    <w:rsid w:val="303D3876"/>
    <w:rsid w:val="3040525F"/>
    <w:rsid w:val="30405AEB"/>
    <w:rsid w:val="30430644"/>
    <w:rsid w:val="30442653"/>
    <w:rsid w:val="3045283A"/>
    <w:rsid w:val="304C5976"/>
    <w:rsid w:val="30534132"/>
    <w:rsid w:val="30580BC9"/>
    <w:rsid w:val="305922EF"/>
    <w:rsid w:val="305E56A9"/>
    <w:rsid w:val="30611DAC"/>
    <w:rsid w:val="30645D0A"/>
    <w:rsid w:val="30766E97"/>
    <w:rsid w:val="3080086A"/>
    <w:rsid w:val="3082649B"/>
    <w:rsid w:val="308817FA"/>
    <w:rsid w:val="308F56F4"/>
    <w:rsid w:val="3095556F"/>
    <w:rsid w:val="309F44FF"/>
    <w:rsid w:val="30A56CD5"/>
    <w:rsid w:val="30AB5338"/>
    <w:rsid w:val="30B33C47"/>
    <w:rsid w:val="30B81E83"/>
    <w:rsid w:val="30BA4FD6"/>
    <w:rsid w:val="30CB0F91"/>
    <w:rsid w:val="30CE0A81"/>
    <w:rsid w:val="30D96CC6"/>
    <w:rsid w:val="30DF67EA"/>
    <w:rsid w:val="30E107B4"/>
    <w:rsid w:val="30E63C30"/>
    <w:rsid w:val="30F009F7"/>
    <w:rsid w:val="30F229C1"/>
    <w:rsid w:val="30F57F8D"/>
    <w:rsid w:val="31091AB9"/>
    <w:rsid w:val="31093867"/>
    <w:rsid w:val="310C5E46"/>
    <w:rsid w:val="31122E9F"/>
    <w:rsid w:val="311255A5"/>
    <w:rsid w:val="311C7A3E"/>
    <w:rsid w:val="311E2ED7"/>
    <w:rsid w:val="312C3E61"/>
    <w:rsid w:val="313905F0"/>
    <w:rsid w:val="31402E1B"/>
    <w:rsid w:val="31437F61"/>
    <w:rsid w:val="31476261"/>
    <w:rsid w:val="315610DB"/>
    <w:rsid w:val="315619EE"/>
    <w:rsid w:val="31570A76"/>
    <w:rsid w:val="315C449C"/>
    <w:rsid w:val="31615451"/>
    <w:rsid w:val="31622A14"/>
    <w:rsid w:val="316450AF"/>
    <w:rsid w:val="316B33A6"/>
    <w:rsid w:val="31706BF7"/>
    <w:rsid w:val="3172765E"/>
    <w:rsid w:val="3174713F"/>
    <w:rsid w:val="3175714F"/>
    <w:rsid w:val="317D3D87"/>
    <w:rsid w:val="318B6972"/>
    <w:rsid w:val="318F1F71"/>
    <w:rsid w:val="318F1FBE"/>
    <w:rsid w:val="318F29B2"/>
    <w:rsid w:val="31994BEB"/>
    <w:rsid w:val="319D5E4B"/>
    <w:rsid w:val="31A97CD4"/>
    <w:rsid w:val="31AA329C"/>
    <w:rsid w:val="31AF440F"/>
    <w:rsid w:val="31B5579D"/>
    <w:rsid w:val="31B82709"/>
    <w:rsid w:val="31C34B03"/>
    <w:rsid w:val="31D05482"/>
    <w:rsid w:val="31D2634F"/>
    <w:rsid w:val="31D64091"/>
    <w:rsid w:val="31D73965"/>
    <w:rsid w:val="31DE6E0A"/>
    <w:rsid w:val="31E30CA8"/>
    <w:rsid w:val="31EA7E07"/>
    <w:rsid w:val="31F42FA6"/>
    <w:rsid w:val="31F97D80"/>
    <w:rsid w:val="31FC33CC"/>
    <w:rsid w:val="32085CA7"/>
    <w:rsid w:val="32144BB9"/>
    <w:rsid w:val="3216448E"/>
    <w:rsid w:val="32280C48"/>
    <w:rsid w:val="322B69C3"/>
    <w:rsid w:val="322F6531"/>
    <w:rsid w:val="32335537"/>
    <w:rsid w:val="3239017C"/>
    <w:rsid w:val="323C7DCD"/>
    <w:rsid w:val="323D7C6C"/>
    <w:rsid w:val="32400B34"/>
    <w:rsid w:val="32406EF5"/>
    <w:rsid w:val="32422082"/>
    <w:rsid w:val="32461651"/>
    <w:rsid w:val="324B208A"/>
    <w:rsid w:val="324C087C"/>
    <w:rsid w:val="324C2991"/>
    <w:rsid w:val="324D000F"/>
    <w:rsid w:val="325D52DC"/>
    <w:rsid w:val="32690A61"/>
    <w:rsid w:val="326E6078"/>
    <w:rsid w:val="32715B68"/>
    <w:rsid w:val="32717916"/>
    <w:rsid w:val="327411B4"/>
    <w:rsid w:val="32794A1C"/>
    <w:rsid w:val="32852EE6"/>
    <w:rsid w:val="328A56AC"/>
    <w:rsid w:val="328F13DA"/>
    <w:rsid w:val="32981347"/>
    <w:rsid w:val="32987598"/>
    <w:rsid w:val="329E6876"/>
    <w:rsid w:val="32A05D1F"/>
    <w:rsid w:val="32A17B4A"/>
    <w:rsid w:val="32A372A9"/>
    <w:rsid w:val="32A967B3"/>
    <w:rsid w:val="32B85545"/>
    <w:rsid w:val="32BA12BD"/>
    <w:rsid w:val="32BA306B"/>
    <w:rsid w:val="32BE4284"/>
    <w:rsid w:val="32BF4CA5"/>
    <w:rsid w:val="32C4213C"/>
    <w:rsid w:val="32C57D41"/>
    <w:rsid w:val="32C959A4"/>
    <w:rsid w:val="32D305D1"/>
    <w:rsid w:val="32D6074B"/>
    <w:rsid w:val="32D86CB5"/>
    <w:rsid w:val="32E2366C"/>
    <w:rsid w:val="32EB3324"/>
    <w:rsid w:val="32F50547"/>
    <w:rsid w:val="32F522F5"/>
    <w:rsid w:val="32FA5B5D"/>
    <w:rsid w:val="330C5891"/>
    <w:rsid w:val="33107D3E"/>
    <w:rsid w:val="33163F6E"/>
    <w:rsid w:val="33292712"/>
    <w:rsid w:val="332F629A"/>
    <w:rsid w:val="333015F2"/>
    <w:rsid w:val="33412253"/>
    <w:rsid w:val="334B0167"/>
    <w:rsid w:val="334B6320"/>
    <w:rsid w:val="334D5A38"/>
    <w:rsid w:val="334E7C57"/>
    <w:rsid w:val="335039CF"/>
    <w:rsid w:val="33596D28"/>
    <w:rsid w:val="335A25BE"/>
    <w:rsid w:val="335E6B36"/>
    <w:rsid w:val="33681108"/>
    <w:rsid w:val="33691AE3"/>
    <w:rsid w:val="336F6A99"/>
    <w:rsid w:val="33780A18"/>
    <w:rsid w:val="337D0287"/>
    <w:rsid w:val="337E053C"/>
    <w:rsid w:val="337E678E"/>
    <w:rsid w:val="338B0EAB"/>
    <w:rsid w:val="338C0D44"/>
    <w:rsid w:val="338D69D1"/>
    <w:rsid w:val="33955886"/>
    <w:rsid w:val="33973471"/>
    <w:rsid w:val="339D5BC7"/>
    <w:rsid w:val="33A31D51"/>
    <w:rsid w:val="33A361F5"/>
    <w:rsid w:val="33A51F6D"/>
    <w:rsid w:val="33A72170"/>
    <w:rsid w:val="33A930DF"/>
    <w:rsid w:val="33AC5D33"/>
    <w:rsid w:val="33AD12D4"/>
    <w:rsid w:val="33AD4E53"/>
    <w:rsid w:val="33B43F5E"/>
    <w:rsid w:val="33C00B55"/>
    <w:rsid w:val="33C5637D"/>
    <w:rsid w:val="33CF38D5"/>
    <w:rsid w:val="33D934D4"/>
    <w:rsid w:val="33D939C5"/>
    <w:rsid w:val="33DE760F"/>
    <w:rsid w:val="33EB36F8"/>
    <w:rsid w:val="33EC1B85"/>
    <w:rsid w:val="33ED7470"/>
    <w:rsid w:val="33F23C50"/>
    <w:rsid w:val="33FE2F6A"/>
    <w:rsid w:val="33FF7C1B"/>
    <w:rsid w:val="34014CC9"/>
    <w:rsid w:val="340E07E5"/>
    <w:rsid w:val="34126FC9"/>
    <w:rsid w:val="34235BF7"/>
    <w:rsid w:val="342D1CB8"/>
    <w:rsid w:val="343B539C"/>
    <w:rsid w:val="343D5072"/>
    <w:rsid w:val="34405134"/>
    <w:rsid w:val="34453929"/>
    <w:rsid w:val="344922F2"/>
    <w:rsid w:val="345163B4"/>
    <w:rsid w:val="345309D9"/>
    <w:rsid w:val="34546A3D"/>
    <w:rsid w:val="345D63A4"/>
    <w:rsid w:val="345E3ECA"/>
    <w:rsid w:val="346E6803"/>
    <w:rsid w:val="34775202"/>
    <w:rsid w:val="347A07E1"/>
    <w:rsid w:val="347B2A5F"/>
    <w:rsid w:val="348E318A"/>
    <w:rsid w:val="34963664"/>
    <w:rsid w:val="34967B08"/>
    <w:rsid w:val="34B644B3"/>
    <w:rsid w:val="34C05684"/>
    <w:rsid w:val="34CA064D"/>
    <w:rsid w:val="34D10B40"/>
    <w:rsid w:val="34D425CC"/>
    <w:rsid w:val="34D92909"/>
    <w:rsid w:val="34DA5C46"/>
    <w:rsid w:val="34E00D83"/>
    <w:rsid w:val="34E335C7"/>
    <w:rsid w:val="34E348D2"/>
    <w:rsid w:val="34E97C37"/>
    <w:rsid w:val="34F34F5A"/>
    <w:rsid w:val="34FC3E0F"/>
    <w:rsid w:val="34FC7100"/>
    <w:rsid w:val="34FF680C"/>
    <w:rsid w:val="350466DA"/>
    <w:rsid w:val="351C000D"/>
    <w:rsid w:val="351F5D4F"/>
    <w:rsid w:val="35213875"/>
    <w:rsid w:val="35245113"/>
    <w:rsid w:val="352755AF"/>
    <w:rsid w:val="352D221A"/>
    <w:rsid w:val="35312755"/>
    <w:rsid w:val="35325A82"/>
    <w:rsid w:val="353A393C"/>
    <w:rsid w:val="353C245D"/>
    <w:rsid w:val="353C5023"/>
    <w:rsid w:val="353F2B92"/>
    <w:rsid w:val="353F5AA9"/>
    <w:rsid w:val="35436CC7"/>
    <w:rsid w:val="35485068"/>
    <w:rsid w:val="354C708F"/>
    <w:rsid w:val="35500ACE"/>
    <w:rsid w:val="35523A2F"/>
    <w:rsid w:val="35570879"/>
    <w:rsid w:val="355C7D01"/>
    <w:rsid w:val="356035C6"/>
    <w:rsid w:val="3566572C"/>
    <w:rsid w:val="35672286"/>
    <w:rsid w:val="356B689E"/>
    <w:rsid w:val="357207F2"/>
    <w:rsid w:val="35731BF7"/>
    <w:rsid w:val="357339A5"/>
    <w:rsid w:val="357A422A"/>
    <w:rsid w:val="357D6758"/>
    <w:rsid w:val="3583008C"/>
    <w:rsid w:val="35834451"/>
    <w:rsid w:val="35886536"/>
    <w:rsid w:val="358C5FA8"/>
    <w:rsid w:val="358D0F0B"/>
    <w:rsid w:val="359B75A3"/>
    <w:rsid w:val="35A35F0C"/>
    <w:rsid w:val="35A66707"/>
    <w:rsid w:val="35A71611"/>
    <w:rsid w:val="35A95619"/>
    <w:rsid w:val="35C15DF1"/>
    <w:rsid w:val="35C46D8C"/>
    <w:rsid w:val="35C8524D"/>
    <w:rsid w:val="35CA5CBB"/>
    <w:rsid w:val="35D01EDB"/>
    <w:rsid w:val="35E02D14"/>
    <w:rsid w:val="35E84393"/>
    <w:rsid w:val="35EA010B"/>
    <w:rsid w:val="35EB7B5A"/>
    <w:rsid w:val="35ED7BFB"/>
    <w:rsid w:val="35F33821"/>
    <w:rsid w:val="35F34237"/>
    <w:rsid w:val="35F768B7"/>
    <w:rsid w:val="35FD3986"/>
    <w:rsid w:val="35FE2E44"/>
    <w:rsid w:val="36047377"/>
    <w:rsid w:val="36056CF3"/>
    <w:rsid w:val="36074A7F"/>
    <w:rsid w:val="360B0081"/>
    <w:rsid w:val="360C1F8B"/>
    <w:rsid w:val="361321B3"/>
    <w:rsid w:val="36140CE4"/>
    <w:rsid w:val="361840AC"/>
    <w:rsid w:val="3619535F"/>
    <w:rsid w:val="361B2A2D"/>
    <w:rsid w:val="361C403D"/>
    <w:rsid w:val="361E726F"/>
    <w:rsid w:val="362178A5"/>
    <w:rsid w:val="362A675A"/>
    <w:rsid w:val="36314876"/>
    <w:rsid w:val="36325D12"/>
    <w:rsid w:val="36363350"/>
    <w:rsid w:val="363713B7"/>
    <w:rsid w:val="363B2F66"/>
    <w:rsid w:val="36407D2B"/>
    <w:rsid w:val="36413AA3"/>
    <w:rsid w:val="36443753"/>
    <w:rsid w:val="36464E91"/>
    <w:rsid w:val="36607581"/>
    <w:rsid w:val="36613D32"/>
    <w:rsid w:val="36632356"/>
    <w:rsid w:val="366C0B20"/>
    <w:rsid w:val="366F6862"/>
    <w:rsid w:val="3670428D"/>
    <w:rsid w:val="367134E1"/>
    <w:rsid w:val="36785717"/>
    <w:rsid w:val="36820BD0"/>
    <w:rsid w:val="3685555B"/>
    <w:rsid w:val="36900240"/>
    <w:rsid w:val="36923549"/>
    <w:rsid w:val="369F1EAD"/>
    <w:rsid w:val="36A515EB"/>
    <w:rsid w:val="36A752D6"/>
    <w:rsid w:val="36AB6ECE"/>
    <w:rsid w:val="36AC4BA9"/>
    <w:rsid w:val="36B75FBF"/>
    <w:rsid w:val="36B971F0"/>
    <w:rsid w:val="36BD0C45"/>
    <w:rsid w:val="36BE50F4"/>
    <w:rsid w:val="36BE6EA2"/>
    <w:rsid w:val="36C73FA8"/>
    <w:rsid w:val="36D3537A"/>
    <w:rsid w:val="36D63C8A"/>
    <w:rsid w:val="36DA0180"/>
    <w:rsid w:val="36E032BC"/>
    <w:rsid w:val="36EF0F55"/>
    <w:rsid w:val="36FB21DC"/>
    <w:rsid w:val="370F10D1"/>
    <w:rsid w:val="37133692"/>
    <w:rsid w:val="371C7F29"/>
    <w:rsid w:val="372617C9"/>
    <w:rsid w:val="37272C99"/>
    <w:rsid w:val="3727713D"/>
    <w:rsid w:val="372C0C50"/>
    <w:rsid w:val="372E0CF4"/>
    <w:rsid w:val="372E1214"/>
    <w:rsid w:val="37372300"/>
    <w:rsid w:val="373C427D"/>
    <w:rsid w:val="37404F3E"/>
    <w:rsid w:val="37437A62"/>
    <w:rsid w:val="374D6389"/>
    <w:rsid w:val="37647A49"/>
    <w:rsid w:val="37661A13"/>
    <w:rsid w:val="376C4F8C"/>
    <w:rsid w:val="37732382"/>
    <w:rsid w:val="37774177"/>
    <w:rsid w:val="377D6D5D"/>
    <w:rsid w:val="37806B9F"/>
    <w:rsid w:val="37826121"/>
    <w:rsid w:val="378620B5"/>
    <w:rsid w:val="379105D4"/>
    <w:rsid w:val="3794149D"/>
    <w:rsid w:val="379851DD"/>
    <w:rsid w:val="37991DE9"/>
    <w:rsid w:val="37A10C9D"/>
    <w:rsid w:val="37A13EFE"/>
    <w:rsid w:val="37A20571"/>
    <w:rsid w:val="37A8535D"/>
    <w:rsid w:val="37B07013"/>
    <w:rsid w:val="37B26A07"/>
    <w:rsid w:val="37B95D33"/>
    <w:rsid w:val="37C07CD2"/>
    <w:rsid w:val="37C4673A"/>
    <w:rsid w:val="37D3697D"/>
    <w:rsid w:val="37D746BF"/>
    <w:rsid w:val="37DA181F"/>
    <w:rsid w:val="37E00298"/>
    <w:rsid w:val="37E50C8E"/>
    <w:rsid w:val="37EB3CC7"/>
    <w:rsid w:val="37EC38F1"/>
    <w:rsid w:val="37EC6507"/>
    <w:rsid w:val="37F27B04"/>
    <w:rsid w:val="37F4701F"/>
    <w:rsid w:val="38082ACA"/>
    <w:rsid w:val="38093390"/>
    <w:rsid w:val="380D6CC7"/>
    <w:rsid w:val="3814146F"/>
    <w:rsid w:val="381B569C"/>
    <w:rsid w:val="381C47C8"/>
    <w:rsid w:val="3821042E"/>
    <w:rsid w:val="38233D50"/>
    <w:rsid w:val="382507E6"/>
    <w:rsid w:val="38277363"/>
    <w:rsid w:val="38282957"/>
    <w:rsid w:val="382844BE"/>
    <w:rsid w:val="3830172E"/>
    <w:rsid w:val="38310812"/>
    <w:rsid w:val="38327B47"/>
    <w:rsid w:val="383517D5"/>
    <w:rsid w:val="3837515E"/>
    <w:rsid w:val="383C09C6"/>
    <w:rsid w:val="384F06F9"/>
    <w:rsid w:val="385009BF"/>
    <w:rsid w:val="38523D46"/>
    <w:rsid w:val="38526AFA"/>
    <w:rsid w:val="38547ABE"/>
    <w:rsid w:val="385A6492"/>
    <w:rsid w:val="386677F1"/>
    <w:rsid w:val="386B4E07"/>
    <w:rsid w:val="386D0B7F"/>
    <w:rsid w:val="386E3FD5"/>
    <w:rsid w:val="387B329C"/>
    <w:rsid w:val="387C536A"/>
    <w:rsid w:val="387C703E"/>
    <w:rsid w:val="387E2D8D"/>
    <w:rsid w:val="38855EC9"/>
    <w:rsid w:val="38983E4E"/>
    <w:rsid w:val="389B56ED"/>
    <w:rsid w:val="38A05BB7"/>
    <w:rsid w:val="38A13033"/>
    <w:rsid w:val="38A25A88"/>
    <w:rsid w:val="38A547BD"/>
    <w:rsid w:val="38A8605B"/>
    <w:rsid w:val="38A87E0A"/>
    <w:rsid w:val="38AA1DD4"/>
    <w:rsid w:val="38AB7B1E"/>
    <w:rsid w:val="38AD4C77"/>
    <w:rsid w:val="38B02CFD"/>
    <w:rsid w:val="38B302F9"/>
    <w:rsid w:val="38B73B53"/>
    <w:rsid w:val="38B94930"/>
    <w:rsid w:val="38B95B73"/>
    <w:rsid w:val="38BD1B07"/>
    <w:rsid w:val="38C20B2E"/>
    <w:rsid w:val="38C70290"/>
    <w:rsid w:val="38C74734"/>
    <w:rsid w:val="38CC7F9C"/>
    <w:rsid w:val="38D17360"/>
    <w:rsid w:val="38D26ECD"/>
    <w:rsid w:val="38D429AD"/>
    <w:rsid w:val="38D44413"/>
    <w:rsid w:val="38E86458"/>
    <w:rsid w:val="38F12CD3"/>
    <w:rsid w:val="38F33963"/>
    <w:rsid w:val="38F6689C"/>
    <w:rsid w:val="38F92413"/>
    <w:rsid w:val="38F94775"/>
    <w:rsid w:val="38FA1BB8"/>
    <w:rsid w:val="38FD0DA2"/>
    <w:rsid w:val="38FF4281"/>
    <w:rsid w:val="390D6A5E"/>
    <w:rsid w:val="391060DB"/>
    <w:rsid w:val="39186D3D"/>
    <w:rsid w:val="391A19CA"/>
    <w:rsid w:val="391E61C3"/>
    <w:rsid w:val="39232F40"/>
    <w:rsid w:val="39275AE1"/>
    <w:rsid w:val="392971ED"/>
    <w:rsid w:val="392E4801"/>
    <w:rsid w:val="39304172"/>
    <w:rsid w:val="39325651"/>
    <w:rsid w:val="39385CB2"/>
    <w:rsid w:val="393F44A5"/>
    <w:rsid w:val="39406294"/>
    <w:rsid w:val="394624FA"/>
    <w:rsid w:val="394704B1"/>
    <w:rsid w:val="39495149"/>
    <w:rsid w:val="39496CCF"/>
    <w:rsid w:val="394A250A"/>
    <w:rsid w:val="394D6F17"/>
    <w:rsid w:val="394E6C03"/>
    <w:rsid w:val="39537D75"/>
    <w:rsid w:val="396E4BAF"/>
    <w:rsid w:val="396E7383"/>
    <w:rsid w:val="397C544B"/>
    <w:rsid w:val="3982065B"/>
    <w:rsid w:val="398A1ADC"/>
    <w:rsid w:val="398C14D9"/>
    <w:rsid w:val="39930ABA"/>
    <w:rsid w:val="3996298A"/>
    <w:rsid w:val="39972358"/>
    <w:rsid w:val="39997265"/>
    <w:rsid w:val="399F551B"/>
    <w:rsid w:val="39A16D33"/>
    <w:rsid w:val="39A5514B"/>
    <w:rsid w:val="39AB195F"/>
    <w:rsid w:val="39AD0063"/>
    <w:rsid w:val="39B95206"/>
    <w:rsid w:val="39C173D5"/>
    <w:rsid w:val="39C676A1"/>
    <w:rsid w:val="39CC57A5"/>
    <w:rsid w:val="39CC60C1"/>
    <w:rsid w:val="39CD7B28"/>
    <w:rsid w:val="39DE1F09"/>
    <w:rsid w:val="39E41315"/>
    <w:rsid w:val="39E70B8E"/>
    <w:rsid w:val="39E747E2"/>
    <w:rsid w:val="39EB26A4"/>
    <w:rsid w:val="39EB38E0"/>
    <w:rsid w:val="39F57D21"/>
    <w:rsid w:val="39FC330C"/>
    <w:rsid w:val="3A016E55"/>
    <w:rsid w:val="3A0177D1"/>
    <w:rsid w:val="3A023FD8"/>
    <w:rsid w:val="3A04118C"/>
    <w:rsid w:val="3A0A01C8"/>
    <w:rsid w:val="3A0F3643"/>
    <w:rsid w:val="3A127C30"/>
    <w:rsid w:val="3A172CDE"/>
    <w:rsid w:val="3A1A6AE5"/>
    <w:rsid w:val="3A2E433E"/>
    <w:rsid w:val="3A322081"/>
    <w:rsid w:val="3A361B71"/>
    <w:rsid w:val="3A3A2CE3"/>
    <w:rsid w:val="3A4C7737"/>
    <w:rsid w:val="3A5F1589"/>
    <w:rsid w:val="3A612966"/>
    <w:rsid w:val="3A63223A"/>
    <w:rsid w:val="3A654204"/>
    <w:rsid w:val="3A667F7C"/>
    <w:rsid w:val="3A7A7584"/>
    <w:rsid w:val="3A872856"/>
    <w:rsid w:val="3A8F4314"/>
    <w:rsid w:val="3AA12D62"/>
    <w:rsid w:val="3AAF2B73"/>
    <w:rsid w:val="3AB45085"/>
    <w:rsid w:val="3ABB2076"/>
    <w:rsid w:val="3AC23843"/>
    <w:rsid w:val="3AC415A4"/>
    <w:rsid w:val="3AC70A1B"/>
    <w:rsid w:val="3AC9755C"/>
    <w:rsid w:val="3ACC6031"/>
    <w:rsid w:val="3ACD3B57"/>
    <w:rsid w:val="3ACD7AE4"/>
    <w:rsid w:val="3ACE7FFB"/>
    <w:rsid w:val="3AD26B0E"/>
    <w:rsid w:val="3AD35612"/>
    <w:rsid w:val="3AE3337B"/>
    <w:rsid w:val="3AF03860"/>
    <w:rsid w:val="3AF37A62"/>
    <w:rsid w:val="3AFB06C4"/>
    <w:rsid w:val="3AFB7CD2"/>
    <w:rsid w:val="3B003F2D"/>
    <w:rsid w:val="3B007A89"/>
    <w:rsid w:val="3B051543"/>
    <w:rsid w:val="3B05373E"/>
    <w:rsid w:val="3B077069"/>
    <w:rsid w:val="3B0B6B11"/>
    <w:rsid w:val="3B20637D"/>
    <w:rsid w:val="3B2835AA"/>
    <w:rsid w:val="3B286FE0"/>
    <w:rsid w:val="3B2E2848"/>
    <w:rsid w:val="3B31058A"/>
    <w:rsid w:val="3B337E5E"/>
    <w:rsid w:val="3B3763D1"/>
    <w:rsid w:val="3B3D3DF1"/>
    <w:rsid w:val="3B487C5C"/>
    <w:rsid w:val="3B51524D"/>
    <w:rsid w:val="3B516536"/>
    <w:rsid w:val="3B551709"/>
    <w:rsid w:val="3B5A6F24"/>
    <w:rsid w:val="3B5D312D"/>
    <w:rsid w:val="3B621D03"/>
    <w:rsid w:val="3B6A2783"/>
    <w:rsid w:val="3B7003D2"/>
    <w:rsid w:val="3B732951"/>
    <w:rsid w:val="3B783AC3"/>
    <w:rsid w:val="3B8E318D"/>
    <w:rsid w:val="3B96663F"/>
    <w:rsid w:val="3B976570"/>
    <w:rsid w:val="3B9F3746"/>
    <w:rsid w:val="3BA32268"/>
    <w:rsid w:val="3BA6272A"/>
    <w:rsid w:val="3BA72258"/>
    <w:rsid w:val="3BB32E97"/>
    <w:rsid w:val="3BB55DAC"/>
    <w:rsid w:val="3BB64B93"/>
    <w:rsid w:val="3BB84807"/>
    <w:rsid w:val="3BB93856"/>
    <w:rsid w:val="3BBB17DC"/>
    <w:rsid w:val="3BC24B99"/>
    <w:rsid w:val="3BC367C1"/>
    <w:rsid w:val="3BC3758B"/>
    <w:rsid w:val="3BC767F9"/>
    <w:rsid w:val="3BD05797"/>
    <w:rsid w:val="3BD553B9"/>
    <w:rsid w:val="3BD70274"/>
    <w:rsid w:val="3BDE596A"/>
    <w:rsid w:val="3BE66B87"/>
    <w:rsid w:val="3BE76FD4"/>
    <w:rsid w:val="3BEC483D"/>
    <w:rsid w:val="3BEC625F"/>
    <w:rsid w:val="3BF10314"/>
    <w:rsid w:val="3BF40D2C"/>
    <w:rsid w:val="3BF515B8"/>
    <w:rsid w:val="3BFE1CEB"/>
    <w:rsid w:val="3BFF41E4"/>
    <w:rsid w:val="3C026B24"/>
    <w:rsid w:val="3C027831"/>
    <w:rsid w:val="3C035857"/>
    <w:rsid w:val="3C03644E"/>
    <w:rsid w:val="3C0A47BB"/>
    <w:rsid w:val="3C0D06AF"/>
    <w:rsid w:val="3C0E5615"/>
    <w:rsid w:val="3C187054"/>
    <w:rsid w:val="3C237ED3"/>
    <w:rsid w:val="3C2F4ACA"/>
    <w:rsid w:val="3C2F6E1E"/>
    <w:rsid w:val="3C351CFC"/>
    <w:rsid w:val="3C377FF5"/>
    <w:rsid w:val="3C432323"/>
    <w:rsid w:val="3C463BC1"/>
    <w:rsid w:val="3C4936B2"/>
    <w:rsid w:val="3C4C171C"/>
    <w:rsid w:val="3C4F64BA"/>
    <w:rsid w:val="3C4F6F1A"/>
    <w:rsid w:val="3C505B8F"/>
    <w:rsid w:val="3C52023A"/>
    <w:rsid w:val="3C552056"/>
    <w:rsid w:val="3C553E04"/>
    <w:rsid w:val="3C59537C"/>
    <w:rsid w:val="3C5B7DC9"/>
    <w:rsid w:val="3C6504EB"/>
    <w:rsid w:val="3C6648CA"/>
    <w:rsid w:val="3C673A33"/>
    <w:rsid w:val="3C6F136A"/>
    <w:rsid w:val="3C705267"/>
    <w:rsid w:val="3C753F8B"/>
    <w:rsid w:val="3C770627"/>
    <w:rsid w:val="3C78598D"/>
    <w:rsid w:val="3C795D45"/>
    <w:rsid w:val="3C7A4FBF"/>
    <w:rsid w:val="3C7A532C"/>
    <w:rsid w:val="3C7B7D0F"/>
    <w:rsid w:val="3C7F0E81"/>
    <w:rsid w:val="3C805D9B"/>
    <w:rsid w:val="3C812E4B"/>
    <w:rsid w:val="3C81722D"/>
    <w:rsid w:val="3C853690"/>
    <w:rsid w:val="3C990195"/>
    <w:rsid w:val="3C9E57AB"/>
    <w:rsid w:val="3CA14969"/>
    <w:rsid w:val="3CA56B3A"/>
    <w:rsid w:val="3CA8487C"/>
    <w:rsid w:val="3CB66F99"/>
    <w:rsid w:val="3CD91462"/>
    <w:rsid w:val="3CDA245A"/>
    <w:rsid w:val="3CDB11F3"/>
    <w:rsid w:val="3CDF116D"/>
    <w:rsid w:val="3CE77152"/>
    <w:rsid w:val="3CF04860"/>
    <w:rsid w:val="3CF67395"/>
    <w:rsid w:val="3CF8135F"/>
    <w:rsid w:val="3D037153"/>
    <w:rsid w:val="3D0D09B7"/>
    <w:rsid w:val="3D134987"/>
    <w:rsid w:val="3D1362F8"/>
    <w:rsid w:val="3D193084"/>
    <w:rsid w:val="3D1E06B7"/>
    <w:rsid w:val="3D22462E"/>
    <w:rsid w:val="3D281519"/>
    <w:rsid w:val="3D2E4D81"/>
    <w:rsid w:val="3D34642A"/>
    <w:rsid w:val="3D3673FA"/>
    <w:rsid w:val="3D3A1978"/>
    <w:rsid w:val="3D406863"/>
    <w:rsid w:val="3D5440BC"/>
    <w:rsid w:val="3D5D3DEB"/>
    <w:rsid w:val="3D624DA6"/>
    <w:rsid w:val="3D645442"/>
    <w:rsid w:val="3D6B4490"/>
    <w:rsid w:val="3D6E0485"/>
    <w:rsid w:val="3D6E0A76"/>
    <w:rsid w:val="3D6F788E"/>
    <w:rsid w:val="3D70539A"/>
    <w:rsid w:val="3D89645B"/>
    <w:rsid w:val="3D8C1AA8"/>
    <w:rsid w:val="3D8C7AF4"/>
    <w:rsid w:val="3D9372DA"/>
    <w:rsid w:val="3D9F0D15"/>
    <w:rsid w:val="3DA037A5"/>
    <w:rsid w:val="3DAF5A97"/>
    <w:rsid w:val="3DB114C5"/>
    <w:rsid w:val="3DB17760"/>
    <w:rsid w:val="3DB833E8"/>
    <w:rsid w:val="3DBB238D"/>
    <w:rsid w:val="3DBE20E7"/>
    <w:rsid w:val="3DC079A3"/>
    <w:rsid w:val="3DC13202"/>
    <w:rsid w:val="3DC25210"/>
    <w:rsid w:val="3DC56D68"/>
    <w:rsid w:val="3DC65A10"/>
    <w:rsid w:val="3DCC0E9C"/>
    <w:rsid w:val="3DD40DE4"/>
    <w:rsid w:val="3DE3265E"/>
    <w:rsid w:val="3DED5444"/>
    <w:rsid w:val="3DEE2762"/>
    <w:rsid w:val="3DEE62BF"/>
    <w:rsid w:val="3DF37D79"/>
    <w:rsid w:val="3DF45379"/>
    <w:rsid w:val="3DF633C5"/>
    <w:rsid w:val="3E0C4997"/>
    <w:rsid w:val="3E12290A"/>
    <w:rsid w:val="3E182F5F"/>
    <w:rsid w:val="3E1F6A8C"/>
    <w:rsid w:val="3E216046"/>
    <w:rsid w:val="3E216694"/>
    <w:rsid w:val="3E241CE0"/>
    <w:rsid w:val="3E263CAA"/>
    <w:rsid w:val="3E2B12C1"/>
    <w:rsid w:val="3E3068D7"/>
    <w:rsid w:val="3E385A19"/>
    <w:rsid w:val="3E3E1C48"/>
    <w:rsid w:val="3E42660A"/>
    <w:rsid w:val="3E493EFF"/>
    <w:rsid w:val="3E4B54BF"/>
    <w:rsid w:val="3E4C56E0"/>
    <w:rsid w:val="3E524A9F"/>
    <w:rsid w:val="3E5A3954"/>
    <w:rsid w:val="3E65446C"/>
    <w:rsid w:val="3E682515"/>
    <w:rsid w:val="3E684393"/>
    <w:rsid w:val="3E734A16"/>
    <w:rsid w:val="3E741759"/>
    <w:rsid w:val="3E7570D2"/>
    <w:rsid w:val="3E770FF8"/>
    <w:rsid w:val="3E7C38CA"/>
    <w:rsid w:val="3E7F0F3D"/>
    <w:rsid w:val="3E8207E6"/>
    <w:rsid w:val="3E860BED"/>
    <w:rsid w:val="3E886684"/>
    <w:rsid w:val="3E8B6203"/>
    <w:rsid w:val="3E903E3C"/>
    <w:rsid w:val="3E907559"/>
    <w:rsid w:val="3E9079E7"/>
    <w:rsid w:val="3E984202"/>
    <w:rsid w:val="3E9D6712"/>
    <w:rsid w:val="3E9E1A93"/>
    <w:rsid w:val="3E9E1C73"/>
    <w:rsid w:val="3EA006FD"/>
    <w:rsid w:val="3EA03A5D"/>
    <w:rsid w:val="3EA73CCD"/>
    <w:rsid w:val="3EA96784"/>
    <w:rsid w:val="3EAF0EC6"/>
    <w:rsid w:val="3EB017C6"/>
    <w:rsid w:val="3EB30313"/>
    <w:rsid w:val="3EBA4F1D"/>
    <w:rsid w:val="3EC01B26"/>
    <w:rsid w:val="3EC72A99"/>
    <w:rsid w:val="3EC74714"/>
    <w:rsid w:val="3ECA13E6"/>
    <w:rsid w:val="3ECC7453"/>
    <w:rsid w:val="3ECF4A76"/>
    <w:rsid w:val="3ED100BA"/>
    <w:rsid w:val="3EDA0523"/>
    <w:rsid w:val="3EDC6A5F"/>
    <w:rsid w:val="3EE006ED"/>
    <w:rsid w:val="3EE01D15"/>
    <w:rsid w:val="3EE576C2"/>
    <w:rsid w:val="3EE8492E"/>
    <w:rsid w:val="3EED2A1A"/>
    <w:rsid w:val="3EF00151"/>
    <w:rsid w:val="3EF43DA9"/>
    <w:rsid w:val="3EF73899"/>
    <w:rsid w:val="3EF77476"/>
    <w:rsid w:val="3F00274D"/>
    <w:rsid w:val="3F116709"/>
    <w:rsid w:val="3F122481"/>
    <w:rsid w:val="3F1D32FF"/>
    <w:rsid w:val="3F2327AF"/>
    <w:rsid w:val="3F236F6B"/>
    <w:rsid w:val="3F260EFF"/>
    <w:rsid w:val="3F2A1CC5"/>
    <w:rsid w:val="3F3271BB"/>
    <w:rsid w:val="3F375A43"/>
    <w:rsid w:val="3F395C5F"/>
    <w:rsid w:val="3F3B0FCC"/>
    <w:rsid w:val="3F421492"/>
    <w:rsid w:val="3F437D83"/>
    <w:rsid w:val="3F4B5684"/>
    <w:rsid w:val="3F57350E"/>
    <w:rsid w:val="3F5C1B04"/>
    <w:rsid w:val="3F5C4211"/>
    <w:rsid w:val="3F60143E"/>
    <w:rsid w:val="3F6A6298"/>
    <w:rsid w:val="3F746C97"/>
    <w:rsid w:val="3F8073EA"/>
    <w:rsid w:val="3F8213B4"/>
    <w:rsid w:val="3F823162"/>
    <w:rsid w:val="3F873C4F"/>
    <w:rsid w:val="3F8769CB"/>
    <w:rsid w:val="3F8847ED"/>
    <w:rsid w:val="3F942E96"/>
    <w:rsid w:val="3FA11D1E"/>
    <w:rsid w:val="3FAC1BE1"/>
    <w:rsid w:val="3FAD309E"/>
    <w:rsid w:val="3FAD3F72"/>
    <w:rsid w:val="3FC20213"/>
    <w:rsid w:val="3FC4377B"/>
    <w:rsid w:val="3FC714BD"/>
    <w:rsid w:val="3FD25992"/>
    <w:rsid w:val="3FDB2873"/>
    <w:rsid w:val="3FE0432D"/>
    <w:rsid w:val="3FF3780D"/>
    <w:rsid w:val="3FFA644F"/>
    <w:rsid w:val="40061FE5"/>
    <w:rsid w:val="40070A53"/>
    <w:rsid w:val="401D10DD"/>
    <w:rsid w:val="40247A79"/>
    <w:rsid w:val="402814CD"/>
    <w:rsid w:val="402A08D4"/>
    <w:rsid w:val="40356427"/>
    <w:rsid w:val="40567A92"/>
    <w:rsid w:val="406311E6"/>
    <w:rsid w:val="406A5E3B"/>
    <w:rsid w:val="406B1E48"/>
    <w:rsid w:val="4075369B"/>
    <w:rsid w:val="407A6407"/>
    <w:rsid w:val="407F4BE6"/>
    <w:rsid w:val="40880C4C"/>
    <w:rsid w:val="40881469"/>
    <w:rsid w:val="409018AF"/>
    <w:rsid w:val="40980764"/>
    <w:rsid w:val="40A5053E"/>
    <w:rsid w:val="40A91259"/>
    <w:rsid w:val="40A92971"/>
    <w:rsid w:val="40AA5A49"/>
    <w:rsid w:val="40B67886"/>
    <w:rsid w:val="40B76A90"/>
    <w:rsid w:val="40B9482A"/>
    <w:rsid w:val="40BA66CD"/>
    <w:rsid w:val="40BE01CA"/>
    <w:rsid w:val="40C33A32"/>
    <w:rsid w:val="40C402BA"/>
    <w:rsid w:val="40C451A5"/>
    <w:rsid w:val="40C652D1"/>
    <w:rsid w:val="40C854ED"/>
    <w:rsid w:val="40E65CAF"/>
    <w:rsid w:val="40F005A0"/>
    <w:rsid w:val="40F7192E"/>
    <w:rsid w:val="40FA31CC"/>
    <w:rsid w:val="40FC2D0C"/>
    <w:rsid w:val="410127AD"/>
    <w:rsid w:val="410142A2"/>
    <w:rsid w:val="41014686"/>
    <w:rsid w:val="410C28BC"/>
    <w:rsid w:val="411424E0"/>
    <w:rsid w:val="41220E6C"/>
    <w:rsid w:val="412736EC"/>
    <w:rsid w:val="41276809"/>
    <w:rsid w:val="412A49DF"/>
    <w:rsid w:val="412D276B"/>
    <w:rsid w:val="412E2067"/>
    <w:rsid w:val="413B4DE9"/>
    <w:rsid w:val="413D3AC5"/>
    <w:rsid w:val="413E44A0"/>
    <w:rsid w:val="41432F6C"/>
    <w:rsid w:val="414A3DAF"/>
    <w:rsid w:val="414B6C99"/>
    <w:rsid w:val="414D59F2"/>
    <w:rsid w:val="41557FD3"/>
    <w:rsid w:val="4158226E"/>
    <w:rsid w:val="415C79E3"/>
    <w:rsid w:val="41643AD4"/>
    <w:rsid w:val="416A0352"/>
    <w:rsid w:val="416A3E71"/>
    <w:rsid w:val="416E36C5"/>
    <w:rsid w:val="41756B51"/>
    <w:rsid w:val="417D116C"/>
    <w:rsid w:val="41866D93"/>
    <w:rsid w:val="418F1B67"/>
    <w:rsid w:val="41931657"/>
    <w:rsid w:val="41932D5F"/>
    <w:rsid w:val="419A2DBD"/>
    <w:rsid w:val="419C4335"/>
    <w:rsid w:val="41AD023F"/>
    <w:rsid w:val="41B23A61"/>
    <w:rsid w:val="41B30CA7"/>
    <w:rsid w:val="41BB1716"/>
    <w:rsid w:val="41C30EF6"/>
    <w:rsid w:val="41C37A62"/>
    <w:rsid w:val="41D028CD"/>
    <w:rsid w:val="41DB2FFE"/>
    <w:rsid w:val="41E55C2A"/>
    <w:rsid w:val="41E77BF5"/>
    <w:rsid w:val="41EA4FEF"/>
    <w:rsid w:val="41EB7F7E"/>
    <w:rsid w:val="41EE2D31"/>
    <w:rsid w:val="41EF14D0"/>
    <w:rsid w:val="41F12821"/>
    <w:rsid w:val="41F92E32"/>
    <w:rsid w:val="41F95891"/>
    <w:rsid w:val="4200449D"/>
    <w:rsid w:val="42010B0D"/>
    <w:rsid w:val="42042555"/>
    <w:rsid w:val="420B5DF7"/>
    <w:rsid w:val="42156510"/>
    <w:rsid w:val="42167DEC"/>
    <w:rsid w:val="42181B5C"/>
    <w:rsid w:val="42274AC5"/>
    <w:rsid w:val="422F74CA"/>
    <w:rsid w:val="4230127B"/>
    <w:rsid w:val="42324F5C"/>
    <w:rsid w:val="42386A23"/>
    <w:rsid w:val="423A3BCC"/>
    <w:rsid w:val="4247794A"/>
    <w:rsid w:val="424E57D2"/>
    <w:rsid w:val="425008DD"/>
    <w:rsid w:val="425E0059"/>
    <w:rsid w:val="42613503"/>
    <w:rsid w:val="42644DA1"/>
    <w:rsid w:val="4265277D"/>
    <w:rsid w:val="426601F1"/>
    <w:rsid w:val="42674891"/>
    <w:rsid w:val="426E5C20"/>
    <w:rsid w:val="42705E47"/>
    <w:rsid w:val="4283791D"/>
    <w:rsid w:val="428B1E10"/>
    <w:rsid w:val="428C475C"/>
    <w:rsid w:val="429065CB"/>
    <w:rsid w:val="42923DC3"/>
    <w:rsid w:val="429A7D04"/>
    <w:rsid w:val="42A359F3"/>
    <w:rsid w:val="42A8653E"/>
    <w:rsid w:val="42AE784B"/>
    <w:rsid w:val="42B20943"/>
    <w:rsid w:val="42B26C49"/>
    <w:rsid w:val="42B7048F"/>
    <w:rsid w:val="42B75819"/>
    <w:rsid w:val="42B76A4F"/>
    <w:rsid w:val="42C10446"/>
    <w:rsid w:val="42C13FA2"/>
    <w:rsid w:val="42C341BE"/>
    <w:rsid w:val="42C615B8"/>
    <w:rsid w:val="42C62155"/>
    <w:rsid w:val="42CE66BF"/>
    <w:rsid w:val="42D20ABE"/>
    <w:rsid w:val="42D31F27"/>
    <w:rsid w:val="42DD6902"/>
    <w:rsid w:val="42DF08CC"/>
    <w:rsid w:val="42DF0F29"/>
    <w:rsid w:val="42DF6B1E"/>
    <w:rsid w:val="42E66EDA"/>
    <w:rsid w:val="42E934F8"/>
    <w:rsid w:val="42F02924"/>
    <w:rsid w:val="42F27ED7"/>
    <w:rsid w:val="42F40992"/>
    <w:rsid w:val="42F51E9D"/>
    <w:rsid w:val="42FF54B2"/>
    <w:rsid w:val="4306772B"/>
    <w:rsid w:val="430F2F5F"/>
    <w:rsid w:val="43151407"/>
    <w:rsid w:val="43170066"/>
    <w:rsid w:val="431762B8"/>
    <w:rsid w:val="431C4349"/>
    <w:rsid w:val="43201866"/>
    <w:rsid w:val="432033BE"/>
    <w:rsid w:val="432307B8"/>
    <w:rsid w:val="43266633"/>
    <w:rsid w:val="432B58BF"/>
    <w:rsid w:val="43362BE2"/>
    <w:rsid w:val="43374264"/>
    <w:rsid w:val="43397FDC"/>
    <w:rsid w:val="433A6FE6"/>
    <w:rsid w:val="433E78CA"/>
    <w:rsid w:val="433F3153"/>
    <w:rsid w:val="43432C09"/>
    <w:rsid w:val="434708F0"/>
    <w:rsid w:val="43480868"/>
    <w:rsid w:val="434C41B3"/>
    <w:rsid w:val="434F476D"/>
    <w:rsid w:val="434F5A51"/>
    <w:rsid w:val="4350713C"/>
    <w:rsid w:val="4359242C"/>
    <w:rsid w:val="43615785"/>
    <w:rsid w:val="436653E0"/>
    <w:rsid w:val="436E75C9"/>
    <w:rsid w:val="43722443"/>
    <w:rsid w:val="43770B04"/>
    <w:rsid w:val="437817D5"/>
    <w:rsid w:val="43811983"/>
    <w:rsid w:val="43850656"/>
    <w:rsid w:val="43854607"/>
    <w:rsid w:val="438D20D6"/>
    <w:rsid w:val="439125A7"/>
    <w:rsid w:val="43A06B6B"/>
    <w:rsid w:val="43A37B4B"/>
    <w:rsid w:val="43A43045"/>
    <w:rsid w:val="43A85162"/>
    <w:rsid w:val="43AC0629"/>
    <w:rsid w:val="43AF149B"/>
    <w:rsid w:val="43B35DD1"/>
    <w:rsid w:val="43B458B4"/>
    <w:rsid w:val="43BD0C0D"/>
    <w:rsid w:val="43BD19B2"/>
    <w:rsid w:val="43C4431A"/>
    <w:rsid w:val="43C53F65"/>
    <w:rsid w:val="43C74575"/>
    <w:rsid w:val="43CA545D"/>
    <w:rsid w:val="43CA5612"/>
    <w:rsid w:val="43CB4F3C"/>
    <w:rsid w:val="43CB7C06"/>
    <w:rsid w:val="43CC3C6E"/>
    <w:rsid w:val="43DB57E2"/>
    <w:rsid w:val="43DC40CF"/>
    <w:rsid w:val="43E443EC"/>
    <w:rsid w:val="43E94C2F"/>
    <w:rsid w:val="43E94F68"/>
    <w:rsid w:val="43EC504E"/>
    <w:rsid w:val="43F13DEC"/>
    <w:rsid w:val="43F9776B"/>
    <w:rsid w:val="44095C00"/>
    <w:rsid w:val="44114AB5"/>
    <w:rsid w:val="4412168D"/>
    <w:rsid w:val="44127EBA"/>
    <w:rsid w:val="4413225B"/>
    <w:rsid w:val="44191ACC"/>
    <w:rsid w:val="441B7732"/>
    <w:rsid w:val="44240C8C"/>
    <w:rsid w:val="44242A3A"/>
    <w:rsid w:val="442517E5"/>
    <w:rsid w:val="44262549"/>
    <w:rsid w:val="442E690C"/>
    <w:rsid w:val="442F6127"/>
    <w:rsid w:val="44354C47"/>
    <w:rsid w:val="44372B41"/>
    <w:rsid w:val="44405732"/>
    <w:rsid w:val="44466E54"/>
    <w:rsid w:val="444C2D75"/>
    <w:rsid w:val="444E7F88"/>
    <w:rsid w:val="4453573F"/>
    <w:rsid w:val="445B4B11"/>
    <w:rsid w:val="44646C83"/>
    <w:rsid w:val="446B184F"/>
    <w:rsid w:val="44817E8C"/>
    <w:rsid w:val="44893BAC"/>
    <w:rsid w:val="449000D0"/>
    <w:rsid w:val="4496320C"/>
    <w:rsid w:val="44A21BB1"/>
    <w:rsid w:val="44A4014A"/>
    <w:rsid w:val="44B951CC"/>
    <w:rsid w:val="44BC7116"/>
    <w:rsid w:val="44C67F95"/>
    <w:rsid w:val="44CD14E0"/>
    <w:rsid w:val="44D37FBC"/>
    <w:rsid w:val="44D51F86"/>
    <w:rsid w:val="44D75CFE"/>
    <w:rsid w:val="44D83825"/>
    <w:rsid w:val="44DE19E8"/>
    <w:rsid w:val="44E13F83"/>
    <w:rsid w:val="44E623E5"/>
    <w:rsid w:val="44E87A7E"/>
    <w:rsid w:val="44ED72D0"/>
    <w:rsid w:val="44F20B0B"/>
    <w:rsid w:val="44FC58B9"/>
    <w:rsid w:val="45010FCD"/>
    <w:rsid w:val="4508134A"/>
    <w:rsid w:val="450F5BA1"/>
    <w:rsid w:val="45130693"/>
    <w:rsid w:val="4517434D"/>
    <w:rsid w:val="4518332E"/>
    <w:rsid w:val="4518650F"/>
    <w:rsid w:val="451D7C5D"/>
    <w:rsid w:val="45256299"/>
    <w:rsid w:val="45260A34"/>
    <w:rsid w:val="452E5F4C"/>
    <w:rsid w:val="453A55DD"/>
    <w:rsid w:val="4541586E"/>
    <w:rsid w:val="45462E84"/>
    <w:rsid w:val="454D10B7"/>
    <w:rsid w:val="45533131"/>
    <w:rsid w:val="45594965"/>
    <w:rsid w:val="455E1F7C"/>
    <w:rsid w:val="45612018"/>
    <w:rsid w:val="45656944"/>
    <w:rsid w:val="456D0411"/>
    <w:rsid w:val="456F192C"/>
    <w:rsid w:val="4580164A"/>
    <w:rsid w:val="458946E9"/>
    <w:rsid w:val="459A22C0"/>
    <w:rsid w:val="459E05CA"/>
    <w:rsid w:val="45A47C0E"/>
    <w:rsid w:val="45A57BAB"/>
    <w:rsid w:val="45A71B75"/>
    <w:rsid w:val="45A90CA0"/>
    <w:rsid w:val="45AA1D44"/>
    <w:rsid w:val="45AB2CE7"/>
    <w:rsid w:val="45AE3109"/>
    <w:rsid w:val="45B5636D"/>
    <w:rsid w:val="45C85647"/>
    <w:rsid w:val="45CB1E22"/>
    <w:rsid w:val="45CC5137"/>
    <w:rsid w:val="45CE07A3"/>
    <w:rsid w:val="45D06D56"/>
    <w:rsid w:val="45D24718"/>
    <w:rsid w:val="45D60A99"/>
    <w:rsid w:val="45D60C4F"/>
    <w:rsid w:val="45D77CED"/>
    <w:rsid w:val="45D93CF8"/>
    <w:rsid w:val="45DB181E"/>
    <w:rsid w:val="45DE30BD"/>
    <w:rsid w:val="45E216A1"/>
    <w:rsid w:val="45F27B2F"/>
    <w:rsid w:val="45F823D0"/>
    <w:rsid w:val="46043467"/>
    <w:rsid w:val="461F3847"/>
    <w:rsid w:val="46222FA9"/>
    <w:rsid w:val="462C207A"/>
    <w:rsid w:val="462F2D18"/>
    <w:rsid w:val="46362EF9"/>
    <w:rsid w:val="463D7DE3"/>
    <w:rsid w:val="464B07E0"/>
    <w:rsid w:val="46503FBA"/>
    <w:rsid w:val="465313B5"/>
    <w:rsid w:val="46577FD6"/>
    <w:rsid w:val="465869CB"/>
    <w:rsid w:val="46587F31"/>
    <w:rsid w:val="465A2C4E"/>
    <w:rsid w:val="465C34A5"/>
    <w:rsid w:val="466622E2"/>
    <w:rsid w:val="46672E81"/>
    <w:rsid w:val="46767799"/>
    <w:rsid w:val="467D233C"/>
    <w:rsid w:val="467D28D5"/>
    <w:rsid w:val="468123C6"/>
    <w:rsid w:val="468375E3"/>
    <w:rsid w:val="468D44FA"/>
    <w:rsid w:val="46911B59"/>
    <w:rsid w:val="46927A9B"/>
    <w:rsid w:val="469460F7"/>
    <w:rsid w:val="46A2233C"/>
    <w:rsid w:val="46A37971"/>
    <w:rsid w:val="46A71700"/>
    <w:rsid w:val="46A77952"/>
    <w:rsid w:val="46A937CA"/>
    <w:rsid w:val="46AB11F1"/>
    <w:rsid w:val="46AC5AA6"/>
    <w:rsid w:val="46B75DE7"/>
    <w:rsid w:val="46BA7686"/>
    <w:rsid w:val="46BB51AC"/>
    <w:rsid w:val="46C027C2"/>
    <w:rsid w:val="46C16C66"/>
    <w:rsid w:val="46C17263"/>
    <w:rsid w:val="46C53B78"/>
    <w:rsid w:val="46C67DD9"/>
    <w:rsid w:val="46D463D2"/>
    <w:rsid w:val="46D955A7"/>
    <w:rsid w:val="46DB2F1F"/>
    <w:rsid w:val="46DE0CEF"/>
    <w:rsid w:val="46E110B6"/>
    <w:rsid w:val="46E12E64"/>
    <w:rsid w:val="46E44703"/>
    <w:rsid w:val="46EA64F6"/>
    <w:rsid w:val="47036F6E"/>
    <w:rsid w:val="47133957"/>
    <w:rsid w:val="47213261"/>
    <w:rsid w:val="47255CCC"/>
    <w:rsid w:val="472924B7"/>
    <w:rsid w:val="47356E70"/>
    <w:rsid w:val="473906E7"/>
    <w:rsid w:val="473B751F"/>
    <w:rsid w:val="473C62ED"/>
    <w:rsid w:val="47433201"/>
    <w:rsid w:val="474653BD"/>
    <w:rsid w:val="4746716B"/>
    <w:rsid w:val="474A1F92"/>
    <w:rsid w:val="47513E55"/>
    <w:rsid w:val="47523D62"/>
    <w:rsid w:val="47543833"/>
    <w:rsid w:val="475F022D"/>
    <w:rsid w:val="47605BC6"/>
    <w:rsid w:val="476E0A79"/>
    <w:rsid w:val="4771226D"/>
    <w:rsid w:val="477770F6"/>
    <w:rsid w:val="477A0BC3"/>
    <w:rsid w:val="477B5067"/>
    <w:rsid w:val="477D29CB"/>
    <w:rsid w:val="478C4FF2"/>
    <w:rsid w:val="4792415F"/>
    <w:rsid w:val="479954ED"/>
    <w:rsid w:val="47A0263C"/>
    <w:rsid w:val="47A07E0C"/>
    <w:rsid w:val="47A520E4"/>
    <w:rsid w:val="47A6578C"/>
    <w:rsid w:val="47AB5F0D"/>
    <w:rsid w:val="47AB6FCE"/>
    <w:rsid w:val="47AC789F"/>
    <w:rsid w:val="47AD3A1F"/>
    <w:rsid w:val="47B23CC4"/>
    <w:rsid w:val="47B71E17"/>
    <w:rsid w:val="47BA4345"/>
    <w:rsid w:val="47BB2886"/>
    <w:rsid w:val="47BB5C37"/>
    <w:rsid w:val="47C06F1E"/>
    <w:rsid w:val="47C36A0E"/>
    <w:rsid w:val="47C6205A"/>
    <w:rsid w:val="47CA56A6"/>
    <w:rsid w:val="47DF5C3C"/>
    <w:rsid w:val="47E328E8"/>
    <w:rsid w:val="47E726FC"/>
    <w:rsid w:val="47E744AA"/>
    <w:rsid w:val="47EA057B"/>
    <w:rsid w:val="47EF3A41"/>
    <w:rsid w:val="47F15CBC"/>
    <w:rsid w:val="47FC5A7C"/>
    <w:rsid w:val="47FE35A2"/>
    <w:rsid w:val="48117FEC"/>
    <w:rsid w:val="4814634D"/>
    <w:rsid w:val="48173546"/>
    <w:rsid w:val="481E21BE"/>
    <w:rsid w:val="482358D2"/>
    <w:rsid w:val="482374AD"/>
    <w:rsid w:val="48252D45"/>
    <w:rsid w:val="482C010F"/>
    <w:rsid w:val="483416BA"/>
    <w:rsid w:val="483C5457"/>
    <w:rsid w:val="483E0EF3"/>
    <w:rsid w:val="484511D1"/>
    <w:rsid w:val="484C6E22"/>
    <w:rsid w:val="485052AE"/>
    <w:rsid w:val="485338EE"/>
    <w:rsid w:val="48550F4C"/>
    <w:rsid w:val="485708FA"/>
    <w:rsid w:val="4859390D"/>
    <w:rsid w:val="485B09F4"/>
    <w:rsid w:val="486637E6"/>
    <w:rsid w:val="4870272E"/>
    <w:rsid w:val="487D0AD0"/>
    <w:rsid w:val="487D429E"/>
    <w:rsid w:val="4881663E"/>
    <w:rsid w:val="48897310"/>
    <w:rsid w:val="488B06F8"/>
    <w:rsid w:val="488D527D"/>
    <w:rsid w:val="48904B42"/>
    <w:rsid w:val="48910C9D"/>
    <w:rsid w:val="489B5295"/>
    <w:rsid w:val="489D725F"/>
    <w:rsid w:val="489F24E0"/>
    <w:rsid w:val="48A51C70"/>
    <w:rsid w:val="48A64365"/>
    <w:rsid w:val="48A759E8"/>
    <w:rsid w:val="48AF089B"/>
    <w:rsid w:val="48B14AB8"/>
    <w:rsid w:val="48BD345D"/>
    <w:rsid w:val="48C034AB"/>
    <w:rsid w:val="48C621F7"/>
    <w:rsid w:val="48CE7418"/>
    <w:rsid w:val="48D303DC"/>
    <w:rsid w:val="48D507A7"/>
    <w:rsid w:val="48D569F9"/>
    <w:rsid w:val="48F0738F"/>
    <w:rsid w:val="48F54724"/>
    <w:rsid w:val="48FB7D98"/>
    <w:rsid w:val="49044BE8"/>
    <w:rsid w:val="49052092"/>
    <w:rsid w:val="4907292A"/>
    <w:rsid w:val="490E6D6F"/>
    <w:rsid w:val="4910358D"/>
    <w:rsid w:val="49105636"/>
    <w:rsid w:val="491971CD"/>
    <w:rsid w:val="491A265E"/>
    <w:rsid w:val="491A440C"/>
    <w:rsid w:val="491D3EFC"/>
    <w:rsid w:val="49284D7B"/>
    <w:rsid w:val="492928A1"/>
    <w:rsid w:val="49351245"/>
    <w:rsid w:val="49396F88"/>
    <w:rsid w:val="494E5F58"/>
    <w:rsid w:val="49522D5E"/>
    <w:rsid w:val="49533A45"/>
    <w:rsid w:val="4953791E"/>
    <w:rsid w:val="49543FD4"/>
    <w:rsid w:val="49555444"/>
    <w:rsid w:val="49570CBB"/>
    <w:rsid w:val="49665BE1"/>
    <w:rsid w:val="49731136"/>
    <w:rsid w:val="49770275"/>
    <w:rsid w:val="49785A5A"/>
    <w:rsid w:val="497F1F6E"/>
    <w:rsid w:val="49877D17"/>
    <w:rsid w:val="49940662"/>
    <w:rsid w:val="49940F29"/>
    <w:rsid w:val="499410ED"/>
    <w:rsid w:val="499A6E0E"/>
    <w:rsid w:val="49A33231"/>
    <w:rsid w:val="49A5461D"/>
    <w:rsid w:val="49A56155"/>
    <w:rsid w:val="49B242BD"/>
    <w:rsid w:val="49B455E9"/>
    <w:rsid w:val="49C11094"/>
    <w:rsid w:val="49CC72FF"/>
    <w:rsid w:val="49CD2E16"/>
    <w:rsid w:val="49D26A45"/>
    <w:rsid w:val="49D96075"/>
    <w:rsid w:val="49DC7715"/>
    <w:rsid w:val="49E3107C"/>
    <w:rsid w:val="49E31D69"/>
    <w:rsid w:val="49E50EBD"/>
    <w:rsid w:val="49E71EDE"/>
    <w:rsid w:val="49EA2030"/>
    <w:rsid w:val="49EA64D4"/>
    <w:rsid w:val="49EF5898"/>
    <w:rsid w:val="49F41101"/>
    <w:rsid w:val="49FE64C0"/>
    <w:rsid w:val="4A023139"/>
    <w:rsid w:val="4A040D5F"/>
    <w:rsid w:val="4A0A4BEE"/>
    <w:rsid w:val="4A113A61"/>
    <w:rsid w:val="4A126315"/>
    <w:rsid w:val="4A171283"/>
    <w:rsid w:val="4A1A4CC4"/>
    <w:rsid w:val="4A2B42BD"/>
    <w:rsid w:val="4A2D4613"/>
    <w:rsid w:val="4A36298A"/>
    <w:rsid w:val="4A3B6586"/>
    <w:rsid w:val="4A3F3C28"/>
    <w:rsid w:val="4A474A71"/>
    <w:rsid w:val="4A4C2A82"/>
    <w:rsid w:val="4A4F7154"/>
    <w:rsid w:val="4A590F64"/>
    <w:rsid w:val="4A595408"/>
    <w:rsid w:val="4A6022F2"/>
    <w:rsid w:val="4A657908"/>
    <w:rsid w:val="4A6C6EE9"/>
    <w:rsid w:val="4A7638C4"/>
    <w:rsid w:val="4A7B576F"/>
    <w:rsid w:val="4A841034"/>
    <w:rsid w:val="4A8D525B"/>
    <w:rsid w:val="4A8E17AE"/>
    <w:rsid w:val="4A8F0121"/>
    <w:rsid w:val="4A930919"/>
    <w:rsid w:val="4A9A1C0C"/>
    <w:rsid w:val="4A9A462D"/>
    <w:rsid w:val="4AA448D5"/>
    <w:rsid w:val="4AA56F72"/>
    <w:rsid w:val="4AAD305D"/>
    <w:rsid w:val="4AB024C8"/>
    <w:rsid w:val="4AB56AE2"/>
    <w:rsid w:val="4AB61212"/>
    <w:rsid w:val="4ABC7255"/>
    <w:rsid w:val="4AC40AD3"/>
    <w:rsid w:val="4AC946DB"/>
    <w:rsid w:val="4ACC7988"/>
    <w:rsid w:val="4AE20F59"/>
    <w:rsid w:val="4AE660EE"/>
    <w:rsid w:val="4AE74707"/>
    <w:rsid w:val="4AEC627C"/>
    <w:rsid w:val="4AF173EE"/>
    <w:rsid w:val="4AF339B0"/>
    <w:rsid w:val="4AF561A9"/>
    <w:rsid w:val="4AF60EA8"/>
    <w:rsid w:val="4AFA2747"/>
    <w:rsid w:val="4AFA62A3"/>
    <w:rsid w:val="4B090BDC"/>
    <w:rsid w:val="4B1732F9"/>
    <w:rsid w:val="4B2C0426"/>
    <w:rsid w:val="4B2D633B"/>
    <w:rsid w:val="4B3519D1"/>
    <w:rsid w:val="4B352633"/>
    <w:rsid w:val="4B365F45"/>
    <w:rsid w:val="4B375A36"/>
    <w:rsid w:val="4B393D30"/>
    <w:rsid w:val="4B3C2ACB"/>
    <w:rsid w:val="4B46598C"/>
    <w:rsid w:val="4B490FD8"/>
    <w:rsid w:val="4B4B6DB8"/>
    <w:rsid w:val="4B596751"/>
    <w:rsid w:val="4B5C0D0B"/>
    <w:rsid w:val="4B5E6323"/>
    <w:rsid w:val="4B6068B8"/>
    <w:rsid w:val="4B644064"/>
    <w:rsid w:val="4B647BC0"/>
    <w:rsid w:val="4B6614EE"/>
    <w:rsid w:val="4B672752"/>
    <w:rsid w:val="4B6C00AA"/>
    <w:rsid w:val="4B6E4EE3"/>
    <w:rsid w:val="4B756271"/>
    <w:rsid w:val="4B75781C"/>
    <w:rsid w:val="4B8D0671"/>
    <w:rsid w:val="4B95246F"/>
    <w:rsid w:val="4B985ABC"/>
    <w:rsid w:val="4BA32DDE"/>
    <w:rsid w:val="4BAC7162"/>
    <w:rsid w:val="4BB00F27"/>
    <w:rsid w:val="4BB94F3A"/>
    <w:rsid w:val="4BC00A70"/>
    <w:rsid w:val="4BC114B6"/>
    <w:rsid w:val="4BC220E1"/>
    <w:rsid w:val="4BC92119"/>
    <w:rsid w:val="4BCD4886"/>
    <w:rsid w:val="4BCF2108"/>
    <w:rsid w:val="4BCF57F6"/>
    <w:rsid w:val="4BDC009E"/>
    <w:rsid w:val="4BE60F1D"/>
    <w:rsid w:val="4BEA168B"/>
    <w:rsid w:val="4BEC7B31"/>
    <w:rsid w:val="4BEE640A"/>
    <w:rsid w:val="4BF076A6"/>
    <w:rsid w:val="4BFC5C0C"/>
    <w:rsid w:val="4C0762DA"/>
    <w:rsid w:val="4C082C41"/>
    <w:rsid w:val="4C093EF4"/>
    <w:rsid w:val="4C0940AA"/>
    <w:rsid w:val="4C115B43"/>
    <w:rsid w:val="4C2D26A8"/>
    <w:rsid w:val="4C39729F"/>
    <w:rsid w:val="4C3F42B6"/>
    <w:rsid w:val="4C45489B"/>
    <w:rsid w:val="4C4A0649"/>
    <w:rsid w:val="4C523EBC"/>
    <w:rsid w:val="4C5639AD"/>
    <w:rsid w:val="4C59524B"/>
    <w:rsid w:val="4C684307"/>
    <w:rsid w:val="4C6B4A07"/>
    <w:rsid w:val="4C6C6DEE"/>
    <w:rsid w:val="4C6C7AAD"/>
    <w:rsid w:val="4C714ADA"/>
    <w:rsid w:val="4C7C1670"/>
    <w:rsid w:val="4C7E5ECA"/>
    <w:rsid w:val="4C800A2A"/>
    <w:rsid w:val="4C804ECE"/>
    <w:rsid w:val="4C876AA5"/>
    <w:rsid w:val="4C8A2E46"/>
    <w:rsid w:val="4C8D4534"/>
    <w:rsid w:val="4C956F44"/>
    <w:rsid w:val="4C96649F"/>
    <w:rsid w:val="4C9E5354"/>
    <w:rsid w:val="4CA30BBC"/>
    <w:rsid w:val="4CAA019C"/>
    <w:rsid w:val="4CB15087"/>
    <w:rsid w:val="4CB46925"/>
    <w:rsid w:val="4CB52793"/>
    <w:rsid w:val="4CB803ED"/>
    <w:rsid w:val="4CBA03DF"/>
    <w:rsid w:val="4CC53416"/>
    <w:rsid w:val="4CC62D40"/>
    <w:rsid w:val="4CC954DC"/>
    <w:rsid w:val="4CCC1EC1"/>
    <w:rsid w:val="4CCF19B1"/>
    <w:rsid w:val="4CD80866"/>
    <w:rsid w:val="4CE02122"/>
    <w:rsid w:val="4CE17CAE"/>
    <w:rsid w:val="4CE22604"/>
    <w:rsid w:val="4CE27CFA"/>
    <w:rsid w:val="4CE96191"/>
    <w:rsid w:val="4CEA67EB"/>
    <w:rsid w:val="4CEE0B24"/>
    <w:rsid w:val="4CF124D7"/>
    <w:rsid w:val="4CFA4832"/>
    <w:rsid w:val="4CFB09F8"/>
    <w:rsid w:val="4D01600E"/>
    <w:rsid w:val="4D0933F1"/>
    <w:rsid w:val="4D0C050F"/>
    <w:rsid w:val="4D0E00FB"/>
    <w:rsid w:val="4D123956"/>
    <w:rsid w:val="4D176606"/>
    <w:rsid w:val="4D1A0E7E"/>
    <w:rsid w:val="4D1B6BE2"/>
    <w:rsid w:val="4D1D0EC2"/>
    <w:rsid w:val="4D1F478F"/>
    <w:rsid w:val="4D2512AF"/>
    <w:rsid w:val="4D251398"/>
    <w:rsid w:val="4D2A4A28"/>
    <w:rsid w:val="4D2B4E39"/>
    <w:rsid w:val="4D2C55BA"/>
    <w:rsid w:val="4D2E66D8"/>
    <w:rsid w:val="4D36558C"/>
    <w:rsid w:val="4D3B0DF4"/>
    <w:rsid w:val="4D3B1A90"/>
    <w:rsid w:val="4D4F13E3"/>
    <w:rsid w:val="4D53613E"/>
    <w:rsid w:val="4D5F117A"/>
    <w:rsid w:val="4D604717"/>
    <w:rsid w:val="4D6150D8"/>
    <w:rsid w:val="4D626381"/>
    <w:rsid w:val="4D63247C"/>
    <w:rsid w:val="4D6C0FAE"/>
    <w:rsid w:val="4D6E6C73"/>
    <w:rsid w:val="4D7D371C"/>
    <w:rsid w:val="4D8B1D7C"/>
    <w:rsid w:val="4D8D3A59"/>
    <w:rsid w:val="4D955ED5"/>
    <w:rsid w:val="4DA30E74"/>
    <w:rsid w:val="4DA5062D"/>
    <w:rsid w:val="4DA50B6C"/>
    <w:rsid w:val="4DA9228F"/>
    <w:rsid w:val="4DAE7EA0"/>
    <w:rsid w:val="4DB11B4D"/>
    <w:rsid w:val="4DB43DF9"/>
    <w:rsid w:val="4DB75FD1"/>
    <w:rsid w:val="4DC46900"/>
    <w:rsid w:val="4DD06D5E"/>
    <w:rsid w:val="4DD94895"/>
    <w:rsid w:val="4DDA64EC"/>
    <w:rsid w:val="4DE14E7D"/>
    <w:rsid w:val="4DE30B55"/>
    <w:rsid w:val="4DE44C69"/>
    <w:rsid w:val="4DE77E30"/>
    <w:rsid w:val="4DEC4FB0"/>
    <w:rsid w:val="4DEE4A39"/>
    <w:rsid w:val="4DF032E3"/>
    <w:rsid w:val="4DFF0074"/>
    <w:rsid w:val="4DFF278A"/>
    <w:rsid w:val="4E026E39"/>
    <w:rsid w:val="4E075D8A"/>
    <w:rsid w:val="4E223196"/>
    <w:rsid w:val="4E28581D"/>
    <w:rsid w:val="4E2F0959"/>
    <w:rsid w:val="4E314BC2"/>
    <w:rsid w:val="4E3221F7"/>
    <w:rsid w:val="4E361CE8"/>
    <w:rsid w:val="4E3F0301"/>
    <w:rsid w:val="4E406E7E"/>
    <w:rsid w:val="4E517DD0"/>
    <w:rsid w:val="4E5B0391"/>
    <w:rsid w:val="4E5C1022"/>
    <w:rsid w:val="4E69341C"/>
    <w:rsid w:val="4E6C395B"/>
    <w:rsid w:val="4E742810"/>
    <w:rsid w:val="4E74458A"/>
    <w:rsid w:val="4E7B5851"/>
    <w:rsid w:val="4E7B76FB"/>
    <w:rsid w:val="4E810A89"/>
    <w:rsid w:val="4E81775A"/>
    <w:rsid w:val="4E8326E2"/>
    <w:rsid w:val="4E874143"/>
    <w:rsid w:val="4E946A0E"/>
    <w:rsid w:val="4E994E01"/>
    <w:rsid w:val="4EA76D2C"/>
    <w:rsid w:val="4EAD5D22"/>
    <w:rsid w:val="4EBA3B83"/>
    <w:rsid w:val="4EC00FAD"/>
    <w:rsid w:val="4EC2442C"/>
    <w:rsid w:val="4EC376A5"/>
    <w:rsid w:val="4EC512BE"/>
    <w:rsid w:val="4EC76CD6"/>
    <w:rsid w:val="4ECD3CCE"/>
    <w:rsid w:val="4ECF0241"/>
    <w:rsid w:val="4ED07129"/>
    <w:rsid w:val="4ED24BC6"/>
    <w:rsid w:val="4ED92533"/>
    <w:rsid w:val="4EDD2163"/>
    <w:rsid w:val="4EDE5EDB"/>
    <w:rsid w:val="4EED0B13"/>
    <w:rsid w:val="4EF120B3"/>
    <w:rsid w:val="4EF15C0F"/>
    <w:rsid w:val="4EF56C95"/>
    <w:rsid w:val="4EFD543E"/>
    <w:rsid w:val="4F000AAF"/>
    <w:rsid w:val="4F0D7F2C"/>
    <w:rsid w:val="4F1F09CE"/>
    <w:rsid w:val="4F201BF9"/>
    <w:rsid w:val="4F2064F4"/>
    <w:rsid w:val="4F22226C"/>
    <w:rsid w:val="4F230624"/>
    <w:rsid w:val="4F244236"/>
    <w:rsid w:val="4F2A1121"/>
    <w:rsid w:val="4F3504CA"/>
    <w:rsid w:val="4F37600C"/>
    <w:rsid w:val="4F3A75B6"/>
    <w:rsid w:val="4F3F4BCC"/>
    <w:rsid w:val="4F4F2935"/>
    <w:rsid w:val="4F502A46"/>
    <w:rsid w:val="4F52563A"/>
    <w:rsid w:val="4F5336EF"/>
    <w:rsid w:val="4F5D5052"/>
    <w:rsid w:val="4F5F72FE"/>
    <w:rsid w:val="4F686F20"/>
    <w:rsid w:val="4F697E9B"/>
    <w:rsid w:val="4F6B59C1"/>
    <w:rsid w:val="4F6D68D9"/>
    <w:rsid w:val="4F7278D9"/>
    <w:rsid w:val="4F7C19ED"/>
    <w:rsid w:val="4F7D74A2"/>
    <w:rsid w:val="4F8151E4"/>
    <w:rsid w:val="4F840831"/>
    <w:rsid w:val="4F8922EB"/>
    <w:rsid w:val="4F8A0E2A"/>
    <w:rsid w:val="4F8B7E11"/>
    <w:rsid w:val="4F8C5937"/>
    <w:rsid w:val="4F9071D6"/>
    <w:rsid w:val="4F9843DC"/>
    <w:rsid w:val="4F9D752A"/>
    <w:rsid w:val="4F9E636D"/>
    <w:rsid w:val="4F9F566B"/>
    <w:rsid w:val="4FBA24A4"/>
    <w:rsid w:val="4FBF1D20"/>
    <w:rsid w:val="4FC62A8C"/>
    <w:rsid w:val="4FC7696F"/>
    <w:rsid w:val="4FCE5F50"/>
    <w:rsid w:val="4FCE5FEA"/>
    <w:rsid w:val="4FDB79C1"/>
    <w:rsid w:val="4FE20F0D"/>
    <w:rsid w:val="4FE2472D"/>
    <w:rsid w:val="4FE51552"/>
    <w:rsid w:val="4FE65048"/>
    <w:rsid w:val="4FE92D8A"/>
    <w:rsid w:val="4FED04FF"/>
    <w:rsid w:val="4FF77ED1"/>
    <w:rsid w:val="4FF86042"/>
    <w:rsid w:val="50013BA7"/>
    <w:rsid w:val="50035120"/>
    <w:rsid w:val="5006393C"/>
    <w:rsid w:val="500B3467"/>
    <w:rsid w:val="501B6D91"/>
    <w:rsid w:val="501F49FD"/>
    <w:rsid w:val="5022399A"/>
    <w:rsid w:val="50242014"/>
    <w:rsid w:val="50267B3A"/>
    <w:rsid w:val="502D73C5"/>
    <w:rsid w:val="503264DF"/>
    <w:rsid w:val="50334005"/>
    <w:rsid w:val="50342257"/>
    <w:rsid w:val="503C110B"/>
    <w:rsid w:val="503C2847"/>
    <w:rsid w:val="503E1327"/>
    <w:rsid w:val="503E6C32"/>
    <w:rsid w:val="50447FC0"/>
    <w:rsid w:val="50487B81"/>
    <w:rsid w:val="504F0CF7"/>
    <w:rsid w:val="504F186A"/>
    <w:rsid w:val="50504C4B"/>
    <w:rsid w:val="505A42BA"/>
    <w:rsid w:val="505A4C98"/>
    <w:rsid w:val="505C766C"/>
    <w:rsid w:val="50636531"/>
    <w:rsid w:val="506D7517"/>
    <w:rsid w:val="506F7733"/>
    <w:rsid w:val="507A1C34"/>
    <w:rsid w:val="507D064A"/>
    <w:rsid w:val="508036EE"/>
    <w:rsid w:val="50850D04"/>
    <w:rsid w:val="50884351"/>
    <w:rsid w:val="508D0CA0"/>
    <w:rsid w:val="509368D1"/>
    <w:rsid w:val="50942CF5"/>
    <w:rsid w:val="50987F58"/>
    <w:rsid w:val="509C6E7C"/>
    <w:rsid w:val="50A12196"/>
    <w:rsid w:val="50A84B61"/>
    <w:rsid w:val="50AA7E30"/>
    <w:rsid w:val="50B138A7"/>
    <w:rsid w:val="50B412E2"/>
    <w:rsid w:val="50B71807"/>
    <w:rsid w:val="50B9275C"/>
    <w:rsid w:val="50BC3E26"/>
    <w:rsid w:val="50BD77A6"/>
    <w:rsid w:val="50C57353"/>
    <w:rsid w:val="50C75CD0"/>
    <w:rsid w:val="50D70E34"/>
    <w:rsid w:val="50DB66A5"/>
    <w:rsid w:val="50DE0415"/>
    <w:rsid w:val="50E82E5B"/>
    <w:rsid w:val="50EA605B"/>
    <w:rsid w:val="50F360E5"/>
    <w:rsid w:val="510D165E"/>
    <w:rsid w:val="51167BAE"/>
    <w:rsid w:val="511856D5"/>
    <w:rsid w:val="5119144D"/>
    <w:rsid w:val="511C0C6A"/>
    <w:rsid w:val="511D2CEB"/>
    <w:rsid w:val="51220301"/>
    <w:rsid w:val="51226553"/>
    <w:rsid w:val="51254295"/>
    <w:rsid w:val="512978E2"/>
    <w:rsid w:val="512F0C70"/>
    <w:rsid w:val="51324101"/>
    <w:rsid w:val="51453FF0"/>
    <w:rsid w:val="514C3AE0"/>
    <w:rsid w:val="51536EE0"/>
    <w:rsid w:val="515C6672"/>
    <w:rsid w:val="515F7347"/>
    <w:rsid w:val="5160707C"/>
    <w:rsid w:val="5162104E"/>
    <w:rsid w:val="5167040A"/>
    <w:rsid w:val="516E3547"/>
    <w:rsid w:val="516F4F78"/>
    <w:rsid w:val="51701D94"/>
    <w:rsid w:val="51714DE5"/>
    <w:rsid w:val="51776B62"/>
    <w:rsid w:val="517D2E0A"/>
    <w:rsid w:val="51874608"/>
    <w:rsid w:val="518B32D9"/>
    <w:rsid w:val="51954F77"/>
    <w:rsid w:val="51960CEF"/>
    <w:rsid w:val="519B7BB1"/>
    <w:rsid w:val="519E15C9"/>
    <w:rsid w:val="51A241E5"/>
    <w:rsid w:val="51A27694"/>
    <w:rsid w:val="51A54016"/>
    <w:rsid w:val="51A76D92"/>
    <w:rsid w:val="51A90A23"/>
    <w:rsid w:val="51AE7DE7"/>
    <w:rsid w:val="51AF3FC9"/>
    <w:rsid w:val="51B8471A"/>
    <w:rsid w:val="51BA2C30"/>
    <w:rsid w:val="51CA3CFC"/>
    <w:rsid w:val="51D13AD5"/>
    <w:rsid w:val="51D3292F"/>
    <w:rsid w:val="51E22617"/>
    <w:rsid w:val="51E47CAD"/>
    <w:rsid w:val="51E732F9"/>
    <w:rsid w:val="51F14820"/>
    <w:rsid w:val="51F24178"/>
    <w:rsid w:val="51FE0D6E"/>
    <w:rsid w:val="51FE434F"/>
    <w:rsid w:val="520003B7"/>
    <w:rsid w:val="5201085F"/>
    <w:rsid w:val="521B7081"/>
    <w:rsid w:val="521C2FA3"/>
    <w:rsid w:val="522265CC"/>
    <w:rsid w:val="52263E21"/>
    <w:rsid w:val="5233653E"/>
    <w:rsid w:val="52351165"/>
    <w:rsid w:val="52447FE7"/>
    <w:rsid w:val="52495D62"/>
    <w:rsid w:val="52530420"/>
    <w:rsid w:val="5253098E"/>
    <w:rsid w:val="52595FA5"/>
    <w:rsid w:val="525C5A95"/>
    <w:rsid w:val="526122FC"/>
    <w:rsid w:val="52642B9B"/>
    <w:rsid w:val="526679D0"/>
    <w:rsid w:val="52694F24"/>
    <w:rsid w:val="52706A0C"/>
    <w:rsid w:val="527106A1"/>
    <w:rsid w:val="5274333E"/>
    <w:rsid w:val="527C6137"/>
    <w:rsid w:val="52860D64"/>
    <w:rsid w:val="528F6BDC"/>
    <w:rsid w:val="52992845"/>
    <w:rsid w:val="529D77FC"/>
    <w:rsid w:val="52A31B11"/>
    <w:rsid w:val="52AA0A94"/>
    <w:rsid w:val="52AE35F5"/>
    <w:rsid w:val="52B92EE7"/>
    <w:rsid w:val="52BA5C46"/>
    <w:rsid w:val="52BC29D7"/>
    <w:rsid w:val="52BE22AC"/>
    <w:rsid w:val="52C27FEE"/>
    <w:rsid w:val="52C35B14"/>
    <w:rsid w:val="52C75604"/>
    <w:rsid w:val="52CA29FF"/>
    <w:rsid w:val="52CA6EA2"/>
    <w:rsid w:val="52CB0C33"/>
    <w:rsid w:val="52D25D57"/>
    <w:rsid w:val="52D356F3"/>
    <w:rsid w:val="52D970E6"/>
    <w:rsid w:val="52DC6BD6"/>
    <w:rsid w:val="52DD4E28"/>
    <w:rsid w:val="52E3610B"/>
    <w:rsid w:val="52ED2B91"/>
    <w:rsid w:val="52ED4064"/>
    <w:rsid w:val="52F2767C"/>
    <w:rsid w:val="52F52BFF"/>
    <w:rsid w:val="52F61E27"/>
    <w:rsid w:val="52F83A10"/>
    <w:rsid w:val="5302663C"/>
    <w:rsid w:val="5303061C"/>
    <w:rsid w:val="5303146F"/>
    <w:rsid w:val="53096DD1"/>
    <w:rsid w:val="530976BE"/>
    <w:rsid w:val="530C0F64"/>
    <w:rsid w:val="531427A3"/>
    <w:rsid w:val="53163C4B"/>
    <w:rsid w:val="53165C44"/>
    <w:rsid w:val="53180B34"/>
    <w:rsid w:val="53185E60"/>
    <w:rsid w:val="531B76FE"/>
    <w:rsid w:val="532742F5"/>
    <w:rsid w:val="53307BB7"/>
    <w:rsid w:val="533F3BBA"/>
    <w:rsid w:val="5343248B"/>
    <w:rsid w:val="53446C55"/>
    <w:rsid w:val="53464DA1"/>
    <w:rsid w:val="534E6702"/>
    <w:rsid w:val="535B1921"/>
    <w:rsid w:val="535B37A2"/>
    <w:rsid w:val="535B3F9E"/>
    <w:rsid w:val="53654B22"/>
    <w:rsid w:val="536C7C6B"/>
    <w:rsid w:val="53786204"/>
    <w:rsid w:val="537A1FD7"/>
    <w:rsid w:val="537F5871"/>
    <w:rsid w:val="538057B3"/>
    <w:rsid w:val="538928BA"/>
    <w:rsid w:val="538B66AA"/>
    <w:rsid w:val="538E07C1"/>
    <w:rsid w:val="53976FE6"/>
    <w:rsid w:val="53986FA1"/>
    <w:rsid w:val="539F391C"/>
    <w:rsid w:val="53A039CC"/>
    <w:rsid w:val="53A1505A"/>
    <w:rsid w:val="53A53E42"/>
    <w:rsid w:val="53A70F92"/>
    <w:rsid w:val="53A96AB8"/>
    <w:rsid w:val="53AE40CE"/>
    <w:rsid w:val="53AF7E46"/>
    <w:rsid w:val="53DD49B3"/>
    <w:rsid w:val="53E47AF0"/>
    <w:rsid w:val="53E6370E"/>
    <w:rsid w:val="53E977FC"/>
    <w:rsid w:val="53E97F57"/>
    <w:rsid w:val="53FB4F58"/>
    <w:rsid w:val="53FD1061"/>
    <w:rsid w:val="54040192"/>
    <w:rsid w:val="54063E08"/>
    <w:rsid w:val="540C5299"/>
    <w:rsid w:val="540E30B2"/>
    <w:rsid w:val="54134879"/>
    <w:rsid w:val="5415414D"/>
    <w:rsid w:val="54187228"/>
    <w:rsid w:val="54190C8F"/>
    <w:rsid w:val="541E00C5"/>
    <w:rsid w:val="542645AC"/>
    <w:rsid w:val="54283657"/>
    <w:rsid w:val="542B3971"/>
    <w:rsid w:val="542D593B"/>
    <w:rsid w:val="54324CFF"/>
    <w:rsid w:val="54331D94"/>
    <w:rsid w:val="543437E8"/>
    <w:rsid w:val="543A25C4"/>
    <w:rsid w:val="544B7B6F"/>
    <w:rsid w:val="544D7D8B"/>
    <w:rsid w:val="544E765F"/>
    <w:rsid w:val="54501629"/>
    <w:rsid w:val="5463310B"/>
    <w:rsid w:val="54773FDF"/>
    <w:rsid w:val="547A0454"/>
    <w:rsid w:val="54813591"/>
    <w:rsid w:val="54877909"/>
    <w:rsid w:val="548B3705"/>
    <w:rsid w:val="54923EFF"/>
    <w:rsid w:val="549460A0"/>
    <w:rsid w:val="54A14C0D"/>
    <w:rsid w:val="54A61249"/>
    <w:rsid w:val="54AB5DA7"/>
    <w:rsid w:val="54B35714"/>
    <w:rsid w:val="54C905DB"/>
    <w:rsid w:val="54D20290"/>
    <w:rsid w:val="54D51B2F"/>
    <w:rsid w:val="54D67D81"/>
    <w:rsid w:val="54D74947"/>
    <w:rsid w:val="54DC2EBD"/>
    <w:rsid w:val="54E57FC4"/>
    <w:rsid w:val="54E71189"/>
    <w:rsid w:val="54E90592"/>
    <w:rsid w:val="54F226E1"/>
    <w:rsid w:val="54F55D2D"/>
    <w:rsid w:val="54F73313"/>
    <w:rsid w:val="54F80955"/>
    <w:rsid w:val="54FD3477"/>
    <w:rsid w:val="5503669C"/>
    <w:rsid w:val="55061CE8"/>
    <w:rsid w:val="550D12C8"/>
    <w:rsid w:val="551255ED"/>
    <w:rsid w:val="55191A1B"/>
    <w:rsid w:val="5520724E"/>
    <w:rsid w:val="552A05A0"/>
    <w:rsid w:val="552A59D6"/>
    <w:rsid w:val="552F7491"/>
    <w:rsid w:val="553B13D4"/>
    <w:rsid w:val="553C572D"/>
    <w:rsid w:val="55410BF9"/>
    <w:rsid w:val="55410F72"/>
    <w:rsid w:val="554271C4"/>
    <w:rsid w:val="55464F8A"/>
    <w:rsid w:val="55497C03"/>
    <w:rsid w:val="554C3600"/>
    <w:rsid w:val="555170A7"/>
    <w:rsid w:val="55580A4D"/>
    <w:rsid w:val="55673D05"/>
    <w:rsid w:val="55775D97"/>
    <w:rsid w:val="557B0928"/>
    <w:rsid w:val="55825812"/>
    <w:rsid w:val="55833339"/>
    <w:rsid w:val="5587536D"/>
    <w:rsid w:val="558D721B"/>
    <w:rsid w:val="55913CA7"/>
    <w:rsid w:val="559460CF"/>
    <w:rsid w:val="55992B5C"/>
    <w:rsid w:val="559A1FC3"/>
    <w:rsid w:val="559B174B"/>
    <w:rsid w:val="55B32AD7"/>
    <w:rsid w:val="55B41744"/>
    <w:rsid w:val="55B62177"/>
    <w:rsid w:val="55B65B20"/>
    <w:rsid w:val="55C97955"/>
    <w:rsid w:val="55CC1183"/>
    <w:rsid w:val="55CE0CF4"/>
    <w:rsid w:val="55D13859"/>
    <w:rsid w:val="55D63329"/>
    <w:rsid w:val="55D95524"/>
    <w:rsid w:val="55DF0EB7"/>
    <w:rsid w:val="55EB09B2"/>
    <w:rsid w:val="55F50859"/>
    <w:rsid w:val="55F74B93"/>
    <w:rsid w:val="55F84612"/>
    <w:rsid w:val="56065AB4"/>
    <w:rsid w:val="56086042"/>
    <w:rsid w:val="560B4E0F"/>
    <w:rsid w:val="561548D9"/>
    <w:rsid w:val="56187F25"/>
    <w:rsid w:val="561A5A4B"/>
    <w:rsid w:val="56222B52"/>
    <w:rsid w:val="56242826"/>
    <w:rsid w:val="5627460C"/>
    <w:rsid w:val="563034C0"/>
    <w:rsid w:val="56343E36"/>
    <w:rsid w:val="56344A2D"/>
    <w:rsid w:val="56354874"/>
    <w:rsid w:val="563665FD"/>
    <w:rsid w:val="56382375"/>
    <w:rsid w:val="56424FA2"/>
    <w:rsid w:val="564252E7"/>
    <w:rsid w:val="56440D1A"/>
    <w:rsid w:val="5647032A"/>
    <w:rsid w:val="564E7DEA"/>
    <w:rsid w:val="564F2794"/>
    <w:rsid w:val="564F2AFF"/>
    <w:rsid w:val="56585DA5"/>
    <w:rsid w:val="56636203"/>
    <w:rsid w:val="56681893"/>
    <w:rsid w:val="56682C5A"/>
    <w:rsid w:val="566969D2"/>
    <w:rsid w:val="566B7DFC"/>
    <w:rsid w:val="56771B5C"/>
    <w:rsid w:val="567F2467"/>
    <w:rsid w:val="56813736"/>
    <w:rsid w:val="5693110A"/>
    <w:rsid w:val="56951575"/>
    <w:rsid w:val="569C0B56"/>
    <w:rsid w:val="56A018BD"/>
    <w:rsid w:val="56A32BDA"/>
    <w:rsid w:val="56AA7DC6"/>
    <w:rsid w:val="56AB0D99"/>
    <w:rsid w:val="56B22A9C"/>
    <w:rsid w:val="56C360E3"/>
    <w:rsid w:val="56C37E91"/>
    <w:rsid w:val="56C854A7"/>
    <w:rsid w:val="56CF0F2B"/>
    <w:rsid w:val="56D007FF"/>
    <w:rsid w:val="56D4639E"/>
    <w:rsid w:val="56DA342C"/>
    <w:rsid w:val="56DF5F95"/>
    <w:rsid w:val="56E60023"/>
    <w:rsid w:val="56E755A0"/>
    <w:rsid w:val="56EB4EC3"/>
    <w:rsid w:val="56EF6E93"/>
    <w:rsid w:val="56F049FE"/>
    <w:rsid w:val="56FA5FC1"/>
    <w:rsid w:val="56FD461C"/>
    <w:rsid w:val="57007337"/>
    <w:rsid w:val="57062473"/>
    <w:rsid w:val="57122BC6"/>
    <w:rsid w:val="571B00C0"/>
    <w:rsid w:val="571C57F3"/>
    <w:rsid w:val="571D0C2A"/>
    <w:rsid w:val="571F14FD"/>
    <w:rsid w:val="572A6162"/>
    <w:rsid w:val="573174F0"/>
    <w:rsid w:val="573214BA"/>
    <w:rsid w:val="573713A8"/>
    <w:rsid w:val="57422161"/>
    <w:rsid w:val="5748081E"/>
    <w:rsid w:val="575B456D"/>
    <w:rsid w:val="576310AD"/>
    <w:rsid w:val="57650F48"/>
    <w:rsid w:val="576553EC"/>
    <w:rsid w:val="5766493A"/>
    <w:rsid w:val="57671164"/>
    <w:rsid w:val="576A47B0"/>
    <w:rsid w:val="576D604E"/>
    <w:rsid w:val="576F0018"/>
    <w:rsid w:val="57720E26"/>
    <w:rsid w:val="577473DD"/>
    <w:rsid w:val="577949F3"/>
    <w:rsid w:val="577F75DE"/>
    <w:rsid w:val="578735B4"/>
    <w:rsid w:val="57904B13"/>
    <w:rsid w:val="57913BB1"/>
    <w:rsid w:val="57972C9C"/>
    <w:rsid w:val="579E26AC"/>
    <w:rsid w:val="579F6DCF"/>
    <w:rsid w:val="57A2219C"/>
    <w:rsid w:val="57AF7F74"/>
    <w:rsid w:val="57B45C61"/>
    <w:rsid w:val="57B72A76"/>
    <w:rsid w:val="57B8758F"/>
    <w:rsid w:val="57BE4AFC"/>
    <w:rsid w:val="57C3426C"/>
    <w:rsid w:val="57C9597B"/>
    <w:rsid w:val="57CE1F93"/>
    <w:rsid w:val="57CF2865"/>
    <w:rsid w:val="57D911BD"/>
    <w:rsid w:val="57DD29A9"/>
    <w:rsid w:val="57E64F8B"/>
    <w:rsid w:val="57F02618"/>
    <w:rsid w:val="57F10A2D"/>
    <w:rsid w:val="57F30C49"/>
    <w:rsid w:val="57F73E39"/>
    <w:rsid w:val="57FB18AC"/>
    <w:rsid w:val="57FC6868"/>
    <w:rsid w:val="57FD3876"/>
    <w:rsid w:val="58004399"/>
    <w:rsid w:val="580A7D41"/>
    <w:rsid w:val="581125D0"/>
    <w:rsid w:val="5813167F"/>
    <w:rsid w:val="58154565"/>
    <w:rsid w:val="58190916"/>
    <w:rsid w:val="58223AF1"/>
    <w:rsid w:val="582C415B"/>
    <w:rsid w:val="583102EB"/>
    <w:rsid w:val="583152CE"/>
    <w:rsid w:val="58382B00"/>
    <w:rsid w:val="583A23D4"/>
    <w:rsid w:val="583C7693"/>
    <w:rsid w:val="584A6390"/>
    <w:rsid w:val="584D2D67"/>
    <w:rsid w:val="585039A6"/>
    <w:rsid w:val="58535244"/>
    <w:rsid w:val="58537F2B"/>
    <w:rsid w:val="58562F86"/>
    <w:rsid w:val="585A336B"/>
    <w:rsid w:val="58621115"/>
    <w:rsid w:val="586C27AA"/>
    <w:rsid w:val="588418A2"/>
    <w:rsid w:val="58845D45"/>
    <w:rsid w:val="588743D1"/>
    <w:rsid w:val="5887701A"/>
    <w:rsid w:val="588A4C60"/>
    <w:rsid w:val="588F6FE2"/>
    <w:rsid w:val="589176FA"/>
    <w:rsid w:val="5897543F"/>
    <w:rsid w:val="5898534D"/>
    <w:rsid w:val="589C4E3D"/>
    <w:rsid w:val="589F492D"/>
    <w:rsid w:val="58A837E2"/>
    <w:rsid w:val="58B336C6"/>
    <w:rsid w:val="58B80B3C"/>
    <w:rsid w:val="58BA1B79"/>
    <w:rsid w:val="58BA6694"/>
    <w:rsid w:val="58BF05E6"/>
    <w:rsid w:val="58C83E84"/>
    <w:rsid w:val="58CB3159"/>
    <w:rsid w:val="58CD1F2B"/>
    <w:rsid w:val="58D17048"/>
    <w:rsid w:val="58D17AEF"/>
    <w:rsid w:val="58D75E75"/>
    <w:rsid w:val="58D77C23"/>
    <w:rsid w:val="58E4675B"/>
    <w:rsid w:val="58E80D86"/>
    <w:rsid w:val="58EB36CF"/>
    <w:rsid w:val="58EF598F"/>
    <w:rsid w:val="58FA26E1"/>
    <w:rsid w:val="59011144"/>
    <w:rsid w:val="59023F6F"/>
    <w:rsid w:val="59034B0E"/>
    <w:rsid w:val="59044790"/>
    <w:rsid w:val="590A0DFE"/>
    <w:rsid w:val="590A18DC"/>
    <w:rsid w:val="590E4DA8"/>
    <w:rsid w:val="59102873"/>
    <w:rsid w:val="59111F5E"/>
    <w:rsid w:val="59116EBF"/>
    <w:rsid w:val="59127A5E"/>
    <w:rsid w:val="59162E41"/>
    <w:rsid w:val="591C3CB6"/>
    <w:rsid w:val="59201E0F"/>
    <w:rsid w:val="59257D5A"/>
    <w:rsid w:val="593257A1"/>
    <w:rsid w:val="5932703B"/>
    <w:rsid w:val="59351788"/>
    <w:rsid w:val="593761FA"/>
    <w:rsid w:val="5937763B"/>
    <w:rsid w:val="593C4218"/>
    <w:rsid w:val="593F5C55"/>
    <w:rsid w:val="59464DA9"/>
    <w:rsid w:val="59490906"/>
    <w:rsid w:val="594B184B"/>
    <w:rsid w:val="594E3962"/>
    <w:rsid w:val="59600FD2"/>
    <w:rsid w:val="59684D1F"/>
    <w:rsid w:val="596F09BC"/>
    <w:rsid w:val="598541D6"/>
    <w:rsid w:val="598D29D8"/>
    <w:rsid w:val="598E5973"/>
    <w:rsid w:val="59905B60"/>
    <w:rsid w:val="59926240"/>
    <w:rsid w:val="59941FB8"/>
    <w:rsid w:val="59A15D01"/>
    <w:rsid w:val="59A41FA0"/>
    <w:rsid w:val="59A45005"/>
    <w:rsid w:val="59A6746F"/>
    <w:rsid w:val="59B2243E"/>
    <w:rsid w:val="59B36259"/>
    <w:rsid w:val="59B87359"/>
    <w:rsid w:val="59BC506B"/>
    <w:rsid w:val="59BD660D"/>
    <w:rsid w:val="59BE0DE3"/>
    <w:rsid w:val="59C0439F"/>
    <w:rsid w:val="59C363FA"/>
    <w:rsid w:val="59C42947"/>
    <w:rsid w:val="59C873C6"/>
    <w:rsid w:val="59C94E46"/>
    <w:rsid w:val="59CC52AE"/>
    <w:rsid w:val="59CE54CA"/>
    <w:rsid w:val="59D22C0A"/>
    <w:rsid w:val="59D6437F"/>
    <w:rsid w:val="59D979CB"/>
    <w:rsid w:val="59DE1485"/>
    <w:rsid w:val="59EC5950"/>
    <w:rsid w:val="59FF5F51"/>
    <w:rsid w:val="5A0B50DC"/>
    <w:rsid w:val="5A156465"/>
    <w:rsid w:val="5A184997"/>
    <w:rsid w:val="5A1F3552"/>
    <w:rsid w:val="5A2B6CAC"/>
    <w:rsid w:val="5A2C3F9F"/>
    <w:rsid w:val="5A2D7D25"/>
    <w:rsid w:val="5A3A32AF"/>
    <w:rsid w:val="5A3E3CD2"/>
    <w:rsid w:val="5A3F0176"/>
    <w:rsid w:val="5A407A4A"/>
    <w:rsid w:val="5A420BC5"/>
    <w:rsid w:val="5A4612C4"/>
    <w:rsid w:val="5A47527D"/>
    <w:rsid w:val="5A4E2167"/>
    <w:rsid w:val="5A50198F"/>
    <w:rsid w:val="5A53777D"/>
    <w:rsid w:val="5A56101C"/>
    <w:rsid w:val="5A5652CC"/>
    <w:rsid w:val="5A5D09FE"/>
    <w:rsid w:val="5A646FAD"/>
    <w:rsid w:val="5A68494E"/>
    <w:rsid w:val="5A6B0F6B"/>
    <w:rsid w:val="5A6D5B09"/>
    <w:rsid w:val="5A722EBF"/>
    <w:rsid w:val="5A7445FC"/>
    <w:rsid w:val="5A754C38"/>
    <w:rsid w:val="5A780A0F"/>
    <w:rsid w:val="5A7D2A4C"/>
    <w:rsid w:val="5A810B67"/>
    <w:rsid w:val="5A815FD4"/>
    <w:rsid w:val="5A9543EF"/>
    <w:rsid w:val="5A9A585D"/>
    <w:rsid w:val="5A9B1124"/>
    <w:rsid w:val="5AA153EC"/>
    <w:rsid w:val="5AA314BD"/>
    <w:rsid w:val="5AA60A7D"/>
    <w:rsid w:val="5AA8066B"/>
    <w:rsid w:val="5AAB4CAC"/>
    <w:rsid w:val="5AB02589"/>
    <w:rsid w:val="5AB346C0"/>
    <w:rsid w:val="5ABE2233"/>
    <w:rsid w:val="5ABF6D03"/>
    <w:rsid w:val="5AC05A36"/>
    <w:rsid w:val="5AC643F3"/>
    <w:rsid w:val="5AC9689F"/>
    <w:rsid w:val="5AC97A40"/>
    <w:rsid w:val="5AD54636"/>
    <w:rsid w:val="5AD66ADE"/>
    <w:rsid w:val="5AD73B2D"/>
    <w:rsid w:val="5ADE1F73"/>
    <w:rsid w:val="5ADE798F"/>
    <w:rsid w:val="5AE34FA5"/>
    <w:rsid w:val="5AE64A95"/>
    <w:rsid w:val="5AED1980"/>
    <w:rsid w:val="5AFA2C14"/>
    <w:rsid w:val="5AFE1DDF"/>
    <w:rsid w:val="5AFE3B8D"/>
    <w:rsid w:val="5B0171D9"/>
    <w:rsid w:val="5B022F52"/>
    <w:rsid w:val="5B16743A"/>
    <w:rsid w:val="5B1E7D8B"/>
    <w:rsid w:val="5B24111A"/>
    <w:rsid w:val="5B2F1F99"/>
    <w:rsid w:val="5B361D70"/>
    <w:rsid w:val="5B372BFB"/>
    <w:rsid w:val="5B413A7A"/>
    <w:rsid w:val="5B423ECD"/>
    <w:rsid w:val="5B445446"/>
    <w:rsid w:val="5B503CBD"/>
    <w:rsid w:val="5B5412A7"/>
    <w:rsid w:val="5B61236E"/>
    <w:rsid w:val="5B6F67B0"/>
    <w:rsid w:val="5B7C4DA2"/>
    <w:rsid w:val="5B7D3E40"/>
    <w:rsid w:val="5B7F68E9"/>
    <w:rsid w:val="5B914AE3"/>
    <w:rsid w:val="5B9A0C44"/>
    <w:rsid w:val="5BA858A7"/>
    <w:rsid w:val="5BAA299C"/>
    <w:rsid w:val="5BAD7361"/>
    <w:rsid w:val="5BB167FD"/>
    <w:rsid w:val="5BB54649"/>
    <w:rsid w:val="5BB81099"/>
    <w:rsid w:val="5BBB1A7E"/>
    <w:rsid w:val="5BC02123"/>
    <w:rsid w:val="5BC30933"/>
    <w:rsid w:val="5BC31D7F"/>
    <w:rsid w:val="5BCD355F"/>
    <w:rsid w:val="5BCE2C90"/>
    <w:rsid w:val="5BD448EE"/>
    <w:rsid w:val="5BD60E36"/>
    <w:rsid w:val="5BDC37A3"/>
    <w:rsid w:val="5BDD55C1"/>
    <w:rsid w:val="5BDF5D95"/>
    <w:rsid w:val="5BE56AFB"/>
    <w:rsid w:val="5BE96A18"/>
    <w:rsid w:val="5BEA75B7"/>
    <w:rsid w:val="5BF1663A"/>
    <w:rsid w:val="5BF50A4C"/>
    <w:rsid w:val="5BF603EF"/>
    <w:rsid w:val="5BFB631F"/>
    <w:rsid w:val="5BFD30FD"/>
    <w:rsid w:val="5BFE7528"/>
    <w:rsid w:val="5C08561B"/>
    <w:rsid w:val="5C0916B3"/>
    <w:rsid w:val="5C0D1BAE"/>
    <w:rsid w:val="5C0D3F36"/>
    <w:rsid w:val="5C0D460C"/>
    <w:rsid w:val="5C1102D5"/>
    <w:rsid w:val="5C1C1CB4"/>
    <w:rsid w:val="5C1D0043"/>
    <w:rsid w:val="5C202970"/>
    <w:rsid w:val="5C294C0E"/>
    <w:rsid w:val="5C2E4641"/>
    <w:rsid w:val="5C337866"/>
    <w:rsid w:val="5C3F5168"/>
    <w:rsid w:val="5C447CC6"/>
    <w:rsid w:val="5C480805"/>
    <w:rsid w:val="5C4A2B15"/>
    <w:rsid w:val="5C4C0928"/>
    <w:rsid w:val="5C4D62FA"/>
    <w:rsid w:val="5C4F15F5"/>
    <w:rsid w:val="5C537F09"/>
    <w:rsid w:val="5C615072"/>
    <w:rsid w:val="5C645C72"/>
    <w:rsid w:val="5C661155"/>
    <w:rsid w:val="5C6C2D78"/>
    <w:rsid w:val="5C700ABB"/>
    <w:rsid w:val="5C7B189C"/>
    <w:rsid w:val="5C7F525F"/>
    <w:rsid w:val="5C7F5CD5"/>
    <w:rsid w:val="5C835C87"/>
    <w:rsid w:val="5C8E2CEF"/>
    <w:rsid w:val="5C8F4ADF"/>
    <w:rsid w:val="5C9522CF"/>
    <w:rsid w:val="5C9A5B38"/>
    <w:rsid w:val="5C9C05B9"/>
    <w:rsid w:val="5CA02A22"/>
    <w:rsid w:val="5CBD1826"/>
    <w:rsid w:val="5CBD72D7"/>
    <w:rsid w:val="5CC35FC8"/>
    <w:rsid w:val="5CC44962"/>
    <w:rsid w:val="5CC606DB"/>
    <w:rsid w:val="5CC826A5"/>
    <w:rsid w:val="5CD01559"/>
    <w:rsid w:val="5CD10E2D"/>
    <w:rsid w:val="5CD5091E"/>
    <w:rsid w:val="5CE045E7"/>
    <w:rsid w:val="5CEE5E83"/>
    <w:rsid w:val="5CF3349A"/>
    <w:rsid w:val="5CF74E92"/>
    <w:rsid w:val="5CF80AB0"/>
    <w:rsid w:val="5CF8460C"/>
    <w:rsid w:val="5CF848FE"/>
    <w:rsid w:val="5CFF1E3E"/>
    <w:rsid w:val="5D0A3648"/>
    <w:rsid w:val="5D115481"/>
    <w:rsid w:val="5D14180F"/>
    <w:rsid w:val="5D1A27D4"/>
    <w:rsid w:val="5D1D089A"/>
    <w:rsid w:val="5D1F2257"/>
    <w:rsid w:val="5D227A80"/>
    <w:rsid w:val="5D245401"/>
    <w:rsid w:val="5D290C69"/>
    <w:rsid w:val="5D2B2C34"/>
    <w:rsid w:val="5D30024A"/>
    <w:rsid w:val="5D351CF6"/>
    <w:rsid w:val="5D355860"/>
    <w:rsid w:val="5D3A69D3"/>
    <w:rsid w:val="5D465377"/>
    <w:rsid w:val="5D4D4FBA"/>
    <w:rsid w:val="5D4E247E"/>
    <w:rsid w:val="5D5061F6"/>
    <w:rsid w:val="5D520385"/>
    <w:rsid w:val="5D53269B"/>
    <w:rsid w:val="5D5A52C7"/>
    <w:rsid w:val="5D5F3DB5"/>
    <w:rsid w:val="5D6323CD"/>
    <w:rsid w:val="5D675118"/>
    <w:rsid w:val="5D700646"/>
    <w:rsid w:val="5D720862"/>
    <w:rsid w:val="5D7216B9"/>
    <w:rsid w:val="5D790035"/>
    <w:rsid w:val="5D795086"/>
    <w:rsid w:val="5D7F0FB0"/>
    <w:rsid w:val="5D834805"/>
    <w:rsid w:val="5D850596"/>
    <w:rsid w:val="5D8A795A"/>
    <w:rsid w:val="5D8F6D1E"/>
    <w:rsid w:val="5D96269B"/>
    <w:rsid w:val="5DA369D2"/>
    <w:rsid w:val="5DA61A44"/>
    <w:rsid w:val="5DA622BA"/>
    <w:rsid w:val="5DAF4C1B"/>
    <w:rsid w:val="5DBA142B"/>
    <w:rsid w:val="5DBF512A"/>
    <w:rsid w:val="5DC30ED0"/>
    <w:rsid w:val="5DCC7F73"/>
    <w:rsid w:val="5DCF53BC"/>
    <w:rsid w:val="5DDC4867"/>
    <w:rsid w:val="5DDF68CC"/>
    <w:rsid w:val="5DE03A1E"/>
    <w:rsid w:val="5DE05293"/>
    <w:rsid w:val="5DE055FE"/>
    <w:rsid w:val="5DE1109B"/>
    <w:rsid w:val="5DE3706A"/>
    <w:rsid w:val="5DE77A3D"/>
    <w:rsid w:val="5DED0EF3"/>
    <w:rsid w:val="5DF254FF"/>
    <w:rsid w:val="5DF71FD8"/>
    <w:rsid w:val="5DFD6560"/>
    <w:rsid w:val="5E0019CA"/>
    <w:rsid w:val="5E025791"/>
    <w:rsid w:val="5E056FE1"/>
    <w:rsid w:val="5E0B0912"/>
    <w:rsid w:val="5E0C56F7"/>
    <w:rsid w:val="5E135BA1"/>
    <w:rsid w:val="5E14191A"/>
    <w:rsid w:val="5E1822E9"/>
    <w:rsid w:val="5E203E1A"/>
    <w:rsid w:val="5E21062F"/>
    <w:rsid w:val="5E23286C"/>
    <w:rsid w:val="5E2467F1"/>
    <w:rsid w:val="5E2751A9"/>
    <w:rsid w:val="5E382390"/>
    <w:rsid w:val="5E391380"/>
    <w:rsid w:val="5E3C457C"/>
    <w:rsid w:val="5E3E6996"/>
    <w:rsid w:val="5E40626B"/>
    <w:rsid w:val="5E453881"/>
    <w:rsid w:val="5E456B54"/>
    <w:rsid w:val="5E4F0557"/>
    <w:rsid w:val="5E5451F3"/>
    <w:rsid w:val="5E581806"/>
    <w:rsid w:val="5E5B0437"/>
    <w:rsid w:val="5E613CC4"/>
    <w:rsid w:val="5E671A49"/>
    <w:rsid w:val="5E6A32E8"/>
    <w:rsid w:val="5E6D4B86"/>
    <w:rsid w:val="5E6F0AF5"/>
    <w:rsid w:val="5E6F1F75"/>
    <w:rsid w:val="5E6F4DA2"/>
    <w:rsid w:val="5E6F724E"/>
    <w:rsid w:val="5E7F3237"/>
    <w:rsid w:val="5E8072DA"/>
    <w:rsid w:val="5E8C7702"/>
    <w:rsid w:val="5E9414BA"/>
    <w:rsid w:val="5E954808"/>
    <w:rsid w:val="5EA06D09"/>
    <w:rsid w:val="5EA70098"/>
    <w:rsid w:val="5EAE3418"/>
    <w:rsid w:val="5EB90BDF"/>
    <w:rsid w:val="5EB91404"/>
    <w:rsid w:val="5EB97DCB"/>
    <w:rsid w:val="5EBB3B43"/>
    <w:rsid w:val="5EC07879"/>
    <w:rsid w:val="5ECA6A10"/>
    <w:rsid w:val="5ECE0030"/>
    <w:rsid w:val="5ECE1AC8"/>
    <w:rsid w:val="5ED33C42"/>
    <w:rsid w:val="5EDC58F5"/>
    <w:rsid w:val="5EDD16DC"/>
    <w:rsid w:val="5EE30295"/>
    <w:rsid w:val="5EE65064"/>
    <w:rsid w:val="5EE70DDC"/>
    <w:rsid w:val="5EE94B54"/>
    <w:rsid w:val="5EEC1F4F"/>
    <w:rsid w:val="5EF32CA2"/>
    <w:rsid w:val="5EF86B45"/>
    <w:rsid w:val="5EFF7ED4"/>
    <w:rsid w:val="5F01547F"/>
    <w:rsid w:val="5F0674B4"/>
    <w:rsid w:val="5F08021D"/>
    <w:rsid w:val="5F100A56"/>
    <w:rsid w:val="5F1073D0"/>
    <w:rsid w:val="5F116B44"/>
    <w:rsid w:val="5F1A2B43"/>
    <w:rsid w:val="5F2067DA"/>
    <w:rsid w:val="5F2E35DE"/>
    <w:rsid w:val="5F3B523C"/>
    <w:rsid w:val="5F4623EB"/>
    <w:rsid w:val="5F470011"/>
    <w:rsid w:val="5F50744C"/>
    <w:rsid w:val="5F513B85"/>
    <w:rsid w:val="5F553F98"/>
    <w:rsid w:val="5F593A88"/>
    <w:rsid w:val="5F6076DB"/>
    <w:rsid w:val="5F610B8F"/>
    <w:rsid w:val="5F645E8C"/>
    <w:rsid w:val="5F65097C"/>
    <w:rsid w:val="5F657B84"/>
    <w:rsid w:val="5F666149"/>
    <w:rsid w:val="5F66666A"/>
    <w:rsid w:val="5F693F19"/>
    <w:rsid w:val="5F7062A4"/>
    <w:rsid w:val="5F7470DF"/>
    <w:rsid w:val="5F8106EC"/>
    <w:rsid w:val="5F851FA3"/>
    <w:rsid w:val="5F853D43"/>
    <w:rsid w:val="5F893C41"/>
    <w:rsid w:val="5F8D54E0"/>
    <w:rsid w:val="5FA16A85"/>
    <w:rsid w:val="5FAD16DE"/>
    <w:rsid w:val="5FAD5B82"/>
    <w:rsid w:val="5FAF0583"/>
    <w:rsid w:val="5FAF0759"/>
    <w:rsid w:val="5FAF0F08"/>
    <w:rsid w:val="5FAF19A5"/>
    <w:rsid w:val="5FB4598D"/>
    <w:rsid w:val="5FB837BB"/>
    <w:rsid w:val="5FC058B5"/>
    <w:rsid w:val="5FCB1D46"/>
    <w:rsid w:val="5FCD2DBA"/>
    <w:rsid w:val="5FCE46C2"/>
    <w:rsid w:val="5FD053D7"/>
    <w:rsid w:val="5FD62369"/>
    <w:rsid w:val="5FD96977"/>
    <w:rsid w:val="5FE707D9"/>
    <w:rsid w:val="5FEA2932"/>
    <w:rsid w:val="5FEC2D8A"/>
    <w:rsid w:val="5FEF2475"/>
    <w:rsid w:val="5FF76DFD"/>
    <w:rsid w:val="5FFA35CE"/>
    <w:rsid w:val="5FFB4B3F"/>
    <w:rsid w:val="60067FDB"/>
    <w:rsid w:val="600A0901"/>
    <w:rsid w:val="60116111"/>
    <w:rsid w:val="601654D5"/>
    <w:rsid w:val="601703D2"/>
    <w:rsid w:val="601B0D3D"/>
    <w:rsid w:val="60211B97"/>
    <w:rsid w:val="602441E8"/>
    <w:rsid w:val="602B08B8"/>
    <w:rsid w:val="602D1E31"/>
    <w:rsid w:val="60367B2B"/>
    <w:rsid w:val="604C353C"/>
    <w:rsid w:val="605026B2"/>
    <w:rsid w:val="605040C4"/>
    <w:rsid w:val="60533401"/>
    <w:rsid w:val="60567FC7"/>
    <w:rsid w:val="6057789C"/>
    <w:rsid w:val="60577C59"/>
    <w:rsid w:val="60592C21"/>
    <w:rsid w:val="605F3F2D"/>
    <w:rsid w:val="606D5311"/>
    <w:rsid w:val="606F4BE5"/>
    <w:rsid w:val="606F72DB"/>
    <w:rsid w:val="60717E7D"/>
    <w:rsid w:val="607641C6"/>
    <w:rsid w:val="607B236A"/>
    <w:rsid w:val="608D2FCC"/>
    <w:rsid w:val="609049EA"/>
    <w:rsid w:val="609225A9"/>
    <w:rsid w:val="609676C4"/>
    <w:rsid w:val="609A634F"/>
    <w:rsid w:val="609C3E0F"/>
    <w:rsid w:val="60AC5E39"/>
    <w:rsid w:val="60AE1334"/>
    <w:rsid w:val="60AE7E03"/>
    <w:rsid w:val="60B62CA5"/>
    <w:rsid w:val="60C44F62"/>
    <w:rsid w:val="60C73522"/>
    <w:rsid w:val="60C90799"/>
    <w:rsid w:val="60CB69BE"/>
    <w:rsid w:val="60CC2038"/>
    <w:rsid w:val="60CC405A"/>
    <w:rsid w:val="60CC7BC7"/>
    <w:rsid w:val="60CE509E"/>
    <w:rsid w:val="60D90D70"/>
    <w:rsid w:val="60E20FBA"/>
    <w:rsid w:val="60E62582"/>
    <w:rsid w:val="60EA5FD5"/>
    <w:rsid w:val="60F02006"/>
    <w:rsid w:val="60F129EA"/>
    <w:rsid w:val="60F5158E"/>
    <w:rsid w:val="60F670B5"/>
    <w:rsid w:val="60F835AA"/>
    <w:rsid w:val="61016185"/>
    <w:rsid w:val="61017934"/>
    <w:rsid w:val="61023CAB"/>
    <w:rsid w:val="61073070"/>
    <w:rsid w:val="610D0ABC"/>
    <w:rsid w:val="61126F33"/>
    <w:rsid w:val="61136531"/>
    <w:rsid w:val="61167757"/>
    <w:rsid w:val="611834CF"/>
    <w:rsid w:val="61187742"/>
    <w:rsid w:val="611E4209"/>
    <w:rsid w:val="61214589"/>
    <w:rsid w:val="612D2FEF"/>
    <w:rsid w:val="612E684E"/>
    <w:rsid w:val="61380253"/>
    <w:rsid w:val="6142679E"/>
    <w:rsid w:val="61450C58"/>
    <w:rsid w:val="6146003C"/>
    <w:rsid w:val="614671E7"/>
    <w:rsid w:val="614B7400"/>
    <w:rsid w:val="61565DA5"/>
    <w:rsid w:val="61614E7D"/>
    <w:rsid w:val="616B3D62"/>
    <w:rsid w:val="617A5F38"/>
    <w:rsid w:val="618A333F"/>
    <w:rsid w:val="61905473"/>
    <w:rsid w:val="61914A31"/>
    <w:rsid w:val="61957712"/>
    <w:rsid w:val="61962E9A"/>
    <w:rsid w:val="61A11716"/>
    <w:rsid w:val="61B529F2"/>
    <w:rsid w:val="61B53A89"/>
    <w:rsid w:val="61B825BC"/>
    <w:rsid w:val="61BC3E5A"/>
    <w:rsid w:val="61D56453"/>
    <w:rsid w:val="61D91338"/>
    <w:rsid w:val="61DF3FED"/>
    <w:rsid w:val="61E215D8"/>
    <w:rsid w:val="61E44F1F"/>
    <w:rsid w:val="61EF4230"/>
    <w:rsid w:val="61F74E6F"/>
    <w:rsid w:val="62017250"/>
    <w:rsid w:val="6203135B"/>
    <w:rsid w:val="620A5BE8"/>
    <w:rsid w:val="620D33E1"/>
    <w:rsid w:val="620F7BAA"/>
    <w:rsid w:val="621A3C84"/>
    <w:rsid w:val="621B3775"/>
    <w:rsid w:val="622D2FAA"/>
    <w:rsid w:val="622E70C8"/>
    <w:rsid w:val="622F474D"/>
    <w:rsid w:val="623205C0"/>
    <w:rsid w:val="62347E94"/>
    <w:rsid w:val="62364782"/>
    <w:rsid w:val="62406FED"/>
    <w:rsid w:val="624A29F6"/>
    <w:rsid w:val="62514EEA"/>
    <w:rsid w:val="625D62D7"/>
    <w:rsid w:val="626764BC"/>
    <w:rsid w:val="627110E9"/>
    <w:rsid w:val="62792AF3"/>
    <w:rsid w:val="62797F9D"/>
    <w:rsid w:val="629253D6"/>
    <w:rsid w:val="62996751"/>
    <w:rsid w:val="62A40480"/>
    <w:rsid w:val="62A4517E"/>
    <w:rsid w:val="62A62F15"/>
    <w:rsid w:val="62A969EB"/>
    <w:rsid w:val="62AA45FB"/>
    <w:rsid w:val="62B247EF"/>
    <w:rsid w:val="62B47227"/>
    <w:rsid w:val="62BF00A6"/>
    <w:rsid w:val="62C236F2"/>
    <w:rsid w:val="62C76F5B"/>
    <w:rsid w:val="62CB283C"/>
    <w:rsid w:val="62CC27C3"/>
    <w:rsid w:val="62D177F2"/>
    <w:rsid w:val="62D2496B"/>
    <w:rsid w:val="62D358FF"/>
    <w:rsid w:val="62D653F0"/>
    <w:rsid w:val="62D8049A"/>
    <w:rsid w:val="62D862DB"/>
    <w:rsid w:val="62D90A3C"/>
    <w:rsid w:val="62DD052C"/>
    <w:rsid w:val="62DE42A4"/>
    <w:rsid w:val="62E328C2"/>
    <w:rsid w:val="62ED570E"/>
    <w:rsid w:val="62EE1292"/>
    <w:rsid w:val="62F45876"/>
    <w:rsid w:val="63026180"/>
    <w:rsid w:val="631C06B9"/>
    <w:rsid w:val="631D6B7A"/>
    <w:rsid w:val="63224191"/>
    <w:rsid w:val="6324615B"/>
    <w:rsid w:val="632D34C9"/>
    <w:rsid w:val="63316ACA"/>
    <w:rsid w:val="633B34A5"/>
    <w:rsid w:val="63400ABB"/>
    <w:rsid w:val="63442359"/>
    <w:rsid w:val="63505631"/>
    <w:rsid w:val="63536A40"/>
    <w:rsid w:val="63536EA5"/>
    <w:rsid w:val="635A1B7D"/>
    <w:rsid w:val="63640C4D"/>
    <w:rsid w:val="636724EC"/>
    <w:rsid w:val="63685DC4"/>
    <w:rsid w:val="637864A7"/>
    <w:rsid w:val="6379740E"/>
    <w:rsid w:val="637A089E"/>
    <w:rsid w:val="637F7835"/>
    <w:rsid w:val="63861052"/>
    <w:rsid w:val="638A155C"/>
    <w:rsid w:val="638D02E2"/>
    <w:rsid w:val="6394356A"/>
    <w:rsid w:val="63964B41"/>
    <w:rsid w:val="639B1F33"/>
    <w:rsid w:val="63A04400"/>
    <w:rsid w:val="63A454EE"/>
    <w:rsid w:val="63A64CE9"/>
    <w:rsid w:val="63B53257"/>
    <w:rsid w:val="63C27722"/>
    <w:rsid w:val="63C35974"/>
    <w:rsid w:val="63C464CF"/>
    <w:rsid w:val="63C61B2C"/>
    <w:rsid w:val="63D3125A"/>
    <w:rsid w:val="63D40BE9"/>
    <w:rsid w:val="63DD630A"/>
    <w:rsid w:val="63DF2082"/>
    <w:rsid w:val="63E458E8"/>
    <w:rsid w:val="63E54454"/>
    <w:rsid w:val="63E851F4"/>
    <w:rsid w:val="63EE6769"/>
    <w:rsid w:val="63F024E1"/>
    <w:rsid w:val="63F07169"/>
    <w:rsid w:val="63F25A88"/>
    <w:rsid w:val="63F45B19"/>
    <w:rsid w:val="63F461F0"/>
    <w:rsid w:val="63F91396"/>
    <w:rsid w:val="63FE4BFE"/>
    <w:rsid w:val="63FF0976"/>
    <w:rsid w:val="640B21AC"/>
    <w:rsid w:val="640F4D03"/>
    <w:rsid w:val="6410048D"/>
    <w:rsid w:val="64102431"/>
    <w:rsid w:val="64131F36"/>
    <w:rsid w:val="64137F7D"/>
    <w:rsid w:val="6423181B"/>
    <w:rsid w:val="64287ECD"/>
    <w:rsid w:val="642A7243"/>
    <w:rsid w:val="64306D81"/>
    <w:rsid w:val="64354398"/>
    <w:rsid w:val="643C278B"/>
    <w:rsid w:val="64422B50"/>
    <w:rsid w:val="64444777"/>
    <w:rsid w:val="6445282D"/>
    <w:rsid w:val="64490695"/>
    <w:rsid w:val="644B3AE5"/>
    <w:rsid w:val="64563013"/>
    <w:rsid w:val="646332EF"/>
    <w:rsid w:val="646507D9"/>
    <w:rsid w:val="6468651B"/>
    <w:rsid w:val="64751B9D"/>
    <w:rsid w:val="64772D5C"/>
    <w:rsid w:val="647E53E7"/>
    <w:rsid w:val="6484649B"/>
    <w:rsid w:val="6486074F"/>
    <w:rsid w:val="64867B99"/>
    <w:rsid w:val="64897A59"/>
    <w:rsid w:val="648E1206"/>
    <w:rsid w:val="649C7F73"/>
    <w:rsid w:val="64A5243A"/>
    <w:rsid w:val="64A97C90"/>
    <w:rsid w:val="64AD2180"/>
    <w:rsid w:val="64B14965"/>
    <w:rsid w:val="64B63248"/>
    <w:rsid w:val="64B71977"/>
    <w:rsid w:val="64B81251"/>
    <w:rsid w:val="64BF252B"/>
    <w:rsid w:val="64C70F64"/>
    <w:rsid w:val="64D03BF7"/>
    <w:rsid w:val="64D4770D"/>
    <w:rsid w:val="64DD2A65"/>
    <w:rsid w:val="64E74CE1"/>
    <w:rsid w:val="64E77440"/>
    <w:rsid w:val="64E8140A"/>
    <w:rsid w:val="64F14763"/>
    <w:rsid w:val="64F531DE"/>
    <w:rsid w:val="64F81CED"/>
    <w:rsid w:val="64F92C6C"/>
    <w:rsid w:val="64FB113D"/>
    <w:rsid w:val="64FB126F"/>
    <w:rsid w:val="64FD5FBF"/>
    <w:rsid w:val="64FE445F"/>
    <w:rsid w:val="6501628C"/>
    <w:rsid w:val="65037FF2"/>
    <w:rsid w:val="65091AAC"/>
    <w:rsid w:val="651E5486"/>
    <w:rsid w:val="65247AA1"/>
    <w:rsid w:val="65273CE0"/>
    <w:rsid w:val="6529113A"/>
    <w:rsid w:val="65327A51"/>
    <w:rsid w:val="6536104B"/>
    <w:rsid w:val="65373578"/>
    <w:rsid w:val="653B778C"/>
    <w:rsid w:val="65414DC6"/>
    <w:rsid w:val="6547305D"/>
    <w:rsid w:val="654D22F5"/>
    <w:rsid w:val="656D441E"/>
    <w:rsid w:val="6570300A"/>
    <w:rsid w:val="6578278E"/>
    <w:rsid w:val="6579321E"/>
    <w:rsid w:val="657A70A6"/>
    <w:rsid w:val="658253BB"/>
    <w:rsid w:val="658A076B"/>
    <w:rsid w:val="65931376"/>
    <w:rsid w:val="659375C8"/>
    <w:rsid w:val="6594009D"/>
    <w:rsid w:val="65982872"/>
    <w:rsid w:val="65982F48"/>
    <w:rsid w:val="659D6E6C"/>
    <w:rsid w:val="65A11CE5"/>
    <w:rsid w:val="65A70771"/>
    <w:rsid w:val="65A73026"/>
    <w:rsid w:val="65A7460D"/>
    <w:rsid w:val="65B01F28"/>
    <w:rsid w:val="65B25CA0"/>
    <w:rsid w:val="65B37A89"/>
    <w:rsid w:val="65B8702E"/>
    <w:rsid w:val="65C459D3"/>
    <w:rsid w:val="65CA38DD"/>
    <w:rsid w:val="65CA4934"/>
    <w:rsid w:val="65D5198E"/>
    <w:rsid w:val="65E30E33"/>
    <w:rsid w:val="65E63B9C"/>
    <w:rsid w:val="65E924E0"/>
    <w:rsid w:val="65EC0A86"/>
    <w:rsid w:val="65EE2A50"/>
    <w:rsid w:val="65F53DDF"/>
    <w:rsid w:val="65FC516D"/>
    <w:rsid w:val="65FE13C3"/>
    <w:rsid w:val="660035B2"/>
    <w:rsid w:val="660F3202"/>
    <w:rsid w:val="662F2DC3"/>
    <w:rsid w:val="66383CCB"/>
    <w:rsid w:val="6639403B"/>
    <w:rsid w:val="663943CF"/>
    <w:rsid w:val="663E7534"/>
    <w:rsid w:val="66410DD2"/>
    <w:rsid w:val="664811B3"/>
    <w:rsid w:val="664F7993"/>
    <w:rsid w:val="665662A8"/>
    <w:rsid w:val="665E7BD6"/>
    <w:rsid w:val="66676EF2"/>
    <w:rsid w:val="66682803"/>
    <w:rsid w:val="667C084F"/>
    <w:rsid w:val="668F7D8F"/>
    <w:rsid w:val="669047B5"/>
    <w:rsid w:val="669058B5"/>
    <w:rsid w:val="66932593"/>
    <w:rsid w:val="66971996"/>
    <w:rsid w:val="669A4AAF"/>
    <w:rsid w:val="669D5738"/>
    <w:rsid w:val="669E0CC4"/>
    <w:rsid w:val="66A17AC3"/>
    <w:rsid w:val="66A65723"/>
    <w:rsid w:val="66B141AA"/>
    <w:rsid w:val="66B6356E"/>
    <w:rsid w:val="66BE0674"/>
    <w:rsid w:val="66C043ED"/>
    <w:rsid w:val="66C13CC1"/>
    <w:rsid w:val="66C20165"/>
    <w:rsid w:val="66C537B1"/>
    <w:rsid w:val="66CF63DE"/>
    <w:rsid w:val="66D02156"/>
    <w:rsid w:val="66D47E98"/>
    <w:rsid w:val="66E217EC"/>
    <w:rsid w:val="66E225B5"/>
    <w:rsid w:val="66E42D65"/>
    <w:rsid w:val="66F6168A"/>
    <w:rsid w:val="66F71181"/>
    <w:rsid w:val="67010561"/>
    <w:rsid w:val="670562A3"/>
    <w:rsid w:val="670A6F4B"/>
    <w:rsid w:val="670F2B35"/>
    <w:rsid w:val="67125292"/>
    <w:rsid w:val="671321AA"/>
    <w:rsid w:val="67135CAC"/>
    <w:rsid w:val="67193AFD"/>
    <w:rsid w:val="671B19A8"/>
    <w:rsid w:val="671D498D"/>
    <w:rsid w:val="671F124A"/>
    <w:rsid w:val="673E3563"/>
    <w:rsid w:val="673E54E3"/>
    <w:rsid w:val="674743C8"/>
    <w:rsid w:val="674943E2"/>
    <w:rsid w:val="674C0924"/>
    <w:rsid w:val="674D0403"/>
    <w:rsid w:val="674D72CB"/>
    <w:rsid w:val="67530DBD"/>
    <w:rsid w:val="67580AC9"/>
    <w:rsid w:val="67582877"/>
    <w:rsid w:val="67584625"/>
    <w:rsid w:val="6759214B"/>
    <w:rsid w:val="675D0ED1"/>
    <w:rsid w:val="6768036B"/>
    <w:rsid w:val="676C6322"/>
    <w:rsid w:val="676F7BC1"/>
    <w:rsid w:val="677A33C6"/>
    <w:rsid w:val="677D4404"/>
    <w:rsid w:val="6781115C"/>
    <w:rsid w:val="67900263"/>
    <w:rsid w:val="67966EFB"/>
    <w:rsid w:val="679A4C3E"/>
    <w:rsid w:val="67A34B94"/>
    <w:rsid w:val="67A930D3"/>
    <w:rsid w:val="67AA29A7"/>
    <w:rsid w:val="67AD4EF9"/>
    <w:rsid w:val="67AD6FA5"/>
    <w:rsid w:val="67B37AAD"/>
    <w:rsid w:val="67B57CC9"/>
    <w:rsid w:val="67C577E1"/>
    <w:rsid w:val="67C92A9B"/>
    <w:rsid w:val="67D86D04"/>
    <w:rsid w:val="67D971F6"/>
    <w:rsid w:val="67DD0FCE"/>
    <w:rsid w:val="67DD4B2A"/>
    <w:rsid w:val="67E15701"/>
    <w:rsid w:val="67E50B7E"/>
    <w:rsid w:val="67EC1211"/>
    <w:rsid w:val="67FC395A"/>
    <w:rsid w:val="6808604B"/>
    <w:rsid w:val="6811390E"/>
    <w:rsid w:val="681F6961"/>
    <w:rsid w:val="68216989"/>
    <w:rsid w:val="6821710D"/>
    <w:rsid w:val="68362796"/>
    <w:rsid w:val="68387D64"/>
    <w:rsid w:val="683E75F2"/>
    <w:rsid w:val="68420751"/>
    <w:rsid w:val="684B5F38"/>
    <w:rsid w:val="684E77D6"/>
    <w:rsid w:val="685748DD"/>
    <w:rsid w:val="68610A2F"/>
    <w:rsid w:val="686D79C4"/>
    <w:rsid w:val="68705E9E"/>
    <w:rsid w:val="687063BF"/>
    <w:rsid w:val="687D7DEE"/>
    <w:rsid w:val="68805514"/>
    <w:rsid w:val="68890C27"/>
    <w:rsid w:val="688F1E4D"/>
    <w:rsid w:val="68945B31"/>
    <w:rsid w:val="68951101"/>
    <w:rsid w:val="68994715"/>
    <w:rsid w:val="689A6E14"/>
    <w:rsid w:val="689C2C37"/>
    <w:rsid w:val="689D3FFD"/>
    <w:rsid w:val="689E075E"/>
    <w:rsid w:val="68A1024E"/>
    <w:rsid w:val="68BE670A"/>
    <w:rsid w:val="68C55CEA"/>
    <w:rsid w:val="68C61A62"/>
    <w:rsid w:val="68C65505"/>
    <w:rsid w:val="68CB510F"/>
    <w:rsid w:val="68CE691B"/>
    <w:rsid w:val="68D0643D"/>
    <w:rsid w:val="68D545C8"/>
    <w:rsid w:val="68D75A1D"/>
    <w:rsid w:val="68D777CC"/>
    <w:rsid w:val="68D96B7C"/>
    <w:rsid w:val="68DE4FFE"/>
    <w:rsid w:val="68E329CB"/>
    <w:rsid w:val="68EF7605"/>
    <w:rsid w:val="68F14D31"/>
    <w:rsid w:val="68F2667E"/>
    <w:rsid w:val="68F35F86"/>
    <w:rsid w:val="68FC5484"/>
    <w:rsid w:val="69004F74"/>
    <w:rsid w:val="691450AA"/>
    <w:rsid w:val="691636B0"/>
    <w:rsid w:val="691829E5"/>
    <w:rsid w:val="692D497F"/>
    <w:rsid w:val="69316E2F"/>
    <w:rsid w:val="69366BE8"/>
    <w:rsid w:val="693B7B9E"/>
    <w:rsid w:val="693F1B84"/>
    <w:rsid w:val="69407A67"/>
    <w:rsid w:val="6943781E"/>
    <w:rsid w:val="6949691B"/>
    <w:rsid w:val="694E2071"/>
    <w:rsid w:val="696279DD"/>
    <w:rsid w:val="696A0640"/>
    <w:rsid w:val="696D1EDE"/>
    <w:rsid w:val="696F232C"/>
    <w:rsid w:val="69727237"/>
    <w:rsid w:val="69750844"/>
    <w:rsid w:val="69766163"/>
    <w:rsid w:val="697A3B33"/>
    <w:rsid w:val="698A701B"/>
    <w:rsid w:val="6990454A"/>
    <w:rsid w:val="699343FB"/>
    <w:rsid w:val="69992CD3"/>
    <w:rsid w:val="699D0A15"/>
    <w:rsid w:val="69A17079"/>
    <w:rsid w:val="69A26D0E"/>
    <w:rsid w:val="69A84C67"/>
    <w:rsid w:val="69A973BA"/>
    <w:rsid w:val="69AD6E37"/>
    <w:rsid w:val="69B1626F"/>
    <w:rsid w:val="69BB533F"/>
    <w:rsid w:val="69BF098B"/>
    <w:rsid w:val="69BF3B13"/>
    <w:rsid w:val="69C274C7"/>
    <w:rsid w:val="69C85C48"/>
    <w:rsid w:val="69CE6E20"/>
    <w:rsid w:val="69D44760"/>
    <w:rsid w:val="69D81A4D"/>
    <w:rsid w:val="69DD3507"/>
    <w:rsid w:val="69E50AF3"/>
    <w:rsid w:val="69F331D1"/>
    <w:rsid w:val="69FA2F38"/>
    <w:rsid w:val="6A0214F0"/>
    <w:rsid w:val="6A0720EC"/>
    <w:rsid w:val="6A096B38"/>
    <w:rsid w:val="6A0E250C"/>
    <w:rsid w:val="6A1232F9"/>
    <w:rsid w:val="6A142F62"/>
    <w:rsid w:val="6A17065C"/>
    <w:rsid w:val="6A1D029D"/>
    <w:rsid w:val="6A2513F5"/>
    <w:rsid w:val="6A3D5D54"/>
    <w:rsid w:val="6A427FA9"/>
    <w:rsid w:val="6A4B66C3"/>
    <w:rsid w:val="6A520EC7"/>
    <w:rsid w:val="6A576E16"/>
    <w:rsid w:val="6A5E431B"/>
    <w:rsid w:val="6A5F2917"/>
    <w:rsid w:val="6A5F4F63"/>
    <w:rsid w:val="6A607681"/>
    <w:rsid w:val="6A6257BB"/>
    <w:rsid w:val="6A731776"/>
    <w:rsid w:val="6A7A31EA"/>
    <w:rsid w:val="6A7B723E"/>
    <w:rsid w:val="6A8A11E6"/>
    <w:rsid w:val="6A8B2B69"/>
    <w:rsid w:val="6A8C3707"/>
    <w:rsid w:val="6A8D2838"/>
    <w:rsid w:val="6A941E18"/>
    <w:rsid w:val="6AA06A0F"/>
    <w:rsid w:val="6AA55F17"/>
    <w:rsid w:val="6AA61B4B"/>
    <w:rsid w:val="6AA70ABD"/>
    <w:rsid w:val="6AAB2CE4"/>
    <w:rsid w:val="6AB37DC4"/>
    <w:rsid w:val="6ABA31EF"/>
    <w:rsid w:val="6ABF6769"/>
    <w:rsid w:val="6AC02C0D"/>
    <w:rsid w:val="6AC50223"/>
    <w:rsid w:val="6AC7760B"/>
    <w:rsid w:val="6ACB20FD"/>
    <w:rsid w:val="6ACF10A2"/>
    <w:rsid w:val="6AD227F3"/>
    <w:rsid w:val="6AD6255B"/>
    <w:rsid w:val="6ADD7165"/>
    <w:rsid w:val="6AEF1B05"/>
    <w:rsid w:val="6AF44665"/>
    <w:rsid w:val="6AF7390A"/>
    <w:rsid w:val="6AF87E20"/>
    <w:rsid w:val="6AFB5D68"/>
    <w:rsid w:val="6B054AC4"/>
    <w:rsid w:val="6B0845B4"/>
    <w:rsid w:val="6B0B19AE"/>
    <w:rsid w:val="6B0F64B4"/>
    <w:rsid w:val="6B1348BC"/>
    <w:rsid w:val="6B1C1E0E"/>
    <w:rsid w:val="6B1D5F30"/>
    <w:rsid w:val="6B1E16E2"/>
    <w:rsid w:val="6B20545A"/>
    <w:rsid w:val="6B276E0D"/>
    <w:rsid w:val="6B2B4F53"/>
    <w:rsid w:val="6B322639"/>
    <w:rsid w:val="6B347990"/>
    <w:rsid w:val="6B380692"/>
    <w:rsid w:val="6B4D3980"/>
    <w:rsid w:val="6B4F401B"/>
    <w:rsid w:val="6B5143E2"/>
    <w:rsid w:val="6B564A55"/>
    <w:rsid w:val="6B5B2936"/>
    <w:rsid w:val="6B5B73FA"/>
    <w:rsid w:val="6B5C4ABB"/>
    <w:rsid w:val="6B6B5F51"/>
    <w:rsid w:val="6B6F018F"/>
    <w:rsid w:val="6B7457A6"/>
    <w:rsid w:val="6B757AC3"/>
    <w:rsid w:val="6B8D21A8"/>
    <w:rsid w:val="6B915391"/>
    <w:rsid w:val="6B924F89"/>
    <w:rsid w:val="6B935FA3"/>
    <w:rsid w:val="6B9419A4"/>
    <w:rsid w:val="6B945E48"/>
    <w:rsid w:val="6B96571C"/>
    <w:rsid w:val="6B981494"/>
    <w:rsid w:val="6B9E0C86"/>
    <w:rsid w:val="6BA44A48"/>
    <w:rsid w:val="6BAC3191"/>
    <w:rsid w:val="6BAE57F3"/>
    <w:rsid w:val="6BB838E4"/>
    <w:rsid w:val="6BBB3287"/>
    <w:rsid w:val="6BBD539F"/>
    <w:rsid w:val="6BC404DB"/>
    <w:rsid w:val="6BC93D43"/>
    <w:rsid w:val="6BD61FBC"/>
    <w:rsid w:val="6BD66460"/>
    <w:rsid w:val="6BD77BAE"/>
    <w:rsid w:val="6BD8288F"/>
    <w:rsid w:val="6BEA457A"/>
    <w:rsid w:val="6BEB3929"/>
    <w:rsid w:val="6BFD579B"/>
    <w:rsid w:val="6C025952"/>
    <w:rsid w:val="6C0409ED"/>
    <w:rsid w:val="6C07486C"/>
    <w:rsid w:val="6C0905E4"/>
    <w:rsid w:val="6C094140"/>
    <w:rsid w:val="6C0F54CE"/>
    <w:rsid w:val="6C101972"/>
    <w:rsid w:val="6C111246"/>
    <w:rsid w:val="6C114498"/>
    <w:rsid w:val="6C136D6D"/>
    <w:rsid w:val="6C171E92"/>
    <w:rsid w:val="6C1B20C5"/>
    <w:rsid w:val="6C1B3E73"/>
    <w:rsid w:val="6C3118E9"/>
    <w:rsid w:val="6C351386"/>
    <w:rsid w:val="6C467142"/>
    <w:rsid w:val="6C47110C"/>
    <w:rsid w:val="6C494E84"/>
    <w:rsid w:val="6C515AE7"/>
    <w:rsid w:val="6C553829"/>
    <w:rsid w:val="6C557385"/>
    <w:rsid w:val="6C5850C7"/>
    <w:rsid w:val="6C615234"/>
    <w:rsid w:val="6C6153F8"/>
    <w:rsid w:val="6C636971"/>
    <w:rsid w:val="6C636C38"/>
    <w:rsid w:val="6C685263"/>
    <w:rsid w:val="6C6973EC"/>
    <w:rsid w:val="6C6C0C3F"/>
    <w:rsid w:val="6C6C46CF"/>
    <w:rsid w:val="6C6E6699"/>
    <w:rsid w:val="6C7D4B2E"/>
    <w:rsid w:val="6C7E69B1"/>
    <w:rsid w:val="6C8559B3"/>
    <w:rsid w:val="6C871509"/>
    <w:rsid w:val="6C8E0AE9"/>
    <w:rsid w:val="6C920FFF"/>
    <w:rsid w:val="6C9500C9"/>
    <w:rsid w:val="6CA36342"/>
    <w:rsid w:val="6CA40154"/>
    <w:rsid w:val="6CAE6C56"/>
    <w:rsid w:val="6CB26586"/>
    <w:rsid w:val="6CB3461B"/>
    <w:rsid w:val="6CB43A23"/>
    <w:rsid w:val="6CB443F5"/>
    <w:rsid w:val="6CC17318"/>
    <w:rsid w:val="6CC30D7F"/>
    <w:rsid w:val="6CC67436"/>
    <w:rsid w:val="6CC83FFB"/>
    <w:rsid w:val="6CCA5F05"/>
    <w:rsid w:val="6CCD7863"/>
    <w:rsid w:val="6CD3474E"/>
    <w:rsid w:val="6CD7423E"/>
    <w:rsid w:val="6CDA3D2E"/>
    <w:rsid w:val="6CDB1F80"/>
    <w:rsid w:val="6CE1659D"/>
    <w:rsid w:val="6CE4695B"/>
    <w:rsid w:val="6CEB5F3B"/>
    <w:rsid w:val="6CED0BD3"/>
    <w:rsid w:val="6CEF1588"/>
    <w:rsid w:val="6CF21696"/>
    <w:rsid w:val="6CF62A1C"/>
    <w:rsid w:val="6CFE7A1D"/>
    <w:rsid w:val="6D0B213A"/>
    <w:rsid w:val="6D0D35D4"/>
    <w:rsid w:val="6D1056EB"/>
    <w:rsid w:val="6D106881"/>
    <w:rsid w:val="6D172E93"/>
    <w:rsid w:val="6D183A32"/>
    <w:rsid w:val="6D1A237D"/>
    <w:rsid w:val="6D277756"/>
    <w:rsid w:val="6D2F407A"/>
    <w:rsid w:val="6D3474F9"/>
    <w:rsid w:val="6D363DB2"/>
    <w:rsid w:val="6D390A55"/>
    <w:rsid w:val="6D415B5B"/>
    <w:rsid w:val="6D4713C4"/>
    <w:rsid w:val="6D4F2026"/>
    <w:rsid w:val="6D602485"/>
    <w:rsid w:val="6D611149"/>
    <w:rsid w:val="6D627650"/>
    <w:rsid w:val="6D6830E8"/>
    <w:rsid w:val="6D6F4477"/>
    <w:rsid w:val="6D70425D"/>
    <w:rsid w:val="6D765805"/>
    <w:rsid w:val="6D7823DF"/>
    <w:rsid w:val="6D7F4CE1"/>
    <w:rsid w:val="6D8B6DD7"/>
    <w:rsid w:val="6D8C05D6"/>
    <w:rsid w:val="6D946613"/>
    <w:rsid w:val="6D965EA7"/>
    <w:rsid w:val="6D967F6B"/>
    <w:rsid w:val="6D9702C2"/>
    <w:rsid w:val="6DB34098"/>
    <w:rsid w:val="6DB405C9"/>
    <w:rsid w:val="6DB4178C"/>
    <w:rsid w:val="6DB545B6"/>
    <w:rsid w:val="6DB602F7"/>
    <w:rsid w:val="6DCE5641"/>
    <w:rsid w:val="6DD95D94"/>
    <w:rsid w:val="6DDA112F"/>
    <w:rsid w:val="6DDB1B0C"/>
    <w:rsid w:val="6DDF784E"/>
    <w:rsid w:val="6DE02FB4"/>
    <w:rsid w:val="6DE11486"/>
    <w:rsid w:val="6DE54BFE"/>
    <w:rsid w:val="6DEF2023"/>
    <w:rsid w:val="6DEF55B7"/>
    <w:rsid w:val="6DF10D7F"/>
    <w:rsid w:val="6DF901E4"/>
    <w:rsid w:val="6DFA687D"/>
    <w:rsid w:val="6E0B0643"/>
    <w:rsid w:val="6E0E0133"/>
    <w:rsid w:val="6E101FDB"/>
    <w:rsid w:val="6E1F62E7"/>
    <w:rsid w:val="6E1F7C4B"/>
    <w:rsid w:val="6E200CBB"/>
    <w:rsid w:val="6E250FD9"/>
    <w:rsid w:val="6E2D0FE4"/>
    <w:rsid w:val="6E33013E"/>
    <w:rsid w:val="6E33426E"/>
    <w:rsid w:val="6E3631E6"/>
    <w:rsid w:val="6E3A43B9"/>
    <w:rsid w:val="6E3B6A4F"/>
    <w:rsid w:val="6E3D1FD3"/>
    <w:rsid w:val="6E3D2189"/>
    <w:rsid w:val="6E3D4575"/>
    <w:rsid w:val="6E3E7153"/>
    <w:rsid w:val="6E4678CD"/>
    <w:rsid w:val="6E493F8C"/>
    <w:rsid w:val="6E4B6F06"/>
    <w:rsid w:val="6E4F6D17"/>
    <w:rsid w:val="6E514CED"/>
    <w:rsid w:val="6E525B0A"/>
    <w:rsid w:val="6E573394"/>
    <w:rsid w:val="6E5A6739"/>
    <w:rsid w:val="6E6715F2"/>
    <w:rsid w:val="6E7558EB"/>
    <w:rsid w:val="6E7855AD"/>
    <w:rsid w:val="6E8379F2"/>
    <w:rsid w:val="6E8403F6"/>
    <w:rsid w:val="6E8B1784"/>
    <w:rsid w:val="6E8F38FD"/>
    <w:rsid w:val="6E930639"/>
    <w:rsid w:val="6E95247C"/>
    <w:rsid w:val="6E9862AC"/>
    <w:rsid w:val="6E9A3775"/>
    <w:rsid w:val="6E9D63E5"/>
    <w:rsid w:val="6EA9319E"/>
    <w:rsid w:val="6EAE74F5"/>
    <w:rsid w:val="6EB563D5"/>
    <w:rsid w:val="6EB8009F"/>
    <w:rsid w:val="6EBA034D"/>
    <w:rsid w:val="6EBA31BA"/>
    <w:rsid w:val="6EBF3CF9"/>
    <w:rsid w:val="6ECA3402"/>
    <w:rsid w:val="6ED177DA"/>
    <w:rsid w:val="6ED92677"/>
    <w:rsid w:val="6EDB59BE"/>
    <w:rsid w:val="6EE13152"/>
    <w:rsid w:val="6EE5683D"/>
    <w:rsid w:val="6EEF7E3C"/>
    <w:rsid w:val="6EF038E2"/>
    <w:rsid w:val="6EF07839"/>
    <w:rsid w:val="6EF530A1"/>
    <w:rsid w:val="6EF8049C"/>
    <w:rsid w:val="6EFA6397"/>
    <w:rsid w:val="6EFF7A7C"/>
    <w:rsid w:val="6F064A7F"/>
    <w:rsid w:val="6F083291"/>
    <w:rsid w:val="6F1F7018"/>
    <w:rsid w:val="6F225983"/>
    <w:rsid w:val="6F2968A7"/>
    <w:rsid w:val="6F2F65B3"/>
    <w:rsid w:val="6F317A5A"/>
    <w:rsid w:val="6F3A0AB4"/>
    <w:rsid w:val="6F3E040D"/>
    <w:rsid w:val="6F40683E"/>
    <w:rsid w:val="6F4436E1"/>
    <w:rsid w:val="6F4524CE"/>
    <w:rsid w:val="6F4D07E7"/>
    <w:rsid w:val="6F5149EC"/>
    <w:rsid w:val="6F543924"/>
    <w:rsid w:val="6F5D2F6C"/>
    <w:rsid w:val="6F5E47A3"/>
    <w:rsid w:val="6F623EC3"/>
    <w:rsid w:val="6F651098"/>
    <w:rsid w:val="6F665B7C"/>
    <w:rsid w:val="6F6967A0"/>
    <w:rsid w:val="6F6A75EB"/>
    <w:rsid w:val="6F6B6EC0"/>
    <w:rsid w:val="6F6D5A2B"/>
    <w:rsid w:val="6F715E6C"/>
    <w:rsid w:val="6F7400F2"/>
    <w:rsid w:val="6F810491"/>
    <w:rsid w:val="6F865AA7"/>
    <w:rsid w:val="6F866DC3"/>
    <w:rsid w:val="6F8866D3"/>
    <w:rsid w:val="6F8C57B4"/>
    <w:rsid w:val="6F914B78"/>
    <w:rsid w:val="6F9246FC"/>
    <w:rsid w:val="6F937C78"/>
    <w:rsid w:val="6F9B0077"/>
    <w:rsid w:val="6F9B77A5"/>
    <w:rsid w:val="6F9E54E7"/>
    <w:rsid w:val="6FA02431"/>
    <w:rsid w:val="6FA32AFD"/>
    <w:rsid w:val="6FA415C2"/>
    <w:rsid w:val="6FAC19B2"/>
    <w:rsid w:val="6FB2689C"/>
    <w:rsid w:val="6FB7695A"/>
    <w:rsid w:val="6FBB7E47"/>
    <w:rsid w:val="6FC1723C"/>
    <w:rsid w:val="6FC84312"/>
    <w:rsid w:val="6FCB7D7F"/>
    <w:rsid w:val="6FD0340F"/>
    <w:rsid w:val="6FD14B4C"/>
    <w:rsid w:val="6FD24DDA"/>
    <w:rsid w:val="6FD8191A"/>
    <w:rsid w:val="6FDE7692"/>
    <w:rsid w:val="6FE075B7"/>
    <w:rsid w:val="6FEE246B"/>
    <w:rsid w:val="6FF40146"/>
    <w:rsid w:val="6FF84BF7"/>
    <w:rsid w:val="6FF869A5"/>
    <w:rsid w:val="6FFC5590"/>
    <w:rsid w:val="70096E04"/>
    <w:rsid w:val="700D51F5"/>
    <w:rsid w:val="700E15EF"/>
    <w:rsid w:val="70187047"/>
    <w:rsid w:val="70207CAA"/>
    <w:rsid w:val="7024575A"/>
    <w:rsid w:val="703C5CA1"/>
    <w:rsid w:val="70427DDE"/>
    <w:rsid w:val="7048597B"/>
    <w:rsid w:val="704B11CB"/>
    <w:rsid w:val="704B4AC8"/>
    <w:rsid w:val="70544BEF"/>
    <w:rsid w:val="70601699"/>
    <w:rsid w:val="70645DE9"/>
    <w:rsid w:val="70666005"/>
    <w:rsid w:val="70670D38"/>
    <w:rsid w:val="706D1DD0"/>
    <w:rsid w:val="706F4486"/>
    <w:rsid w:val="70710506"/>
    <w:rsid w:val="7075449A"/>
    <w:rsid w:val="707B056C"/>
    <w:rsid w:val="70801449"/>
    <w:rsid w:val="708268C1"/>
    <w:rsid w:val="70856B87"/>
    <w:rsid w:val="708A15C7"/>
    <w:rsid w:val="70971C96"/>
    <w:rsid w:val="70986263"/>
    <w:rsid w:val="709B37D5"/>
    <w:rsid w:val="709F1517"/>
    <w:rsid w:val="70A00DEB"/>
    <w:rsid w:val="70B07280"/>
    <w:rsid w:val="70BB1BCF"/>
    <w:rsid w:val="70C15013"/>
    <w:rsid w:val="70C53B91"/>
    <w:rsid w:val="70CB2D73"/>
    <w:rsid w:val="70D30931"/>
    <w:rsid w:val="70D31FDB"/>
    <w:rsid w:val="70D527EE"/>
    <w:rsid w:val="70D54F38"/>
    <w:rsid w:val="70E21403"/>
    <w:rsid w:val="70F1747B"/>
    <w:rsid w:val="70F45725"/>
    <w:rsid w:val="70FC36BE"/>
    <w:rsid w:val="70FC4273"/>
    <w:rsid w:val="710518F4"/>
    <w:rsid w:val="71061683"/>
    <w:rsid w:val="710A3C02"/>
    <w:rsid w:val="711200BC"/>
    <w:rsid w:val="71125845"/>
    <w:rsid w:val="711710AD"/>
    <w:rsid w:val="71175551"/>
    <w:rsid w:val="71223B41"/>
    <w:rsid w:val="712B4B58"/>
    <w:rsid w:val="712B4C0F"/>
    <w:rsid w:val="712B6906"/>
    <w:rsid w:val="71303A3D"/>
    <w:rsid w:val="71306613"/>
    <w:rsid w:val="713752AB"/>
    <w:rsid w:val="713A4D9B"/>
    <w:rsid w:val="7141437C"/>
    <w:rsid w:val="714D0321"/>
    <w:rsid w:val="715B2E69"/>
    <w:rsid w:val="715B5300"/>
    <w:rsid w:val="715C2F64"/>
    <w:rsid w:val="7165689A"/>
    <w:rsid w:val="716B489A"/>
    <w:rsid w:val="717C53B4"/>
    <w:rsid w:val="71804EA4"/>
    <w:rsid w:val="71855122"/>
    <w:rsid w:val="71865B23"/>
    <w:rsid w:val="71871BBF"/>
    <w:rsid w:val="7187709C"/>
    <w:rsid w:val="718801FD"/>
    <w:rsid w:val="7191417A"/>
    <w:rsid w:val="71924A6B"/>
    <w:rsid w:val="719360E4"/>
    <w:rsid w:val="71970440"/>
    <w:rsid w:val="71A87217"/>
    <w:rsid w:val="71AA5D09"/>
    <w:rsid w:val="71AD65AA"/>
    <w:rsid w:val="71BB5EDC"/>
    <w:rsid w:val="71C03E9F"/>
    <w:rsid w:val="71C23B99"/>
    <w:rsid w:val="71CD20B4"/>
    <w:rsid w:val="71CD5C10"/>
    <w:rsid w:val="71CE6B9D"/>
    <w:rsid w:val="71D27F8A"/>
    <w:rsid w:val="71D5087F"/>
    <w:rsid w:val="71D6183A"/>
    <w:rsid w:val="71DC5974"/>
    <w:rsid w:val="71E13469"/>
    <w:rsid w:val="71E73175"/>
    <w:rsid w:val="71F66F14"/>
    <w:rsid w:val="71FA364F"/>
    <w:rsid w:val="71FB09CF"/>
    <w:rsid w:val="71FE1713"/>
    <w:rsid w:val="72007D93"/>
    <w:rsid w:val="720E0702"/>
    <w:rsid w:val="720F6228"/>
    <w:rsid w:val="72111EC2"/>
    <w:rsid w:val="72181E6B"/>
    <w:rsid w:val="721E62BD"/>
    <w:rsid w:val="721E646B"/>
    <w:rsid w:val="72331F17"/>
    <w:rsid w:val="72345FDA"/>
    <w:rsid w:val="723E79C0"/>
    <w:rsid w:val="724317B8"/>
    <w:rsid w:val="724406A0"/>
    <w:rsid w:val="724436AA"/>
    <w:rsid w:val="72456EB1"/>
    <w:rsid w:val="724573D2"/>
    <w:rsid w:val="724A6091"/>
    <w:rsid w:val="724A66D2"/>
    <w:rsid w:val="724C6C08"/>
    <w:rsid w:val="724F0E1B"/>
    <w:rsid w:val="72553024"/>
    <w:rsid w:val="725F0F5E"/>
    <w:rsid w:val="7265409A"/>
    <w:rsid w:val="72672E2C"/>
    <w:rsid w:val="72684737"/>
    <w:rsid w:val="72710C91"/>
    <w:rsid w:val="727F0215"/>
    <w:rsid w:val="7298210F"/>
    <w:rsid w:val="729F6449"/>
    <w:rsid w:val="72A76461"/>
    <w:rsid w:val="72A825D0"/>
    <w:rsid w:val="72A91A40"/>
    <w:rsid w:val="72AB5C1E"/>
    <w:rsid w:val="72AC285D"/>
    <w:rsid w:val="72AE77EF"/>
    <w:rsid w:val="72B62B48"/>
    <w:rsid w:val="72B8241C"/>
    <w:rsid w:val="72B91E38"/>
    <w:rsid w:val="72BA43E6"/>
    <w:rsid w:val="72BD3ED6"/>
    <w:rsid w:val="72C74D55"/>
    <w:rsid w:val="72CA465D"/>
    <w:rsid w:val="72D66C3C"/>
    <w:rsid w:val="72D71070"/>
    <w:rsid w:val="72D82ABE"/>
    <w:rsid w:val="72D86BD3"/>
    <w:rsid w:val="72DE2C3D"/>
    <w:rsid w:val="72DE2E02"/>
    <w:rsid w:val="72E01F74"/>
    <w:rsid w:val="72E22130"/>
    <w:rsid w:val="72E43211"/>
    <w:rsid w:val="72E9207B"/>
    <w:rsid w:val="72EB40E9"/>
    <w:rsid w:val="72F86CBC"/>
    <w:rsid w:val="72FE5336"/>
    <w:rsid w:val="730F7282"/>
    <w:rsid w:val="73122968"/>
    <w:rsid w:val="731634DF"/>
    <w:rsid w:val="731D3C1A"/>
    <w:rsid w:val="731D4975"/>
    <w:rsid w:val="731F5D5E"/>
    <w:rsid w:val="732841DE"/>
    <w:rsid w:val="732E26DE"/>
    <w:rsid w:val="73322485"/>
    <w:rsid w:val="73357F10"/>
    <w:rsid w:val="73412411"/>
    <w:rsid w:val="73456F57"/>
    <w:rsid w:val="734770E9"/>
    <w:rsid w:val="734E2D80"/>
    <w:rsid w:val="7352092E"/>
    <w:rsid w:val="736B1B84"/>
    <w:rsid w:val="736C0271"/>
    <w:rsid w:val="737230F7"/>
    <w:rsid w:val="73751E5F"/>
    <w:rsid w:val="7376008C"/>
    <w:rsid w:val="73795349"/>
    <w:rsid w:val="737A5923"/>
    <w:rsid w:val="737E242F"/>
    <w:rsid w:val="7383472E"/>
    <w:rsid w:val="73886292"/>
    <w:rsid w:val="73993FFB"/>
    <w:rsid w:val="73AA26AC"/>
    <w:rsid w:val="73AA5941"/>
    <w:rsid w:val="73B1404F"/>
    <w:rsid w:val="73C0338B"/>
    <w:rsid w:val="73C5163E"/>
    <w:rsid w:val="73C51AD5"/>
    <w:rsid w:val="73CC4A38"/>
    <w:rsid w:val="73DB1CB9"/>
    <w:rsid w:val="73E641AE"/>
    <w:rsid w:val="73EF1E6D"/>
    <w:rsid w:val="73F47DE9"/>
    <w:rsid w:val="73F52501"/>
    <w:rsid w:val="73F55CDD"/>
    <w:rsid w:val="73F94BF8"/>
    <w:rsid w:val="73F97190"/>
    <w:rsid w:val="7401049B"/>
    <w:rsid w:val="74085625"/>
    <w:rsid w:val="741144D9"/>
    <w:rsid w:val="7416564C"/>
    <w:rsid w:val="741E793C"/>
    <w:rsid w:val="742064CB"/>
    <w:rsid w:val="74253A54"/>
    <w:rsid w:val="74275AAB"/>
    <w:rsid w:val="742A10F7"/>
    <w:rsid w:val="742B065D"/>
    <w:rsid w:val="742C3D60"/>
    <w:rsid w:val="742E55D2"/>
    <w:rsid w:val="74343D24"/>
    <w:rsid w:val="744022AC"/>
    <w:rsid w:val="74411D8B"/>
    <w:rsid w:val="744C2A60"/>
    <w:rsid w:val="744E0160"/>
    <w:rsid w:val="74560A62"/>
    <w:rsid w:val="74575C64"/>
    <w:rsid w:val="74597C2E"/>
    <w:rsid w:val="745D6B90"/>
    <w:rsid w:val="745E0291"/>
    <w:rsid w:val="745E3944"/>
    <w:rsid w:val="7479207F"/>
    <w:rsid w:val="74793E2D"/>
    <w:rsid w:val="74962C31"/>
    <w:rsid w:val="74A4534E"/>
    <w:rsid w:val="74AF10D9"/>
    <w:rsid w:val="74B60BDD"/>
    <w:rsid w:val="74B72C97"/>
    <w:rsid w:val="74B84955"/>
    <w:rsid w:val="74BB2697"/>
    <w:rsid w:val="74C27582"/>
    <w:rsid w:val="74CE02BA"/>
    <w:rsid w:val="74D53759"/>
    <w:rsid w:val="74D774D1"/>
    <w:rsid w:val="74DC4AE7"/>
    <w:rsid w:val="74E03EAC"/>
    <w:rsid w:val="74E4399C"/>
    <w:rsid w:val="74E72327"/>
    <w:rsid w:val="74F35D48"/>
    <w:rsid w:val="75004B37"/>
    <w:rsid w:val="75060505"/>
    <w:rsid w:val="75091655"/>
    <w:rsid w:val="750A45BB"/>
    <w:rsid w:val="750C6A4F"/>
    <w:rsid w:val="750E6C6B"/>
    <w:rsid w:val="751007EA"/>
    <w:rsid w:val="751029E3"/>
    <w:rsid w:val="751111C4"/>
    <w:rsid w:val="7513602F"/>
    <w:rsid w:val="752336E6"/>
    <w:rsid w:val="7524023C"/>
    <w:rsid w:val="7528245B"/>
    <w:rsid w:val="752B5C1E"/>
    <w:rsid w:val="75371D1E"/>
    <w:rsid w:val="75377F70"/>
    <w:rsid w:val="753B20EB"/>
    <w:rsid w:val="753D46BE"/>
    <w:rsid w:val="754B1DE2"/>
    <w:rsid w:val="754D5AA2"/>
    <w:rsid w:val="755653B5"/>
    <w:rsid w:val="7556556B"/>
    <w:rsid w:val="755C0BB7"/>
    <w:rsid w:val="755D295A"/>
    <w:rsid w:val="75630789"/>
    <w:rsid w:val="756400B3"/>
    <w:rsid w:val="756D1BE3"/>
    <w:rsid w:val="75734D20"/>
    <w:rsid w:val="75744C2E"/>
    <w:rsid w:val="75803660"/>
    <w:rsid w:val="75846F2D"/>
    <w:rsid w:val="75952EE8"/>
    <w:rsid w:val="75980EF8"/>
    <w:rsid w:val="759929D8"/>
    <w:rsid w:val="75AD1FE0"/>
    <w:rsid w:val="75B514D0"/>
    <w:rsid w:val="75C630A2"/>
    <w:rsid w:val="75D752AF"/>
    <w:rsid w:val="75D812E7"/>
    <w:rsid w:val="75E579CC"/>
    <w:rsid w:val="75E63744"/>
    <w:rsid w:val="75ED4AD2"/>
    <w:rsid w:val="75F0310B"/>
    <w:rsid w:val="75F27075"/>
    <w:rsid w:val="75F419BD"/>
    <w:rsid w:val="75F66EDB"/>
    <w:rsid w:val="76072D30"/>
    <w:rsid w:val="760836BA"/>
    <w:rsid w:val="760F1371"/>
    <w:rsid w:val="76115319"/>
    <w:rsid w:val="7618463B"/>
    <w:rsid w:val="761D53B8"/>
    <w:rsid w:val="76206C56"/>
    <w:rsid w:val="762304F4"/>
    <w:rsid w:val="7635099D"/>
    <w:rsid w:val="763B694A"/>
    <w:rsid w:val="764D731F"/>
    <w:rsid w:val="76592168"/>
    <w:rsid w:val="76595EBB"/>
    <w:rsid w:val="766D7254"/>
    <w:rsid w:val="767572DB"/>
    <w:rsid w:val="767755A1"/>
    <w:rsid w:val="767842D3"/>
    <w:rsid w:val="76820CB3"/>
    <w:rsid w:val="768371E5"/>
    <w:rsid w:val="76854D0B"/>
    <w:rsid w:val="76911902"/>
    <w:rsid w:val="769D3E02"/>
    <w:rsid w:val="76A26E60"/>
    <w:rsid w:val="76A84581"/>
    <w:rsid w:val="76AF3B36"/>
    <w:rsid w:val="76B13D52"/>
    <w:rsid w:val="76B30C4A"/>
    <w:rsid w:val="76B37ACA"/>
    <w:rsid w:val="76BD44A5"/>
    <w:rsid w:val="76BF3AB3"/>
    <w:rsid w:val="76C021E7"/>
    <w:rsid w:val="76C84BF7"/>
    <w:rsid w:val="76CB4F16"/>
    <w:rsid w:val="76D637B8"/>
    <w:rsid w:val="76DF08BF"/>
    <w:rsid w:val="76F31C74"/>
    <w:rsid w:val="76F53C3E"/>
    <w:rsid w:val="76F81981"/>
    <w:rsid w:val="77014CCB"/>
    <w:rsid w:val="770937CE"/>
    <w:rsid w:val="7709593C"/>
    <w:rsid w:val="770A1AFE"/>
    <w:rsid w:val="770A2F46"/>
    <w:rsid w:val="770A5210"/>
    <w:rsid w:val="77100A78"/>
    <w:rsid w:val="771816DB"/>
    <w:rsid w:val="771B11CB"/>
    <w:rsid w:val="771B1A7D"/>
    <w:rsid w:val="772325E6"/>
    <w:rsid w:val="77234EBA"/>
    <w:rsid w:val="77275DC2"/>
    <w:rsid w:val="772900AB"/>
    <w:rsid w:val="772B3B04"/>
    <w:rsid w:val="772C5186"/>
    <w:rsid w:val="77332AA0"/>
    <w:rsid w:val="77376F40"/>
    <w:rsid w:val="77416E84"/>
    <w:rsid w:val="774F7BA9"/>
    <w:rsid w:val="77536BB7"/>
    <w:rsid w:val="77585F7B"/>
    <w:rsid w:val="775A5C4B"/>
    <w:rsid w:val="775C313C"/>
    <w:rsid w:val="776C271F"/>
    <w:rsid w:val="776E5551"/>
    <w:rsid w:val="777238C1"/>
    <w:rsid w:val="77754D7F"/>
    <w:rsid w:val="77762421"/>
    <w:rsid w:val="777B4F84"/>
    <w:rsid w:val="777F364F"/>
    <w:rsid w:val="777F548B"/>
    <w:rsid w:val="7782124A"/>
    <w:rsid w:val="778359BB"/>
    <w:rsid w:val="778E3583"/>
    <w:rsid w:val="77905715"/>
    <w:rsid w:val="779F3B61"/>
    <w:rsid w:val="77AF5BFA"/>
    <w:rsid w:val="77B56B1F"/>
    <w:rsid w:val="77B75398"/>
    <w:rsid w:val="77B96DD4"/>
    <w:rsid w:val="77BF5FFA"/>
    <w:rsid w:val="77C31810"/>
    <w:rsid w:val="77C63091"/>
    <w:rsid w:val="77D00208"/>
    <w:rsid w:val="77D2720E"/>
    <w:rsid w:val="77D31AA6"/>
    <w:rsid w:val="77E37F3B"/>
    <w:rsid w:val="77E55684"/>
    <w:rsid w:val="77F13BEA"/>
    <w:rsid w:val="77F20E53"/>
    <w:rsid w:val="77F43EF6"/>
    <w:rsid w:val="77FD7E9C"/>
    <w:rsid w:val="7804286E"/>
    <w:rsid w:val="780659D7"/>
    <w:rsid w:val="780D320A"/>
    <w:rsid w:val="780F09F4"/>
    <w:rsid w:val="7813790D"/>
    <w:rsid w:val="78174678"/>
    <w:rsid w:val="78267E28"/>
    <w:rsid w:val="782A3DBC"/>
    <w:rsid w:val="782F431C"/>
    <w:rsid w:val="783E33C3"/>
    <w:rsid w:val="7844403A"/>
    <w:rsid w:val="785901FD"/>
    <w:rsid w:val="786170B2"/>
    <w:rsid w:val="786A240A"/>
    <w:rsid w:val="78762B5D"/>
    <w:rsid w:val="787850B3"/>
    <w:rsid w:val="7879264D"/>
    <w:rsid w:val="787D038F"/>
    <w:rsid w:val="787E5EB6"/>
    <w:rsid w:val="78801C2E"/>
    <w:rsid w:val="78981D74"/>
    <w:rsid w:val="78994A9D"/>
    <w:rsid w:val="789B25C4"/>
    <w:rsid w:val="78A41665"/>
    <w:rsid w:val="78A90480"/>
    <w:rsid w:val="78AA6CAB"/>
    <w:rsid w:val="78AD2C8D"/>
    <w:rsid w:val="78B15398"/>
    <w:rsid w:val="78BB512C"/>
    <w:rsid w:val="78BF0EEF"/>
    <w:rsid w:val="78C064CE"/>
    <w:rsid w:val="78C23FF4"/>
    <w:rsid w:val="78E33F6B"/>
    <w:rsid w:val="78E64F4C"/>
    <w:rsid w:val="78E73A5B"/>
    <w:rsid w:val="78EB7157"/>
    <w:rsid w:val="78F30652"/>
    <w:rsid w:val="78F918AC"/>
    <w:rsid w:val="78FD502C"/>
    <w:rsid w:val="78FF4092"/>
    <w:rsid w:val="79041559"/>
    <w:rsid w:val="790C1713"/>
    <w:rsid w:val="790E2D96"/>
    <w:rsid w:val="790E49BA"/>
    <w:rsid w:val="79193126"/>
    <w:rsid w:val="791D3D69"/>
    <w:rsid w:val="792532AC"/>
    <w:rsid w:val="79354F25"/>
    <w:rsid w:val="79357BE8"/>
    <w:rsid w:val="7936676B"/>
    <w:rsid w:val="79492020"/>
    <w:rsid w:val="79547D62"/>
    <w:rsid w:val="79556147"/>
    <w:rsid w:val="79586707"/>
    <w:rsid w:val="79587FA4"/>
    <w:rsid w:val="796055BB"/>
    <w:rsid w:val="79650AA5"/>
    <w:rsid w:val="796D454F"/>
    <w:rsid w:val="79752E15"/>
    <w:rsid w:val="797A06D0"/>
    <w:rsid w:val="797A0886"/>
    <w:rsid w:val="797B119D"/>
    <w:rsid w:val="797F0137"/>
    <w:rsid w:val="79935991"/>
    <w:rsid w:val="79992BCF"/>
    <w:rsid w:val="799A287B"/>
    <w:rsid w:val="799F326C"/>
    <w:rsid w:val="79A436FA"/>
    <w:rsid w:val="79A758CD"/>
    <w:rsid w:val="79B078F9"/>
    <w:rsid w:val="79B505CA"/>
    <w:rsid w:val="79B576B5"/>
    <w:rsid w:val="79BA2F1D"/>
    <w:rsid w:val="79C45B4A"/>
    <w:rsid w:val="79CA4005"/>
    <w:rsid w:val="79CD0EA3"/>
    <w:rsid w:val="79CD7A2F"/>
    <w:rsid w:val="79CE0777"/>
    <w:rsid w:val="79D15FC6"/>
    <w:rsid w:val="79D20267"/>
    <w:rsid w:val="79D73ACF"/>
    <w:rsid w:val="79D83D75"/>
    <w:rsid w:val="79DC7338"/>
    <w:rsid w:val="79E461EC"/>
    <w:rsid w:val="79E61F64"/>
    <w:rsid w:val="79EB224B"/>
    <w:rsid w:val="79EE0E19"/>
    <w:rsid w:val="79FD523D"/>
    <w:rsid w:val="79FF352D"/>
    <w:rsid w:val="7A005375"/>
    <w:rsid w:val="7A010052"/>
    <w:rsid w:val="7A010B4C"/>
    <w:rsid w:val="7A015186"/>
    <w:rsid w:val="7A036785"/>
    <w:rsid w:val="7A0D129F"/>
    <w:rsid w:val="7A0D74F1"/>
    <w:rsid w:val="7A1462F0"/>
    <w:rsid w:val="7A15284A"/>
    <w:rsid w:val="7A176191"/>
    <w:rsid w:val="7A1847B2"/>
    <w:rsid w:val="7A2938BC"/>
    <w:rsid w:val="7A2A295A"/>
    <w:rsid w:val="7A2D1941"/>
    <w:rsid w:val="7A364017"/>
    <w:rsid w:val="7A396538"/>
    <w:rsid w:val="7A3B6881"/>
    <w:rsid w:val="7A41719B"/>
    <w:rsid w:val="7A47723D"/>
    <w:rsid w:val="7A4B0019"/>
    <w:rsid w:val="7A4D1FE3"/>
    <w:rsid w:val="7A546ECE"/>
    <w:rsid w:val="7A633FE0"/>
    <w:rsid w:val="7A655559"/>
    <w:rsid w:val="7A6650D1"/>
    <w:rsid w:val="7A6730A5"/>
    <w:rsid w:val="7A6F5AB6"/>
    <w:rsid w:val="7A7237F8"/>
    <w:rsid w:val="7A7F0743"/>
    <w:rsid w:val="7A8265E1"/>
    <w:rsid w:val="7A835790"/>
    <w:rsid w:val="7A8A28F0"/>
    <w:rsid w:val="7A8D23E0"/>
    <w:rsid w:val="7A923E9A"/>
    <w:rsid w:val="7A9419C0"/>
    <w:rsid w:val="7A946795"/>
    <w:rsid w:val="7A987DF7"/>
    <w:rsid w:val="7A991F73"/>
    <w:rsid w:val="7A9C0875"/>
    <w:rsid w:val="7AB14320"/>
    <w:rsid w:val="7ABE4C8F"/>
    <w:rsid w:val="7AC027B5"/>
    <w:rsid w:val="7AC07A5E"/>
    <w:rsid w:val="7AC50DC7"/>
    <w:rsid w:val="7AD87AFF"/>
    <w:rsid w:val="7AE52552"/>
    <w:rsid w:val="7AE91D0C"/>
    <w:rsid w:val="7AEC25B9"/>
    <w:rsid w:val="7AF75AAB"/>
    <w:rsid w:val="7AFB559C"/>
    <w:rsid w:val="7AFE32DE"/>
    <w:rsid w:val="7B0209A9"/>
    <w:rsid w:val="7B05003E"/>
    <w:rsid w:val="7B062424"/>
    <w:rsid w:val="7B063D79"/>
    <w:rsid w:val="7B113BA6"/>
    <w:rsid w:val="7B1A51D8"/>
    <w:rsid w:val="7B1B5C3E"/>
    <w:rsid w:val="7B2173E8"/>
    <w:rsid w:val="7B2A7C2F"/>
    <w:rsid w:val="7B2C2752"/>
    <w:rsid w:val="7B2C39A7"/>
    <w:rsid w:val="7B2E5971"/>
    <w:rsid w:val="7B30782A"/>
    <w:rsid w:val="7B35042F"/>
    <w:rsid w:val="7B59386F"/>
    <w:rsid w:val="7B5B603A"/>
    <w:rsid w:val="7B5C2F3D"/>
    <w:rsid w:val="7B5F040A"/>
    <w:rsid w:val="7B6051FB"/>
    <w:rsid w:val="7B672BAC"/>
    <w:rsid w:val="7B686D42"/>
    <w:rsid w:val="7B6C6499"/>
    <w:rsid w:val="7B6E2211"/>
    <w:rsid w:val="7B760A17"/>
    <w:rsid w:val="7B787A4F"/>
    <w:rsid w:val="7B7A3121"/>
    <w:rsid w:val="7B7B66DC"/>
    <w:rsid w:val="7B7F2AA7"/>
    <w:rsid w:val="7B841746"/>
    <w:rsid w:val="7B8515EA"/>
    <w:rsid w:val="7B861333"/>
    <w:rsid w:val="7B89388B"/>
    <w:rsid w:val="7B8F28AB"/>
    <w:rsid w:val="7B9B0B2D"/>
    <w:rsid w:val="7B9F350A"/>
    <w:rsid w:val="7BA226C0"/>
    <w:rsid w:val="7BA568E2"/>
    <w:rsid w:val="7BAE260E"/>
    <w:rsid w:val="7BB12F84"/>
    <w:rsid w:val="7BB30D54"/>
    <w:rsid w:val="7BCA7638"/>
    <w:rsid w:val="7BD50079"/>
    <w:rsid w:val="7BDA43CC"/>
    <w:rsid w:val="7BDE4B40"/>
    <w:rsid w:val="7BE03D69"/>
    <w:rsid w:val="7BE61DA8"/>
    <w:rsid w:val="7BE845E6"/>
    <w:rsid w:val="7BF10DD0"/>
    <w:rsid w:val="7BF24BF0"/>
    <w:rsid w:val="7BFA1CF7"/>
    <w:rsid w:val="7C09018C"/>
    <w:rsid w:val="7C0A07B8"/>
    <w:rsid w:val="7C0E12FE"/>
    <w:rsid w:val="7C142DB9"/>
    <w:rsid w:val="7C176405"/>
    <w:rsid w:val="7C2C3AA4"/>
    <w:rsid w:val="7C2D3E7B"/>
    <w:rsid w:val="7C322752"/>
    <w:rsid w:val="7C3570AE"/>
    <w:rsid w:val="7C3945CD"/>
    <w:rsid w:val="7C3D0378"/>
    <w:rsid w:val="7C490589"/>
    <w:rsid w:val="7C495266"/>
    <w:rsid w:val="7C4D62CB"/>
    <w:rsid w:val="7C4F5666"/>
    <w:rsid w:val="7C507B69"/>
    <w:rsid w:val="7C523B48"/>
    <w:rsid w:val="7C541407"/>
    <w:rsid w:val="7C572CA5"/>
    <w:rsid w:val="7C5B09E8"/>
    <w:rsid w:val="7C5D7BDC"/>
    <w:rsid w:val="7C5E0D7C"/>
    <w:rsid w:val="7C6C5AC7"/>
    <w:rsid w:val="7C6D1616"/>
    <w:rsid w:val="7C6E40A4"/>
    <w:rsid w:val="7C6F05E1"/>
    <w:rsid w:val="7C7A5C40"/>
    <w:rsid w:val="7C7D3129"/>
    <w:rsid w:val="7C8A544B"/>
    <w:rsid w:val="7C8D49CC"/>
    <w:rsid w:val="7C923CDE"/>
    <w:rsid w:val="7C9A7A0D"/>
    <w:rsid w:val="7C9C5EB4"/>
    <w:rsid w:val="7C9D51B9"/>
    <w:rsid w:val="7CA941E8"/>
    <w:rsid w:val="7CAA7279"/>
    <w:rsid w:val="7CAF0836"/>
    <w:rsid w:val="7CAF663E"/>
    <w:rsid w:val="7CB77AF2"/>
    <w:rsid w:val="7CBB76EF"/>
    <w:rsid w:val="7CBE0F77"/>
    <w:rsid w:val="7CC04CEF"/>
    <w:rsid w:val="7CC6544B"/>
    <w:rsid w:val="7CC75B6C"/>
    <w:rsid w:val="7CCC5441"/>
    <w:rsid w:val="7CCF0A8E"/>
    <w:rsid w:val="7CD30849"/>
    <w:rsid w:val="7CD662C0"/>
    <w:rsid w:val="7CD67562"/>
    <w:rsid w:val="7CDB4E59"/>
    <w:rsid w:val="7CDC55D6"/>
    <w:rsid w:val="7CE14A5F"/>
    <w:rsid w:val="7CE55CA5"/>
    <w:rsid w:val="7CE9753D"/>
    <w:rsid w:val="7CF155DD"/>
    <w:rsid w:val="7CF36E72"/>
    <w:rsid w:val="7CF91FAF"/>
    <w:rsid w:val="7CFB1883"/>
    <w:rsid w:val="7CFF521B"/>
    <w:rsid w:val="7D006E99"/>
    <w:rsid w:val="7D0239FF"/>
    <w:rsid w:val="7D0454BB"/>
    <w:rsid w:val="7D064A03"/>
    <w:rsid w:val="7D0A41BC"/>
    <w:rsid w:val="7D0C3A90"/>
    <w:rsid w:val="7D0E21AB"/>
    <w:rsid w:val="7D1943FF"/>
    <w:rsid w:val="7D1C7A4B"/>
    <w:rsid w:val="7D2C7C8E"/>
    <w:rsid w:val="7D2D0A25"/>
    <w:rsid w:val="7D3134F6"/>
    <w:rsid w:val="7D31427A"/>
    <w:rsid w:val="7D330F52"/>
    <w:rsid w:val="7D344D95"/>
    <w:rsid w:val="7D384885"/>
    <w:rsid w:val="7D421016"/>
    <w:rsid w:val="7D453758"/>
    <w:rsid w:val="7D4551F4"/>
    <w:rsid w:val="7D4C0BAC"/>
    <w:rsid w:val="7D567401"/>
    <w:rsid w:val="7D5749E0"/>
    <w:rsid w:val="7D5E40CD"/>
    <w:rsid w:val="7D603DDC"/>
    <w:rsid w:val="7D6A6067"/>
    <w:rsid w:val="7D724517"/>
    <w:rsid w:val="7D747887"/>
    <w:rsid w:val="7D760836"/>
    <w:rsid w:val="7D777F72"/>
    <w:rsid w:val="7D816BD7"/>
    <w:rsid w:val="7D8819B8"/>
    <w:rsid w:val="7D8908F9"/>
    <w:rsid w:val="7D8E26F7"/>
    <w:rsid w:val="7D8F021D"/>
    <w:rsid w:val="7D9817C8"/>
    <w:rsid w:val="7DAA5057"/>
    <w:rsid w:val="7DAE0FEB"/>
    <w:rsid w:val="7DB165C4"/>
    <w:rsid w:val="7DB346B5"/>
    <w:rsid w:val="7DB639FC"/>
    <w:rsid w:val="7DBB7264"/>
    <w:rsid w:val="7DBC2663"/>
    <w:rsid w:val="7DCC0512"/>
    <w:rsid w:val="7DCD56F2"/>
    <w:rsid w:val="7DCD75AF"/>
    <w:rsid w:val="7DD65E4C"/>
    <w:rsid w:val="7DD86068"/>
    <w:rsid w:val="7DDA5039"/>
    <w:rsid w:val="7DDB20F8"/>
    <w:rsid w:val="7DEB30E6"/>
    <w:rsid w:val="7DF438B1"/>
    <w:rsid w:val="7DFE2D9E"/>
    <w:rsid w:val="7E026C41"/>
    <w:rsid w:val="7E0D1B9F"/>
    <w:rsid w:val="7E1621A7"/>
    <w:rsid w:val="7E1626EC"/>
    <w:rsid w:val="7E1A78D3"/>
    <w:rsid w:val="7E1B7046"/>
    <w:rsid w:val="7E2453C6"/>
    <w:rsid w:val="7E2968C4"/>
    <w:rsid w:val="7E370FE0"/>
    <w:rsid w:val="7E386B07"/>
    <w:rsid w:val="7E3A287F"/>
    <w:rsid w:val="7E3A462D"/>
    <w:rsid w:val="7E5C45A3"/>
    <w:rsid w:val="7E612463"/>
    <w:rsid w:val="7E645B88"/>
    <w:rsid w:val="7E65203E"/>
    <w:rsid w:val="7E6671D0"/>
    <w:rsid w:val="7E68083E"/>
    <w:rsid w:val="7E747B3F"/>
    <w:rsid w:val="7E7C2CBC"/>
    <w:rsid w:val="7E802674"/>
    <w:rsid w:val="7E880059"/>
    <w:rsid w:val="7E8E4BE9"/>
    <w:rsid w:val="7E977CD1"/>
    <w:rsid w:val="7E9A50CB"/>
    <w:rsid w:val="7EA156F1"/>
    <w:rsid w:val="7EA5419C"/>
    <w:rsid w:val="7EB22415"/>
    <w:rsid w:val="7EB4618D"/>
    <w:rsid w:val="7EBD1E63"/>
    <w:rsid w:val="7EC07DE6"/>
    <w:rsid w:val="7EC108AA"/>
    <w:rsid w:val="7EC87E8B"/>
    <w:rsid w:val="7ECB2067"/>
    <w:rsid w:val="7ED700CE"/>
    <w:rsid w:val="7ED92098"/>
    <w:rsid w:val="7EDD286E"/>
    <w:rsid w:val="7EE54876"/>
    <w:rsid w:val="7EEE3352"/>
    <w:rsid w:val="7EF40C80"/>
    <w:rsid w:val="7EF90044"/>
    <w:rsid w:val="7EFD18A2"/>
    <w:rsid w:val="7EFD6D59"/>
    <w:rsid w:val="7F001CE7"/>
    <w:rsid w:val="7F0509EE"/>
    <w:rsid w:val="7F0C1437"/>
    <w:rsid w:val="7F0D1D41"/>
    <w:rsid w:val="7F160CF6"/>
    <w:rsid w:val="7F1615DE"/>
    <w:rsid w:val="7F1A5FD0"/>
    <w:rsid w:val="7F1E7AAB"/>
    <w:rsid w:val="7F2D18D7"/>
    <w:rsid w:val="7F2F7F0A"/>
    <w:rsid w:val="7F3379FA"/>
    <w:rsid w:val="7F4219EB"/>
    <w:rsid w:val="7F4C4463"/>
    <w:rsid w:val="7F567244"/>
    <w:rsid w:val="7F5B0CFF"/>
    <w:rsid w:val="7F623E3B"/>
    <w:rsid w:val="7F6862B5"/>
    <w:rsid w:val="7F747EA7"/>
    <w:rsid w:val="7F792868"/>
    <w:rsid w:val="7F792F33"/>
    <w:rsid w:val="7F8065C4"/>
    <w:rsid w:val="7F8543FD"/>
    <w:rsid w:val="7F865404"/>
    <w:rsid w:val="7F875650"/>
    <w:rsid w:val="7F8D5BEA"/>
    <w:rsid w:val="7F8E06CB"/>
    <w:rsid w:val="7F8F2756"/>
    <w:rsid w:val="7F954393"/>
    <w:rsid w:val="7F9E2999"/>
    <w:rsid w:val="7FA413C7"/>
    <w:rsid w:val="7FA74336"/>
    <w:rsid w:val="7FA95426"/>
    <w:rsid w:val="7FA97CBC"/>
    <w:rsid w:val="7FAC3308"/>
    <w:rsid w:val="7FBA75D6"/>
    <w:rsid w:val="7FBC6941"/>
    <w:rsid w:val="7FC32456"/>
    <w:rsid w:val="7FC40652"/>
    <w:rsid w:val="7FC70142"/>
    <w:rsid w:val="7FCB7C32"/>
    <w:rsid w:val="7FD0749F"/>
    <w:rsid w:val="7FD36AE7"/>
    <w:rsid w:val="7FDA7E75"/>
    <w:rsid w:val="7FDC2280"/>
    <w:rsid w:val="7FDD34C2"/>
    <w:rsid w:val="7FDF548C"/>
    <w:rsid w:val="7FE47E50"/>
    <w:rsid w:val="7FE707E4"/>
    <w:rsid w:val="7FEB5D6F"/>
    <w:rsid w:val="7FEC6AD2"/>
    <w:rsid w:val="7FEE7E86"/>
    <w:rsid w:val="7FF151BF"/>
    <w:rsid w:val="7FF75AFE"/>
    <w:rsid w:val="7FF96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overflowPunct w:val="0"/>
      <w:snapToGrid w:val="0"/>
      <w:spacing w:before="120" w:after="160" w:line="260" w:lineRule="auto"/>
      <w:ind w:firstLine="0" w:firstLineChars="0"/>
      <w:jc w:val="center"/>
      <w:outlineLvl w:val="0"/>
    </w:pPr>
    <w:rPr>
      <w:rFonts w:eastAsia="黑体"/>
      <w:b/>
      <w:bCs/>
      <w:color w:val="000000"/>
      <w:kern w:val="44"/>
      <w:sz w:val="30"/>
      <w:szCs w:val="30"/>
    </w:rPr>
  </w:style>
  <w:style w:type="paragraph" w:styleId="3">
    <w:name w:val="heading 2"/>
    <w:basedOn w:val="1"/>
    <w:next w:val="1"/>
    <w:link w:val="37"/>
    <w:qFormat/>
    <w:uiPriority w:val="0"/>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b/>
      <w:bCs/>
      <w:kern w:val="0"/>
      <w:sz w:val="27"/>
      <w:szCs w:val="27"/>
    </w:rPr>
  </w:style>
  <w:style w:type="paragraph" w:styleId="5">
    <w:name w:val="heading 4"/>
    <w:basedOn w:val="1"/>
    <w:next w:val="1"/>
    <w:link w:val="38"/>
    <w:qFormat/>
    <w:uiPriority w:val="0"/>
    <w:pPr>
      <w:keepNext/>
      <w:keepLines/>
      <w:spacing w:before="280" w:after="290" w:line="376" w:lineRule="auto"/>
      <w:outlineLvl w:val="3"/>
    </w:pPr>
    <w:rPr>
      <w:rFonts w:ascii="Calibri Light" w:hAnsi="Calibri Light"/>
      <w:b/>
      <w:bCs/>
      <w:sz w:val="28"/>
      <w:szCs w:val="28"/>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rPr>
      <w:sz w:val="28"/>
      <w:szCs w:val="20"/>
    </w:rPr>
  </w:style>
  <w:style w:type="paragraph" w:styleId="7">
    <w:name w:val="caption"/>
    <w:basedOn w:val="1"/>
    <w:next w:val="1"/>
    <w:link w:val="39"/>
    <w:qFormat/>
    <w:uiPriority w:val="35"/>
    <w:pPr>
      <w:ind w:firstLine="0" w:firstLineChars="0"/>
      <w:jc w:val="center"/>
    </w:pPr>
    <w:rPr>
      <w:rFonts w:eastAsia="黑体"/>
      <w:szCs w:val="20"/>
    </w:rPr>
  </w:style>
  <w:style w:type="paragraph" w:styleId="8">
    <w:name w:val="annotation text"/>
    <w:basedOn w:val="1"/>
    <w:link w:val="40"/>
    <w:semiHidden/>
    <w:qFormat/>
    <w:uiPriority w:val="0"/>
    <w:pPr>
      <w:jc w:val="left"/>
    </w:pPr>
    <w:rPr>
      <w:kern w:val="0"/>
      <w:szCs w:val="20"/>
    </w:rPr>
  </w:style>
  <w:style w:type="paragraph" w:styleId="9">
    <w:name w:val="Salutation"/>
    <w:basedOn w:val="1"/>
    <w:next w:val="1"/>
    <w:unhideWhenUsed/>
    <w:qFormat/>
    <w:uiPriority w:val="99"/>
  </w:style>
  <w:style w:type="paragraph" w:styleId="10">
    <w:name w:val="Body Text"/>
    <w:basedOn w:val="1"/>
    <w:next w:val="11"/>
    <w:link w:val="41"/>
    <w:qFormat/>
    <w:uiPriority w:val="0"/>
    <w:pPr>
      <w:widowControl/>
      <w:snapToGrid w:val="0"/>
      <w:spacing w:before="60" w:after="160" w:line="259" w:lineRule="auto"/>
      <w:ind w:right="113"/>
    </w:pPr>
    <w:rPr>
      <w:kern w:val="0"/>
      <w:sz w:val="18"/>
      <w:szCs w:val="20"/>
    </w:rPr>
  </w:style>
  <w:style w:type="paragraph" w:styleId="11">
    <w:name w:val="Body Text 2"/>
    <w:basedOn w:val="1"/>
    <w:next w:val="10"/>
    <w:qFormat/>
    <w:uiPriority w:val="0"/>
    <w:pPr>
      <w:spacing w:line="312" w:lineRule="auto"/>
    </w:pPr>
    <w:rPr>
      <w:rFonts w:ascii="宋体"/>
      <w:sz w:val="28"/>
      <w:szCs w:val="20"/>
    </w:rPr>
  </w:style>
  <w:style w:type="paragraph" w:styleId="12">
    <w:name w:val="Body Text Indent"/>
    <w:basedOn w:val="1"/>
    <w:next w:val="10"/>
    <w:link w:val="42"/>
    <w:qFormat/>
    <w:uiPriority w:val="0"/>
    <w:pPr>
      <w:spacing w:after="120"/>
      <w:ind w:left="420" w:leftChars="200"/>
    </w:pPr>
    <w:rPr>
      <w:kern w:val="0"/>
      <w:szCs w:val="20"/>
    </w:rPr>
  </w:style>
  <w:style w:type="paragraph" w:styleId="13">
    <w:name w:val="List Continue"/>
    <w:basedOn w:val="1"/>
    <w:next w:val="10"/>
    <w:qFormat/>
    <w:uiPriority w:val="0"/>
    <w:pPr>
      <w:widowControl/>
      <w:spacing w:before="280" w:after="280"/>
      <w:ind w:firstLine="3584"/>
    </w:pPr>
    <w:rPr>
      <w:rFonts w:ascii="Calibri" w:hAnsi="Calibri"/>
    </w:rPr>
  </w:style>
  <w:style w:type="paragraph" w:styleId="14">
    <w:name w:val="Block Text"/>
    <w:basedOn w:val="1"/>
    <w:next w:val="1"/>
    <w:qFormat/>
    <w:uiPriority w:val="0"/>
    <w:pPr>
      <w:spacing w:line="460" w:lineRule="exact"/>
      <w:jc w:val="left"/>
    </w:pPr>
  </w:style>
  <w:style w:type="paragraph" w:styleId="15">
    <w:name w:val="Plain Text"/>
    <w:basedOn w:val="1"/>
    <w:next w:val="16"/>
    <w:qFormat/>
    <w:uiPriority w:val="0"/>
    <w:rPr>
      <w:rFonts w:ascii="宋体" w:hAnsi="Courier New"/>
      <w:sz w:val="28"/>
      <w:szCs w:val="20"/>
    </w:rPr>
  </w:style>
  <w:style w:type="paragraph" w:styleId="16">
    <w:name w:val="toc 1"/>
    <w:basedOn w:val="1"/>
    <w:next w:val="1"/>
    <w:qFormat/>
    <w:uiPriority w:val="39"/>
    <w:pPr>
      <w:spacing w:before="120" w:after="120"/>
      <w:jc w:val="left"/>
    </w:pPr>
    <w:rPr>
      <w:b/>
      <w:bCs/>
      <w:caps/>
      <w:sz w:val="20"/>
    </w:rPr>
  </w:style>
  <w:style w:type="paragraph" w:styleId="17">
    <w:name w:val="Date"/>
    <w:basedOn w:val="1"/>
    <w:next w:val="1"/>
    <w:link w:val="43"/>
    <w:qFormat/>
    <w:uiPriority w:val="0"/>
    <w:pPr>
      <w:ind w:left="100" w:leftChars="2500"/>
    </w:pPr>
    <w:rPr>
      <w:kern w:val="0"/>
      <w:szCs w:val="20"/>
    </w:rPr>
  </w:style>
  <w:style w:type="paragraph" w:styleId="18">
    <w:name w:val="Balloon Text"/>
    <w:basedOn w:val="1"/>
    <w:link w:val="44"/>
    <w:semiHidden/>
    <w:qFormat/>
    <w:uiPriority w:val="0"/>
    <w:rPr>
      <w:kern w:val="0"/>
      <w:sz w:val="18"/>
      <w:szCs w:val="20"/>
    </w:rPr>
  </w:style>
  <w:style w:type="paragraph" w:styleId="19">
    <w:name w:val="footer"/>
    <w:basedOn w:val="1"/>
    <w:next w:val="13"/>
    <w:link w:val="45"/>
    <w:qFormat/>
    <w:uiPriority w:val="99"/>
    <w:pPr>
      <w:tabs>
        <w:tab w:val="center" w:pos="4153"/>
        <w:tab w:val="right" w:pos="8306"/>
      </w:tabs>
      <w:snapToGrid w:val="0"/>
      <w:jc w:val="left"/>
    </w:pPr>
    <w:rPr>
      <w:kern w:val="0"/>
      <w:sz w:val="18"/>
      <w:szCs w:val="20"/>
    </w:rPr>
  </w:style>
  <w:style w:type="paragraph" w:styleId="20">
    <w:name w:val="header"/>
    <w:basedOn w:val="1"/>
    <w:link w:val="46"/>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Normal (Web)"/>
    <w:basedOn w:val="1"/>
    <w:link w:val="47"/>
    <w:qFormat/>
    <w:uiPriority w:val="99"/>
    <w:pPr>
      <w:widowControl/>
      <w:spacing w:before="100" w:beforeAutospacing="1" w:after="100" w:afterAutospacing="1"/>
      <w:jc w:val="left"/>
    </w:pPr>
    <w:rPr>
      <w:rFonts w:ascii="宋体" w:hAnsi="宋体"/>
      <w:kern w:val="0"/>
      <w:szCs w:val="20"/>
    </w:rPr>
  </w:style>
  <w:style w:type="paragraph" w:styleId="22">
    <w:name w:val="Title"/>
    <w:basedOn w:val="1"/>
    <w:next w:val="1"/>
    <w:qFormat/>
    <w:uiPriority w:val="0"/>
    <w:pPr>
      <w:spacing w:before="240" w:after="60"/>
      <w:jc w:val="center"/>
      <w:outlineLvl w:val="0"/>
    </w:pPr>
    <w:rPr>
      <w:rFonts w:ascii="Arial" w:hAnsi="Arial"/>
      <w:b/>
      <w:sz w:val="32"/>
    </w:rPr>
  </w:style>
  <w:style w:type="paragraph" w:styleId="23">
    <w:name w:val="annotation subject"/>
    <w:basedOn w:val="8"/>
    <w:next w:val="8"/>
    <w:link w:val="48"/>
    <w:semiHidden/>
    <w:qFormat/>
    <w:uiPriority w:val="0"/>
    <w:rPr>
      <w:b/>
    </w:rPr>
  </w:style>
  <w:style w:type="paragraph" w:styleId="24">
    <w:name w:val="Body Text First Indent"/>
    <w:basedOn w:val="10"/>
    <w:next w:val="25"/>
    <w:qFormat/>
    <w:uiPriority w:val="0"/>
    <w:pPr>
      <w:ind w:firstLine="420" w:firstLineChars="100"/>
    </w:pPr>
    <w:rPr>
      <w:szCs w:val="24"/>
    </w:rPr>
  </w:style>
  <w:style w:type="paragraph" w:styleId="25">
    <w:name w:val="Body Text First Indent 2"/>
    <w:basedOn w:val="1"/>
    <w:next w:val="1"/>
    <w:qFormat/>
    <w:uiPriority w:val="0"/>
    <w:pPr>
      <w:tabs>
        <w:tab w:val="left" w:pos="210"/>
      </w:tabs>
      <w:spacing w:after="120"/>
      <w:ind w:left="420" w:leftChars="200" w:firstLine="420"/>
    </w:pPr>
  </w:style>
  <w:style w:type="table" w:styleId="27">
    <w:name w:val="Table Grid"/>
    <w:basedOn w:val="26"/>
    <w:qFormat/>
    <w:uiPriority w:val="0"/>
    <w:tblPr>
      <w:tblBorders>
        <w:top w:val="single" w:color="auto" w:sz="12" w:space="0"/>
        <w:bottom w:val="single" w:color="auto" w:sz="12" w:space="0"/>
        <w:insideH w:val="single" w:color="auto" w:sz="6" w:space="0"/>
        <w:insideV w:val="single" w:color="auto" w:sz="6" w:space="0"/>
      </w:tblBorders>
    </w:tblPr>
  </w:style>
  <w:style w:type="character" w:styleId="29">
    <w:name w:val="Strong"/>
    <w:basedOn w:val="28"/>
    <w:qFormat/>
    <w:uiPriority w:val="0"/>
    <w:rPr>
      <w:b/>
    </w:rPr>
  </w:style>
  <w:style w:type="character" w:styleId="30">
    <w:name w:val="page number"/>
    <w:qFormat/>
    <w:uiPriority w:val="0"/>
  </w:style>
  <w:style w:type="character" w:styleId="31">
    <w:name w:val="FollowedHyperlink"/>
    <w:basedOn w:val="28"/>
    <w:qFormat/>
    <w:uiPriority w:val="0"/>
    <w:rPr>
      <w:color w:val="800080"/>
      <w:u w:val="none"/>
    </w:rPr>
  </w:style>
  <w:style w:type="character" w:styleId="32">
    <w:name w:val="Emphasis"/>
    <w:basedOn w:val="28"/>
    <w:qFormat/>
    <w:uiPriority w:val="0"/>
    <w:rPr>
      <w:i/>
    </w:rPr>
  </w:style>
  <w:style w:type="character" w:styleId="33">
    <w:name w:val="HTML Typewriter"/>
    <w:basedOn w:val="28"/>
    <w:qFormat/>
    <w:uiPriority w:val="0"/>
    <w:rPr>
      <w:color w:val="333333"/>
      <w:sz w:val="24"/>
      <w:szCs w:val="24"/>
    </w:rPr>
  </w:style>
  <w:style w:type="character" w:styleId="34">
    <w:name w:val="Hyperlink"/>
    <w:qFormat/>
    <w:uiPriority w:val="0"/>
    <w:rPr>
      <w:color w:val="0563C1"/>
      <w:u w:val="single"/>
    </w:rPr>
  </w:style>
  <w:style w:type="character" w:styleId="35">
    <w:name w:val="annotation reference"/>
    <w:semiHidden/>
    <w:qFormat/>
    <w:uiPriority w:val="0"/>
    <w:rPr>
      <w:sz w:val="21"/>
    </w:rPr>
  </w:style>
  <w:style w:type="paragraph" w:customStyle="1" w:styleId="36">
    <w:name w:val="xl27"/>
    <w:basedOn w:val="1"/>
    <w:qFormat/>
    <w:uiPriority w:val="0"/>
    <w:pPr>
      <w:widowControl/>
      <w:pBdr>
        <w:bottom w:val="single" w:color="auto" w:sz="12" w:space="0"/>
      </w:pBdr>
      <w:spacing w:before="100" w:after="100"/>
      <w:jc w:val="center"/>
    </w:pPr>
    <w:rPr>
      <w:rFonts w:ascii="宋体" w:hAnsi="宋体"/>
      <w:kern w:val="0"/>
      <w:szCs w:val="20"/>
    </w:rPr>
  </w:style>
  <w:style w:type="character" w:customStyle="1" w:styleId="37">
    <w:name w:val="标题 2 字符"/>
    <w:link w:val="3"/>
    <w:semiHidden/>
    <w:qFormat/>
    <w:uiPriority w:val="0"/>
    <w:rPr>
      <w:rFonts w:ascii="Calibri Light" w:hAnsi="Calibri Light" w:eastAsia="宋体" w:cs="Times New Roman"/>
      <w:b/>
      <w:bCs/>
      <w:kern w:val="2"/>
      <w:sz w:val="32"/>
      <w:szCs w:val="32"/>
    </w:rPr>
  </w:style>
  <w:style w:type="character" w:customStyle="1" w:styleId="38">
    <w:name w:val="标题 4 字符"/>
    <w:link w:val="5"/>
    <w:semiHidden/>
    <w:qFormat/>
    <w:uiPriority w:val="0"/>
    <w:rPr>
      <w:rFonts w:ascii="Calibri Light" w:hAnsi="Calibri Light" w:eastAsia="宋体" w:cs="Times New Roman"/>
      <w:b/>
      <w:bCs/>
      <w:kern w:val="2"/>
      <w:sz w:val="28"/>
      <w:szCs w:val="28"/>
    </w:rPr>
  </w:style>
  <w:style w:type="character" w:customStyle="1" w:styleId="39">
    <w:name w:val="题注 字符"/>
    <w:link w:val="7"/>
    <w:qFormat/>
    <w:uiPriority w:val="35"/>
    <w:rPr>
      <w:rFonts w:eastAsia="黑体"/>
      <w:kern w:val="2"/>
      <w:sz w:val="24"/>
    </w:rPr>
  </w:style>
  <w:style w:type="character" w:customStyle="1" w:styleId="40">
    <w:name w:val="批注文字 字符"/>
    <w:link w:val="8"/>
    <w:qFormat/>
    <w:uiPriority w:val="0"/>
    <w:rPr>
      <w:rFonts w:ascii="Times New Roman" w:hAnsi="Times New Roman" w:eastAsia="宋体"/>
      <w:sz w:val="24"/>
    </w:rPr>
  </w:style>
  <w:style w:type="character" w:customStyle="1" w:styleId="41">
    <w:name w:val="正文文本 字符"/>
    <w:link w:val="10"/>
    <w:qFormat/>
    <w:uiPriority w:val="0"/>
    <w:rPr>
      <w:sz w:val="18"/>
    </w:rPr>
  </w:style>
  <w:style w:type="character" w:customStyle="1" w:styleId="42">
    <w:name w:val="正文文本缩进 字符"/>
    <w:link w:val="12"/>
    <w:semiHidden/>
    <w:qFormat/>
    <w:uiPriority w:val="0"/>
    <w:rPr>
      <w:rFonts w:ascii="Times New Roman" w:hAnsi="Times New Roman" w:eastAsia="宋体"/>
      <w:sz w:val="24"/>
    </w:rPr>
  </w:style>
  <w:style w:type="character" w:customStyle="1" w:styleId="43">
    <w:name w:val="日期 字符1"/>
    <w:link w:val="17"/>
    <w:qFormat/>
    <w:uiPriority w:val="0"/>
    <w:rPr>
      <w:rFonts w:ascii="Times New Roman" w:hAnsi="Times New Roman" w:eastAsia="宋体"/>
      <w:sz w:val="24"/>
    </w:rPr>
  </w:style>
  <w:style w:type="character" w:customStyle="1" w:styleId="44">
    <w:name w:val="批注框文本 字符"/>
    <w:link w:val="18"/>
    <w:semiHidden/>
    <w:qFormat/>
    <w:uiPriority w:val="0"/>
    <w:rPr>
      <w:rFonts w:ascii="Times New Roman" w:hAnsi="Times New Roman" w:eastAsia="宋体"/>
      <w:sz w:val="18"/>
    </w:rPr>
  </w:style>
  <w:style w:type="character" w:customStyle="1" w:styleId="45">
    <w:name w:val="页脚 字符1"/>
    <w:link w:val="19"/>
    <w:qFormat/>
    <w:uiPriority w:val="99"/>
    <w:rPr>
      <w:sz w:val="18"/>
    </w:rPr>
  </w:style>
  <w:style w:type="character" w:customStyle="1" w:styleId="46">
    <w:name w:val="页眉 字符"/>
    <w:link w:val="20"/>
    <w:qFormat/>
    <w:uiPriority w:val="0"/>
    <w:rPr>
      <w:sz w:val="18"/>
    </w:rPr>
  </w:style>
  <w:style w:type="character" w:customStyle="1" w:styleId="47">
    <w:name w:val="普通(网站) 字符"/>
    <w:link w:val="21"/>
    <w:qFormat/>
    <w:uiPriority w:val="0"/>
    <w:rPr>
      <w:rFonts w:ascii="宋体" w:hAnsi="宋体" w:eastAsia="宋体"/>
      <w:sz w:val="24"/>
    </w:rPr>
  </w:style>
  <w:style w:type="character" w:customStyle="1" w:styleId="48">
    <w:name w:val="批注主题 字符"/>
    <w:link w:val="23"/>
    <w:semiHidden/>
    <w:qFormat/>
    <w:uiPriority w:val="0"/>
    <w:rPr>
      <w:rFonts w:ascii="Times New Roman" w:hAnsi="Times New Roman" w:eastAsia="宋体"/>
      <w:b/>
      <w:kern w:val="2"/>
      <w:sz w:val="24"/>
    </w:r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字体 Char"/>
    <w:link w:val="52"/>
    <w:qFormat/>
    <w:uiPriority w:val="0"/>
    <w:rPr>
      <w:color w:val="000000"/>
      <w:kern w:val="2"/>
      <w:sz w:val="21"/>
    </w:rPr>
  </w:style>
  <w:style w:type="paragraph" w:customStyle="1" w:styleId="52">
    <w:name w:val="表格字体"/>
    <w:basedOn w:val="1"/>
    <w:link w:val="51"/>
    <w:qFormat/>
    <w:uiPriority w:val="0"/>
    <w:pPr>
      <w:adjustRightInd w:val="0"/>
      <w:spacing w:line="320" w:lineRule="exact"/>
      <w:ind w:firstLine="0" w:firstLineChars="0"/>
      <w:jc w:val="center"/>
    </w:pPr>
    <w:rPr>
      <w:color w:val="000000"/>
      <w:sz w:val="21"/>
      <w:szCs w:val="20"/>
    </w:rPr>
  </w:style>
  <w:style w:type="character" w:customStyle="1" w:styleId="53">
    <w:name w:val="日期 字符"/>
    <w:semiHidden/>
    <w:qFormat/>
    <w:uiPriority w:val="0"/>
    <w:rPr>
      <w:rFonts w:ascii="Times New Roman" w:hAnsi="Times New Roman" w:eastAsia="宋体"/>
      <w:sz w:val="24"/>
    </w:rPr>
  </w:style>
  <w:style w:type="character" w:customStyle="1" w:styleId="54">
    <w:name w:val="表格 Char"/>
    <w:link w:val="55"/>
    <w:qFormat/>
    <w:uiPriority w:val="0"/>
    <w:rPr>
      <w:rFonts w:ascii="宋体"/>
      <w:sz w:val="21"/>
    </w:rPr>
  </w:style>
  <w:style w:type="paragraph" w:customStyle="1" w:styleId="55">
    <w:name w:val="表格"/>
    <w:basedOn w:val="1"/>
    <w:next w:val="1"/>
    <w:link w:val="54"/>
    <w:qFormat/>
    <w:uiPriority w:val="0"/>
    <w:pPr>
      <w:adjustRightInd w:val="0"/>
      <w:snapToGrid w:val="0"/>
      <w:spacing w:beforeLines="10" w:afterLines="10" w:line="259" w:lineRule="auto"/>
      <w:jc w:val="center"/>
    </w:pPr>
    <w:rPr>
      <w:rFonts w:ascii="宋体"/>
      <w:kern w:val="0"/>
      <w:szCs w:val="20"/>
    </w:rPr>
  </w:style>
  <w:style w:type="character" w:customStyle="1" w:styleId="56">
    <w:name w:val="批注文字 字符1"/>
    <w:semiHidden/>
    <w:qFormat/>
    <w:uiPriority w:val="0"/>
    <w:rPr>
      <w:rFonts w:ascii="Times New Roman" w:hAnsi="Times New Roman" w:eastAsia="宋体"/>
      <w:sz w:val="24"/>
    </w:rPr>
  </w:style>
  <w:style w:type="character" w:customStyle="1" w:styleId="57">
    <w:name w:val="curr"/>
    <w:basedOn w:val="28"/>
    <w:qFormat/>
    <w:uiPriority w:val="0"/>
    <w:rPr>
      <w:rFonts w:ascii="Arial" w:hAnsi="Arial" w:cs="Arial"/>
      <w:color w:val="FFFFFF"/>
      <w:sz w:val="21"/>
      <w:szCs w:val="21"/>
      <w:u w:val="none"/>
      <w:bdr w:val="single" w:color="E52123" w:sz="6" w:space="0"/>
      <w:shd w:val="clear" w:color="auto" w:fill="E52123"/>
    </w:rPr>
  </w:style>
  <w:style w:type="character" w:customStyle="1" w:styleId="58">
    <w:name w:val="我的表格内容 Char"/>
    <w:link w:val="59"/>
    <w:qFormat/>
    <w:uiPriority w:val="0"/>
    <w:rPr>
      <w:kern w:val="2"/>
      <w:sz w:val="21"/>
      <w:szCs w:val="24"/>
    </w:rPr>
  </w:style>
  <w:style w:type="paragraph" w:customStyle="1" w:styleId="59">
    <w:name w:val="我的表格内容"/>
    <w:basedOn w:val="1"/>
    <w:link w:val="58"/>
    <w:qFormat/>
    <w:uiPriority w:val="0"/>
    <w:pPr>
      <w:spacing w:line="280" w:lineRule="exact"/>
      <w:ind w:firstLine="0" w:firstLineChars="0"/>
      <w:jc w:val="center"/>
    </w:pPr>
    <w:rPr>
      <w:sz w:val="21"/>
    </w:rPr>
  </w:style>
  <w:style w:type="character" w:customStyle="1" w:styleId="60">
    <w:name w:val="表头 Char"/>
    <w:link w:val="61"/>
    <w:qFormat/>
    <w:uiPriority w:val="0"/>
    <w:rPr>
      <w:rFonts w:ascii="黑体" w:hAnsi="黑体" w:eastAsia="黑体"/>
      <w:kern w:val="2"/>
      <w:sz w:val="24"/>
      <w:szCs w:val="24"/>
    </w:rPr>
  </w:style>
  <w:style w:type="paragraph" w:customStyle="1" w:styleId="61">
    <w:name w:val="表头"/>
    <w:basedOn w:val="1"/>
    <w:link w:val="60"/>
    <w:qFormat/>
    <w:uiPriority w:val="0"/>
    <w:pPr>
      <w:jc w:val="center"/>
    </w:pPr>
    <w:rPr>
      <w:rFonts w:ascii="黑体" w:hAnsi="黑体" w:eastAsia="黑体"/>
    </w:rPr>
  </w:style>
  <w:style w:type="paragraph" w:customStyle="1" w:styleId="62">
    <w:name w:val="lh-正文-报告表"/>
    <w:basedOn w:val="1"/>
    <w:qFormat/>
    <w:uiPriority w:val="0"/>
    <w:pPr>
      <w:ind w:firstLine="480"/>
    </w:pPr>
    <w:rPr>
      <w:kern w:val="0"/>
    </w:rPr>
  </w:style>
  <w:style w:type="paragraph" w:customStyle="1" w:styleId="63">
    <w:name w:val="普通(网站)2"/>
    <w:basedOn w:val="1"/>
    <w:qFormat/>
    <w:uiPriority w:val="0"/>
    <w:pPr>
      <w:widowControl/>
      <w:spacing w:before="100" w:beforeAutospacing="1" w:after="100" w:afterAutospacing="1"/>
      <w:jc w:val="left"/>
    </w:pPr>
    <w:rPr>
      <w:rFonts w:ascii="宋体" w:hAnsi="宋体"/>
      <w:szCs w:val="20"/>
    </w:rPr>
  </w:style>
  <w:style w:type="paragraph" w:customStyle="1" w:styleId="64">
    <w:name w:val="正文1"/>
    <w:qFormat/>
    <w:uiPriority w:val="0"/>
    <w:pPr>
      <w:jc w:val="both"/>
    </w:pPr>
    <w:rPr>
      <w:rFonts w:ascii="等线" w:hAnsi="等线" w:eastAsia="宋体" w:cs="宋体"/>
      <w:kern w:val="2"/>
      <w:sz w:val="21"/>
      <w:szCs w:val="21"/>
      <w:lang w:val="en-US" w:eastAsia="zh-CN" w:bidi="ar-SA"/>
    </w:rPr>
  </w:style>
  <w:style w:type="paragraph" w:customStyle="1" w:styleId="65">
    <w:name w:val="Char"/>
    <w:basedOn w:val="1"/>
    <w:qFormat/>
    <w:uiPriority w:val="0"/>
    <w:pPr>
      <w:adjustRightInd w:val="0"/>
      <w:snapToGrid w:val="0"/>
    </w:pPr>
  </w:style>
  <w:style w:type="paragraph" w:customStyle="1" w:styleId="6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报告表表格文字"/>
    <w:basedOn w:val="1"/>
    <w:qFormat/>
    <w:uiPriority w:val="0"/>
    <w:pPr>
      <w:autoSpaceDE w:val="0"/>
      <w:autoSpaceDN w:val="0"/>
      <w:adjustRightInd w:val="0"/>
      <w:snapToGrid w:val="0"/>
      <w:spacing w:line="360" w:lineRule="exact"/>
      <w:jc w:val="center"/>
    </w:pPr>
    <w:rPr>
      <w:color w:val="000000"/>
      <w:kern w:val="0"/>
      <w:sz w:val="28"/>
      <w:szCs w:val="21"/>
    </w:rPr>
  </w:style>
  <w:style w:type="paragraph" w:customStyle="1" w:styleId="68">
    <w:name w:val="表格内容"/>
    <w:basedOn w:val="1"/>
    <w:qFormat/>
    <w:uiPriority w:val="0"/>
    <w:pPr>
      <w:overflowPunct w:val="0"/>
      <w:adjustRightInd w:val="0"/>
      <w:snapToGrid w:val="0"/>
      <w:spacing w:line="320" w:lineRule="exact"/>
      <w:ind w:firstLine="0" w:firstLineChars="0"/>
      <w:jc w:val="center"/>
      <w:textAlignment w:val="baseline"/>
    </w:pPr>
    <w:rPr>
      <w:kern w:val="0"/>
      <w:sz w:val="21"/>
      <w:szCs w:val="21"/>
    </w:rPr>
  </w:style>
  <w:style w:type="paragraph" w:customStyle="1" w:styleId="69">
    <w:name w:val="Table Paragraph"/>
    <w:basedOn w:val="1"/>
    <w:qFormat/>
    <w:uiPriority w:val="1"/>
    <w:pPr>
      <w:autoSpaceDE w:val="0"/>
      <w:autoSpaceDN w:val="0"/>
      <w:adjustRightInd w:val="0"/>
      <w:spacing w:line="240" w:lineRule="auto"/>
      <w:ind w:firstLine="0" w:firstLineChars="0"/>
      <w:jc w:val="left"/>
    </w:pPr>
    <w:rPr>
      <w:rFonts w:ascii="Calibri" w:hAnsi="Calibri"/>
      <w:kern w:val="0"/>
    </w:rPr>
  </w:style>
  <w:style w:type="paragraph" w:customStyle="1" w:styleId="70">
    <w:name w:val="正文缩进1"/>
    <w:basedOn w:val="1"/>
    <w:qFormat/>
    <w:uiPriority w:val="0"/>
    <w:rPr>
      <w:sz w:val="28"/>
    </w:rPr>
  </w:style>
  <w:style w:type="paragraph" w:customStyle="1" w:styleId="71">
    <w:name w:val="正文11"/>
    <w:basedOn w:val="1"/>
    <w:qFormat/>
    <w:uiPriority w:val="0"/>
    <w:pPr>
      <w:jc w:val="center"/>
    </w:pPr>
    <w:rPr>
      <w:szCs w:val="21"/>
    </w:rPr>
  </w:style>
  <w:style w:type="paragraph" w:customStyle="1" w:styleId="72">
    <w:name w:val="段落"/>
    <w:basedOn w:val="15"/>
    <w:qFormat/>
    <w:uiPriority w:val="0"/>
    <w:pPr>
      <w:spacing w:line="500" w:lineRule="exact"/>
      <w:ind w:firstLine="578"/>
    </w:pPr>
    <w:rPr>
      <w:rFonts w:ascii="Times New Roman" w:hAnsi="Times New Roman"/>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报告书表格表头"/>
    <w:basedOn w:val="1"/>
    <w:qFormat/>
    <w:uiPriority w:val="0"/>
    <w:pPr>
      <w:adjustRightInd w:val="0"/>
      <w:snapToGrid w:val="0"/>
      <w:spacing w:line="520" w:lineRule="exact"/>
    </w:pPr>
    <w:rPr>
      <w:rFonts w:eastAsia="黑体"/>
      <w:color w:val="000000"/>
      <w:szCs w:val="22"/>
    </w:rPr>
  </w:style>
  <w:style w:type="paragraph" w:customStyle="1" w:styleId="75">
    <w:name w:val="表内 定"/>
    <w:basedOn w:val="1"/>
    <w:qFormat/>
    <w:uiPriority w:val="0"/>
    <w:rPr>
      <w:color w:val="000000"/>
    </w:rPr>
  </w:style>
  <w:style w:type="paragraph" w:customStyle="1" w:styleId="76">
    <w:name w:val="表内"/>
    <w:basedOn w:val="1"/>
    <w:qFormat/>
    <w:uiPriority w:val="99"/>
    <w:pPr>
      <w:framePr w:hSpace="180" w:wrap="around" w:vAnchor="page" w:hAnchor="margin" w:y="1411"/>
      <w:widowControl/>
    </w:pPr>
    <w:rPr>
      <w:rFonts w:ascii="宋体" w:hAnsi="宋体"/>
      <w:szCs w:val="20"/>
    </w:rPr>
  </w:style>
  <w:style w:type="paragraph" w:customStyle="1" w:styleId="77">
    <w:name w:val="列表段落"/>
    <w:basedOn w:val="1"/>
    <w:qFormat/>
    <w:uiPriority w:val="34"/>
    <w:pPr>
      <w:ind w:firstLine="420"/>
    </w:pPr>
    <w:rPr>
      <w:rFonts w:ascii="等线" w:hAnsi="等线" w:eastAsia="等线"/>
      <w:szCs w:val="22"/>
    </w:rPr>
  </w:style>
  <w:style w:type="paragraph" w:customStyle="1" w:styleId="78">
    <w:name w:val="赵正文"/>
    <w:basedOn w:val="1"/>
    <w:qFormat/>
    <w:uiPriority w:val="0"/>
    <w:pPr>
      <w:spacing w:line="520" w:lineRule="exact"/>
      <w:ind w:firstLine="640"/>
    </w:pPr>
    <w:rPr>
      <w:kern w:val="0"/>
    </w:rPr>
  </w:style>
  <w:style w:type="paragraph" w:customStyle="1" w:styleId="79">
    <w:name w:val="xry表格文字"/>
    <w:basedOn w:val="1"/>
    <w:qFormat/>
    <w:uiPriority w:val="0"/>
    <w:pPr>
      <w:jc w:val="center"/>
    </w:pPr>
    <w:rPr>
      <w:kern w:val="0"/>
      <w:sz w:val="20"/>
      <w:lang w:val="zh-CN"/>
    </w:rPr>
  </w:style>
  <w:style w:type="paragraph" w:customStyle="1" w:styleId="80">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81">
    <w:name w:val="表内文字 居中"/>
    <w:basedOn w:val="1"/>
    <w:qFormat/>
    <w:uiPriority w:val="0"/>
    <w:pPr>
      <w:autoSpaceDE w:val="0"/>
      <w:autoSpaceDN w:val="0"/>
      <w:adjustRightInd w:val="0"/>
      <w:snapToGrid w:val="0"/>
      <w:spacing w:line="240" w:lineRule="auto"/>
      <w:ind w:firstLine="0" w:firstLineChars="0"/>
      <w:jc w:val="center"/>
    </w:pPr>
    <w:rPr>
      <w:color w:val="000000"/>
      <w:kern w:val="0"/>
      <w:sz w:val="21"/>
      <w:szCs w:val="21"/>
    </w:rPr>
  </w:style>
  <w:style w:type="paragraph" w:customStyle="1" w:styleId="82">
    <w:name w:val="Body text|1"/>
    <w:basedOn w:val="1"/>
    <w:qFormat/>
    <w:uiPriority w:val="0"/>
    <w:pPr>
      <w:spacing w:line="444" w:lineRule="auto"/>
    </w:pPr>
    <w:rPr>
      <w:rFonts w:ascii="宋体" w:hAnsi="宋体" w:cs="宋体"/>
      <w:color w:val="21211E"/>
      <w:lang w:val="zh-TW" w:eastAsia="zh-TW" w:bidi="zh-TW"/>
    </w:rPr>
  </w:style>
  <w:style w:type="paragraph" w:styleId="83">
    <w:name w:val="List Paragraph"/>
    <w:basedOn w:val="1"/>
    <w:qFormat/>
    <w:uiPriority w:val="1"/>
    <w:pPr>
      <w:ind w:firstLine="420"/>
    </w:pPr>
  </w:style>
  <w:style w:type="character" w:customStyle="1" w:styleId="84">
    <w:name w:val="font101"/>
    <w:basedOn w:val="28"/>
    <w:qFormat/>
    <w:uiPriority w:val="0"/>
    <w:rPr>
      <w:rFonts w:hint="eastAsia" w:ascii="仿宋" w:hAnsi="仿宋" w:eastAsia="仿宋" w:cs="仿宋"/>
      <w:color w:val="000000"/>
      <w:sz w:val="21"/>
      <w:szCs w:val="21"/>
      <w:u w:val="none"/>
    </w:rPr>
  </w:style>
  <w:style w:type="paragraph" w:customStyle="1" w:styleId="85">
    <w:name w:val="表头 +1行"/>
    <w:basedOn w:val="86"/>
    <w:qFormat/>
    <w:uiPriority w:val="0"/>
    <w:pPr>
      <w:spacing w:before="312"/>
    </w:pPr>
    <w:rPr>
      <w:rFonts w:cs="宋体"/>
    </w:rPr>
  </w:style>
  <w:style w:type="paragraph" w:customStyle="1" w:styleId="86">
    <w:name w:val="表头格式"/>
    <w:basedOn w:val="1"/>
    <w:qFormat/>
    <w:uiPriority w:val="0"/>
    <w:pPr>
      <w:adjustRightInd w:val="0"/>
      <w:snapToGrid w:val="0"/>
      <w:spacing w:line="520" w:lineRule="exact"/>
      <w:ind w:firstLine="880"/>
      <w:jc w:val="left"/>
    </w:pPr>
    <w:rPr>
      <w:rFonts w:eastAsia="黑体"/>
      <w:snapToGrid w:val="0"/>
      <w:kern w:val="0"/>
      <w:sz w:val="28"/>
      <w:szCs w:val="20"/>
    </w:rPr>
  </w:style>
  <w:style w:type="paragraph" w:customStyle="1" w:styleId="87">
    <w:name w:val="表内容"/>
    <w:basedOn w:val="1"/>
    <w:qFormat/>
    <w:uiPriority w:val="0"/>
    <w:pPr>
      <w:autoSpaceDE w:val="0"/>
      <w:autoSpaceDN w:val="0"/>
      <w:jc w:val="center"/>
    </w:pPr>
    <w:rPr>
      <w:rFonts w:ascii="Arial" w:hAnsi="Arial" w:cs="Arial"/>
      <w:sz w:val="21"/>
      <w:szCs w:val="21"/>
    </w:rPr>
  </w:style>
  <w:style w:type="paragraph" w:customStyle="1" w:styleId="88">
    <w:name w:val="鸿达表加粗"/>
    <w:basedOn w:val="1"/>
    <w:qFormat/>
    <w:uiPriority w:val="0"/>
    <w:pPr>
      <w:jc w:val="center"/>
    </w:pPr>
    <w:rPr>
      <w:rFonts w:cs="宋体"/>
      <w:b/>
      <w:color w:val="000000"/>
      <w:szCs w:val="20"/>
    </w:rPr>
  </w:style>
  <w:style w:type="paragraph" w:customStyle="1" w:styleId="89">
    <w:name w:val="鸿达表格文字"/>
    <w:basedOn w:val="1"/>
    <w:qFormat/>
    <w:uiPriority w:val="0"/>
    <w:pPr>
      <w:spacing w:line="240" w:lineRule="auto"/>
      <w:contextualSpacing/>
      <w:jc w:val="center"/>
    </w:pPr>
    <w:rPr>
      <w:sz w:val="21"/>
      <w:szCs w:val="21"/>
    </w:rPr>
  </w:style>
  <w:style w:type="paragraph" w:customStyle="1" w:styleId="90">
    <w:name w:val="鸿达表格段落"/>
    <w:basedOn w:val="1"/>
    <w:qFormat/>
    <w:uiPriority w:val="0"/>
    <w:pPr>
      <w:adjustRightInd w:val="0"/>
      <w:snapToGrid w:val="0"/>
      <w:jc w:val="left"/>
    </w:pPr>
    <w:rPr>
      <w:snapToGrid w:val="0"/>
      <w:kern w:val="0"/>
    </w:rPr>
  </w:style>
  <w:style w:type="paragraph" w:customStyle="1" w:styleId="91">
    <w:name w:val="1.正文"/>
    <w:basedOn w:val="1"/>
    <w:qFormat/>
    <w:uiPriority w:val="0"/>
    <w:pPr>
      <w:spacing w:line="460" w:lineRule="exact"/>
    </w:pPr>
    <w:rPr>
      <w:rFonts w:cs="宋体"/>
      <w:szCs w:val="20"/>
    </w:rPr>
  </w:style>
  <w:style w:type="paragraph" w:customStyle="1" w:styleId="92">
    <w:name w:val="表格里文字"/>
    <w:basedOn w:val="1"/>
    <w:qFormat/>
    <w:uiPriority w:val="0"/>
    <w:pPr>
      <w:adjustRightInd w:val="0"/>
      <w:snapToGrid w:val="0"/>
      <w:jc w:val="center"/>
    </w:pPr>
    <w:rPr>
      <w:bCs/>
      <w:color w:val="000000"/>
      <w:szCs w:val="21"/>
    </w:rPr>
  </w:style>
  <w:style w:type="paragraph" w:customStyle="1" w:styleId="93">
    <w:name w:val="报告书正文"/>
    <w:basedOn w:val="1"/>
    <w:next w:val="1"/>
    <w:qFormat/>
    <w:uiPriority w:val="0"/>
    <w:pPr>
      <w:spacing w:line="520" w:lineRule="exact"/>
    </w:pPr>
  </w:style>
  <w:style w:type="character" w:customStyle="1" w:styleId="94">
    <w:name w:val="正文文本 Exact"/>
    <w:qFormat/>
    <w:uiPriority w:val="0"/>
    <w:rPr>
      <w:rFonts w:hint="eastAsia" w:ascii="宋体" w:hAnsi="宋体" w:eastAsia="宋体" w:cs="宋体"/>
      <w:spacing w:val="5"/>
      <w:sz w:val="22"/>
      <w:szCs w:val="22"/>
      <w:u w:val="none"/>
    </w:rPr>
  </w:style>
  <w:style w:type="paragraph" w:customStyle="1" w:styleId="95">
    <w:name w:val="正文表"/>
    <w:basedOn w:val="1"/>
    <w:qFormat/>
    <w:uiPriority w:val="0"/>
    <w:pPr>
      <w:tabs>
        <w:tab w:val="left" w:pos="715"/>
        <w:tab w:val="left" w:pos="857"/>
        <w:tab w:val="left" w:pos="2428"/>
      </w:tabs>
      <w:spacing w:line="440" w:lineRule="exact"/>
      <w:ind w:firstLine="464"/>
    </w:pPr>
    <w:rPr>
      <w:rFonts w:hAnsi="宋体"/>
      <w:spacing w:val="-4"/>
    </w:rPr>
  </w:style>
  <w:style w:type="paragraph" w:customStyle="1" w:styleId="96">
    <w:name w:val="环评表格表头"/>
    <w:basedOn w:val="97"/>
    <w:qFormat/>
    <w:uiPriority w:val="0"/>
    <w:pPr>
      <w:tabs>
        <w:tab w:val="left" w:pos="4540"/>
      </w:tabs>
    </w:pPr>
    <w:rPr>
      <w:b/>
    </w:rPr>
  </w:style>
  <w:style w:type="paragraph" w:customStyle="1" w:styleId="97">
    <w:name w:val="环评表格内容居中"/>
    <w:basedOn w:val="1"/>
    <w:qFormat/>
    <w:uiPriority w:val="0"/>
    <w:pPr>
      <w:tabs>
        <w:tab w:val="left" w:pos="4540"/>
      </w:tabs>
      <w:adjustRightInd w:val="0"/>
      <w:snapToGrid w:val="0"/>
      <w:jc w:val="center"/>
    </w:pPr>
    <w:rPr>
      <w:rFonts w:eastAsia="仿宋_GB2312"/>
      <w:szCs w:val="22"/>
    </w:rPr>
  </w:style>
  <w:style w:type="table" w:customStyle="1" w:styleId="98">
    <w:name w:val="表格样式1"/>
    <w:basedOn w:val="26"/>
    <w:qFormat/>
    <w:uiPriority w:val="0"/>
    <w:pPr>
      <w:jc w:val="center"/>
    </w:pPr>
    <w:rPr>
      <w:rFonts w:eastAsia="仿宋_GB2312"/>
    </w:rPr>
    <w:tblPr>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left w:w="30" w:type="dxa"/>
        <w:right w:w="30" w:type="dxa"/>
      </w:tblCellMar>
    </w:tblPr>
    <w:trPr>
      <w:jc w:val="center"/>
    </w:trPr>
    <w:tcPr>
      <w:vAlign w:val="center"/>
    </w:tcPr>
    <w:tblStylePr w:type="firstRow">
      <w:rPr>
        <w:rFonts w:ascii="Times New Roman" w:hAnsi="Times New Roman" w:eastAsia="仿宋_GB2312"/>
        <w:b/>
        <w:i w:val="0"/>
        <w:sz w:val="21"/>
      </w:rPr>
      <w:tcPr>
        <w:tcBorders>
          <w:top w:val="single" w:color="auto" w:sz="12" w:space="0"/>
          <w:left w:val="single" w:color="auto" w:sz="4" w:space="0"/>
          <w:bottom w:val="single" w:color="auto" w:sz="12" w:space="0"/>
          <w:right w:val="single" w:color="auto" w:sz="4" w:space="0"/>
          <w:insideH w:val="nil"/>
          <w:insideV w:val="single" w:sz="4" w:space="0"/>
          <w:tl2br w:val="nil"/>
          <w:tr2bl w:val="nil"/>
        </w:tcBorders>
      </w:tcPr>
    </w:tblStylePr>
  </w:style>
  <w:style w:type="paragraph" w:customStyle="1" w:styleId="99">
    <w:name w:val="环评正文"/>
    <w:basedOn w:val="1"/>
    <w:qFormat/>
    <w:uiPriority w:val="0"/>
    <w:pPr>
      <w:tabs>
        <w:tab w:val="left" w:pos="4540"/>
      </w:tabs>
      <w:spacing w:line="520" w:lineRule="exact"/>
    </w:pPr>
    <w:rPr>
      <w:sz w:val="28"/>
    </w:rPr>
  </w:style>
  <w:style w:type="paragraph" w:customStyle="1" w:styleId="100">
    <w:name w:val="【正文】"/>
    <w:basedOn w:val="1"/>
    <w:qFormat/>
    <w:uiPriority w:val="0"/>
    <w:pPr>
      <w:spacing w:line="460" w:lineRule="exact"/>
    </w:pPr>
    <w:rPr>
      <w:szCs w:val="20"/>
    </w:rPr>
  </w:style>
  <w:style w:type="paragraph" w:customStyle="1" w:styleId="101">
    <w:name w:val="msolistparagraph"/>
    <w:basedOn w:val="1"/>
    <w:qFormat/>
    <w:uiPriority w:val="0"/>
    <w:pPr>
      <w:ind w:firstLine="420"/>
    </w:pPr>
    <w:rPr>
      <w:rFonts w:ascii="Calibri" w:hAnsi="Calibri"/>
      <w:sz w:val="21"/>
    </w:rPr>
  </w:style>
  <w:style w:type="paragraph" w:customStyle="1" w:styleId="102">
    <w:name w:val="表标题"/>
    <w:basedOn w:val="1"/>
    <w:next w:val="1"/>
    <w:qFormat/>
    <w:uiPriority w:val="0"/>
    <w:pPr>
      <w:keepNext/>
      <w:numPr>
        <w:ilvl w:val="0"/>
        <w:numId w:val="1"/>
      </w:numPr>
      <w:spacing w:line="440" w:lineRule="exact"/>
      <w:ind w:firstLine="0"/>
      <w:jc w:val="center"/>
      <w:textAlignment w:val="center"/>
    </w:pPr>
    <w:rPr>
      <w:rFonts w:eastAsia="黑体"/>
    </w:rPr>
  </w:style>
  <w:style w:type="paragraph" w:customStyle="1" w:styleId="103">
    <w:name w:val="标题 41"/>
    <w:basedOn w:val="1"/>
    <w:qFormat/>
    <w:uiPriority w:val="0"/>
    <w:pPr>
      <w:autoSpaceDE w:val="0"/>
      <w:autoSpaceDN w:val="0"/>
      <w:spacing w:before="100" w:beforeAutospacing="1" w:after="100" w:afterAutospacing="1"/>
      <w:ind w:left="228"/>
      <w:jc w:val="left"/>
      <w:outlineLvl w:val="4"/>
    </w:pPr>
    <w:rPr>
      <w:rFonts w:ascii="宋体" w:hAnsi="宋体" w:cs="宋体"/>
      <w:b/>
      <w:bCs/>
      <w:kern w:val="0"/>
    </w:rPr>
  </w:style>
  <w:style w:type="paragraph" w:customStyle="1" w:styleId="104">
    <w:name w:val="2.表内居中"/>
    <w:qFormat/>
    <w:uiPriority w:val="0"/>
    <w:pPr>
      <w:jc w:val="center"/>
    </w:pPr>
    <w:rPr>
      <w:rFonts w:ascii="Times New Roman" w:hAnsi="Times New Roman" w:eastAsia="宋体" w:cs="Times New Roman"/>
      <w:bCs/>
      <w:color w:val="000000"/>
      <w:sz w:val="21"/>
      <w:szCs w:val="21"/>
      <w:lang w:val="en-US" w:eastAsia="zh-CN" w:bidi="ar-SA"/>
    </w:rPr>
  </w:style>
  <w:style w:type="paragraph" w:customStyle="1" w:styleId="105">
    <w:name w:val="3.表格正文"/>
    <w:qFormat/>
    <w:uiPriority w:val="0"/>
    <w:pPr>
      <w:ind w:firstLine="200" w:firstLineChars="200"/>
      <w:jc w:val="both"/>
    </w:pPr>
    <w:rPr>
      <w:rFonts w:ascii="Times New Roman" w:hAnsi="Times New Roman" w:eastAsia="宋体" w:cs="Times New Roman"/>
      <w:bCs/>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footer" Target="footer1.xml"/><Relationship Id="rId59" Type="http://schemas.openxmlformats.org/officeDocument/2006/relationships/image" Target="media/image43.png"/><Relationship Id="rId58" Type="http://schemas.openxmlformats.org/officeDocument/2006/relationships/image" Target="media/image42.png"/><Relationship Id="rId57" Type="http://schemas.openxmlformats.org/officeDocument/2006/relationships/image" Target="media/image41.png"/><Relationship Id="rId56" Type="http://schemas.openxmlformats.org/officeDocument/2006/relationships/image" Target="media/image40.png"/><Relationship Id="rId55" Type="http://schemas.openxmlformats.org/officeDocument/2006/relationships/image" Target="media/image39.png"/><Relationship Id="rId54" Type="http://schemas.openxmlformats.org/officeDocument/2006/relationships/image" Target="media/image38.png"/><Relationship Id="rId53" Type="http://schemas.openxmlformats.org/officeDocument/2006/relationships/image" Target="media/image37.jpeg"/><Relationship Id="rId52" Type="http://schemas.openxmlformats.org/officeDocument/2006/relationships/image" Target="media/image36.png"/><Relationship Id="rId51" Type="http://schemas.openxmlformats.org/officeDocument/2006/relationships/image" Target="media/image35.png"/><Relationship Id="rId50" Type="http://schemas.openxmlformats.org/officeDocument/2006/relationships/image" Target="media/image34.png"/><Relationship Id="rId5" Type="http://schemas.openxmlformats.org/officeDocument/2006/relationships/header" Target="header1.xml"/><Relationship Id="rId49" Type="http://schemas.openxmlformats.org/officeDocument/2006/relationships/image" Target="media/image33.png"/><Relationship Id="rId48" Type="http://schemas.openxmlformats.org/officeDocument/2006/relationships/image" Target="media/image32.png"/><Relationship Id="rId47" Type="http://schemas.openxmlformats.org/officeDocument/2006/relationships/image" Target="media/image31.jpeg"/><Relationship Id="rId46" Type="http://schemas.openxmlformats.org/officeDocument/2006/relationships/image" Target="media/image30.jpeg"/><Relationship Id="rId45" Type="http://schemas.openxmlformats.org/officeDocument/2006/relationships/image" Target="media/image29.jpeg"/><Relationship Id="rId44" Type="http://schemas.openxmlformats.org/officeDocument/2006/relationships/image" Target="media/image28.jpeg"/><Relationship Id="rId43" Type="http://schemas.openxmlformats.org/officeDocument/2006/relationships/image" Target="media/image27.jpe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endnotes" Target="endnotes.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emf"/><Relationship Id="rId28" Type="http://schemas.openxmlformats.org/officeDocument/2006/relationships/oleObject" Target="embeddings/oleObject6.bin"/><Relationship Id="rId27" Type="http://schemas.openxmlformats.org/officeDocument/2006/relationships/image" Target="media/image12.emf"/><Relationship Id="rId26" Type="http://schemas.openxmlformats.org/officeDocument/2006/relationships/oleObject" Target="embeddings/oleObject5.bin"/><Relationship Id="rId25" Type="http://schemas.openxmlformats.org/officeDocument/2006/relationships/image" Target="media/image11.emf"/><Relationship Id="rId24" Type="http://schemas.openxmlformats.org/officeDocument/2006/relationships/oleObject" Target="embeddings/oleObject4.bin"/><Relationship Id="rId23" Type="http://schemas.openxmlformats.org/officeDocument/2006/relationships/image" Target="media/image10.emf"/><Relationship Id="rId22" Type="http://schemas.openxmlformats.org/officeDocument/2006/relationships/oleObject" Target="embeddings/oleObject3.bin"/><Relationship Id="rId21" Type="http://schemas.openxmlformats.org/officeDocument/2006/relationships/image" Target="media/image9.e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1.bin"/><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105"/>
    <customShpInfo spid="_x0000_s1106"/>
    <customShpInfo spid="_x0000_s1107"/>
    <customShpInfo spid="_x0000_s1108"/>
    <customShpInfo spid="_x0000_s1109"/>
    <customShpInfo spid="_x0000_s1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106</Pages>
  <Words>25535</Words>
  <Characters>27142</Characters>
  <Lines>428</Lines>
  <Paragraphs>120</Paragraphs>
  <TotalTime>0</TotalTime>
  <ScaleCrop>false</ScaleCrop>
  <LinksUpToDate>false</LinksUpToDate>
  <CharactersWithSpaces>27316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羁绊</cp:lastModifiedBy>
  <cp:lastPrinted>2026-08-18T09:06:17Z</cp:lastPrinted>
  <dcterms:modified xsi:type="dcterms:W3CDTF">2026-08-18T09:12:38Z</dcterms:modified>
  <dc:title>附件2</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62487F1C89B84CD1B09892DE598C221C_13</vt:lpwstr>
  </property>
  <property fmtid="{D5CDD505-2E9C-101B-9397-08002B2CF9AE}" pid="4" name="KSOTemplateDocerSaveRecord">
    <vt:lpwstr>eyJoZGlkIjoiMDQzNWFmYmQzMzUwZTAwYTQxZTk2M2UxMDFkMTNmMWYiLCJ1c2VySWQiOiIyNjM5MzU3NjUifQ==</vt:lpwstr>
  </property>
</Properties>
</file>