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E63B77"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 w14:paraId="3E89E0CC"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 w14:paraId="43C470E3"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 w14:paraId="7A785ADC">
      <w:pPr>
        <w:spacing w:before="120" w:after="120" w:line="480" w:lineRule="auto"/>
        <w:ind w:firstLine="883"/>
        <w:jc w:val="center"/>
        <w:outlineLvl w:val="0"/>
        <w:rPr>
          <w:rFonts w:ascii="仿宋_GB2312" w:hAnsi="Arial"/>
          <w:b/>
          <w:sz w:val="44"/>
          <w:szCs w:val="44"/>
        </w:rPr>
      </w:pPr>
      <w:bookmarkStart w:id="0" w:name="_Toc24862"/>
      <w:bookmarkStart w:id="1" w:name="_Toc56443217"/>
      <w:bookmarkStart w:id="2" w:name="_Toc56442937"/>
      <w:r>
        <w:rPr>
          <w:rFonts w:hint="eastAsia" w:ascii="仿宋_GB2312" w:hAnsi="Arial"/>
          <w:b/>
          <w:sz w:val="44"/>
          <w:szCs w:val="44"/>
        </w:rPr>
        <w:t>财政项目支出绩效自评报告</w:t>
      </w:r>
      <w:bookmarkEnd w:id="0"/>
      <w:bookmarkEnd w:id="1"/>
      <w:bookmarkEnd w:id="2"/>
    </w:p>
    <w:p w14:paraId="0C6CFA13"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 w14:paraId="010EE9B0"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 w14:paraId="5AF3459C"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 w14:paraId="520553AC"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 w14:paraId="410F7790"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 w14:paraId="188BF7DC"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 w14:paraId="77701070"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 w14:paraId="4953255A">
      <w:pPr>
        <w:spacing w:line="480" w:lineRule="auto"/>
        <w:ind w:firstLine="882" w:firstLineChars="441"/>
        <w:jc w:val="left"/>
        <w:rPr>
          <w:rFonts w:hint="eastAsia" w:ascii="仿宋_GB2312" w:hAnsi="Times New Roman" w:eastAsia="宋体" w:cs="Times New Roman"/>
          <w:kern w:val="0"/>
          <w:sz w:val="32"/>
          <w:szCs w:val="32"/>
          <w:lang w:eastAsia="zh-CN" w:bidi="en-US"/>
        </w:rPr>
      </w:pPr>
      <w:r>
        <w:rPr>
          <w:rFonts w:ascii="宋体" w:hAnsi="宋体" w:eastAsia="宋体" w:cs="宋体"/>
          <w:sz w:val="20"/>
          <w:u w:val="none"/>
        </w:rPr>
        <w:t>项目名称：</w:t>
      </w:r>
      <w:r>
        <w:rPr>
          <w:rFonts w:hint="eastAsia" w:ascii="宋体" w:hAnsi="宋体" w:eastAsia="宋体" w:cs="宋体"/>
          <w:sz w:val="20"/>
          <w:u w:val="none"/>
          <w:lang w:val="en-US" w:eastAsia="zh-CN"/>
        </w:rPr>
        <w:t xml:space="preserve"> 凤泉区人民医院综合楼项目</w:t>
      </w:r>
    </w:p>
    <w:p w14:paraId="5D98CDB4">
      <w:pPr>
        <w:spacing w:line="480" w:lineRule="auto"/>
        <w:ind w:firstLine="882" w:firstLineChars="441"/>
        <w:jc w:val="left"/>
        <w:rPr>
          <w:rFonts w:hint="eastAsia" w:ascii="仿宋_GB2312" w:hAnsi="Times New Roman" w:eastAsia="宋体" w:cs="Times New Roman"/>
          <w:kern w:val="0"/>
          <w:sz w:val="32"/>
          <w:szCs w:val="32"/>
          <w:lang w:eastAsia="zh-CN" w:bidi="en-US"/>
        </w:rPr>
      </w:pPr>
      <w:r>
        <w:rPr>
          <w:rFonts w:ascii="宋体" w:hAnsi="宋体" w:eastAsia="宋体" w:cs="宋体"/>
          <w:sz w:val="20"/>
          <w:u w:val="none"/>
        </w:rPr>
        <w:t>项目单位：</w:t>
      </w:r>
      <w:r>
        <w:rPr>
          <w:rFonts w:hint="eastAsia" w:ascii="宋体" w:hAnsi="宋体" w:eastAsia="宋体" w:cs="宋体"/>
          <w:sz w:val="20"/>
          <w:u w:val="none"/>
          <w:lang w:val="en-US" w:eastAsia="zh-CN"/>
        </w:rPr>
        <w:t xml:space="preserve"> 新乡市凤泉区人民医院</w:t>
      </w:r>
    </w:p>
    <w:p w14:paraId="193A5075">
      <w:pPr>
        <w:spacing w:line="480" w:lineRule="auto"/>
        <w:ind w:firstLine="882" w:firstLineChars="441"/>
        <w:jc w:val="left"/>
        <w:rPr>
          <w:rFonts w:hint="eastAsia" w:ascii="仿宋_GB2312" w:hAnsi="Times New Roman" w:eastAsia="宋体" w:cs="Times New Roman"/>
          <w:kern w:val="0"/>
          <w:sz w:val="32"/>
          <w:szCs w:val="32"/>
          <w:lang w:eastAsia="zh-CN" w:bidi="en-US"/>
        </w:rPr>
      </w:pPr>
      <w:r>
        <w:rPr>
          <w:rFonts w:ascii="宋体" w:hAnsi="宋体" w:eastAsia="宋体" w:cs="宋体"/>
          <w:sz w:val="20"/>
          <w:u w:val="none"/>
        </w:rPr>
        <w:t>主管部门：</w:t>
      </w:r>
      <w:r>
        <w:rPr>
          <w:rFonts w:hint="eastAsia" w:ascii="宋体" w:hAnsi="宋体" w:eastAsia="宋体" w:cs="宋体"/>
          <w:sz w:val="20"/>
          <w:u w:val="none"/>
          <w:lang w:val="en-US" w:eastAsia="zh-CN"/>
        </w:rPr>
        <w:t xml:space="preserve"> 新乡市卫生健康委员会</w:t>
      </w:r>
    </w:p>
    <w:p w14:paraId="05EB72DA"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 w14:paraId="2AA73256"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 w14:paraId="087589EC"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ascii="宋体" w:hAnsi="宋体" w:eastAsia="宋体" w:cs="宋体"/>
          <w:sz w:val="20"/>
          <w:u w:val="none"/>
        </w:rPr>
        <w:t>202</w:t>
      </w:r>
      <w:r>
        <w:rPr>
          <w:rFonts w:hint="eastAsia" w:ascii="宋体" w:hAnsi="宋体" w:eastAsia="宋体" w:cs="宋体"/>
          <w:sz w:val="20"/>
          <w:u w:val="none"/>
          <w:lang w:val="en-US" w:eastAsia="zh-CN"/>
        </w:rPr>
        <w:t>4</w:t>
      </w:r>
      <w:r>
        <w:rPr>
          <w:rFonts w:ascii="宋体" w:hAnsi="宋体" w:eastAsia="宋体" w:cs="宋体"/>
          <w:sz w:val="20"/>
          <w:u w:val="none"/>
        </w:rPr>
        <w:t>年</w:t>
      </w:r>
      <w:r>
        <w:rPr>
          <w:rFonts w:hint="eastAsia" w:ascii="宋体" w:hAnsi="宋体" w:eastAsia="宋体" w:cs="宋体"/>
          <w:sz w:val="20"/>
          <w:u w:val="none"/>
          <w:lang w:val="en-US" w:eastAsia="zh-CN"/>
        </w:rPr>
        <w:t>12</w:t>
      </w:r>
      <w:r>
        <w:rPr>
          <w:rFonts w:ascii="宋体" w:hAnsi="宋体" w:eastAsia="宋体" w:cs="宋体"/>
          <w:sz w:val="20"/>
          <w:u w:val="none"/>
        </w:rPr>
        <w:t>月</w:t>
      </w:r>
    </w:p>
    <w:p w14:paraId="271B8F16">
      <w:pPr>
        <w:pStyle w:val="24"/>
        <w:jc w:val="both"/>
      </w:pPr>
    </w:p>
    <w:p w14:paraId="09126959">
      <w:pPr>
        <w:ind w:firstLine="0" w:firstLineChars="0"/>
        <w:rPr>
          <w:szCs w:val="44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 w14:paraId="68EE04FA">
      <w:pPr>
        <w:pStyle w:val="18"/>
      </w:pPr>
      <w:bookmarkStart w:id="3" w:name="_Toc20727"/>
      <w:bookmarkStart w:id="4" w:name="_Toc56442938"/>
      <w:bookmarkStart w:id="5" w:name="_Toc56442880"/>
      <w:r>
        <w:rPr>
          <w:rFonts w:hint="eastAsia"/>
        </w:rPr>
        <w:t>一、项目基本情况</w:t>
      </w:r>
      <w:bookmarkEnd w:id="3"/>
      <w:bookmarkEnd w:id="4"/>
      <w:bookmarkEnd w:id="5"/>
    </w:p>
    <w:p w14:paraId="7F082E10">
      <w:pPr>
        <w:pStyle w:val="22"/>
        <w:ind w:left="199" w:leftChars="71"/>
      </w:pPr>
      <w:bookmarkStart w:id="6" w:name="_Toc56442881"/>
      <w:bookmarkStart w:id="7" w:name="_Toc11153"/>
      <w:bookmarkStart w:id="8" w:name="_Toc56442939"/>
      <w:r>
        <w:rPr>
          <w:rFonts w:hint="eastAsia"/>
        </w:rPr>
        <w:t>（一）项目</w:t>
      </w:r>
      <w:bookmarkEnd w:id="6"/>
      <w:bookmarkEnd w:id="7"/>
      <w:bookmarkEnd w:id="8"/>
      <w:r>
        <w:rPr>
          <w:rFonts w:hint="eastAsia"/>
        </w:rPr>
        <w:t>概况</w:t>
      </w:r>
    </w:p>
    <w:p w14:paraId="1916EFF1">
      <w:pPr>
        <w:pStyle w:val="22"/>
        <w:spacing w:line="360" w:lineRule="auto"/>
        <w:ind w:left="199" w:leftChars="71" w:firstLine="560" w:firstLineChars="200"/>
        <w:rPr>
          <w:rFonts w:hint="eastAsia" w:ascii="仿宋" w:hAnsi="仿宋" w:eastAsia="仿宋" w:cs="仿宋"/>
          <w:b w:val="0"/>
          <w:bCs w:val="0"/>
        </w:rPr>
      </w:pPr>
      <w:bookmarkStart w:id="9" w:name="_Toc5633"/>
      <w:bookmarkStart w:id="10" w:name="_Toc56442882"/>
      <w:bookmarkStart w:id="11" w:name="_Toc56442940"/>
      <w:r>
        <w:rPr>
          <w:rFonts w:hint="eastAsia" w:ascii="仿宋" w:hAnsi="仿宋" w:eastAsia="仿宋" w:cs="仿宋"/>
          <w:b w:val="0"/>
          <w:bCs w:val="0"/>
        </w:rPr>
        <w:t>项目规划用地面积约 20,954.16m²，规划建设一栋 12 层综合楼，两层地下室和室外配套设施。总建筑面积 27,548.70m²，其中，地上建筑面积 18,207.36m²，地下建筑面积 9,341.34m²。</w:t>
      </w:r>
    </w:p>
    <w:p w14:paraId="416D7207">
      <w:pPr>
        <w:pStyle w:val="22"/>
        <w:spacing w:line="360" w:lineRule="auto"/>
        <w:ind w:left="199" w:leftChars="71" w:firstLine="560" w:firstLineChars="200"/>
        <w:rPr>
          <w:rFonts w:hint="eastAsia" w:ascii="华文宋体" w:hAnsi="华文宋体" w:eastAsia="仿宋" w:cs="华文宋体"/>
          <w:b w:val="0"/>
          <w:bCs w:val="0"/>
          <w:lang w:eastAsia="zh-CN"/>
        </w:rPr>
      </w:pPr>
      <w:r>
        <w:rPr>
          <w:rFonts w:hint="eastAsia" w:ascii="仿宋" w:hAnsi="仿宋" w:eastAsia="仿宋" w:cs="仿宋"/>
          <w:b w:val="0"/>
          <w:bCs w:val="0"/>
        </w:rPr>
        <w:t>建设内容主要有综合楼一栋，其中 1~2 层为急救中心和病房门厅，3~10 层为病房区，11~12 层为业务管理用房；地下室，包含地下一层机动车库，地下一层非机动车库，地下二层机动车库和地下站房区，共设机动车停车位 216 个，非机动车停车位 165 个。项目建成后，可新提供床位 300 张</w:t>
      </w:r>
      <w:r>
        <w:rPr>
          <w:rFonts w:hint="eastAsia" w:ascii="仿宋" w:hAnsi="仿宋" w:eastAsia="仿宋" w:cs="仿宋"/>
          <w:b w:val="0"/>
          <w:bCs w:val="0"/>
          <w:lang w:eastAsia="zh-CN"/>
        </w:rPr>
        <w:t>。</w:t>
      </w:r>
    </w:p>
    <w:p w14:paraId="0A7E9426">
      <w:pPr>
        <w:pStyle w:val="22"/>
        <w:ind w:left="199" w:leftChars="71"/>
      </w:pPr>
      <w:r>
        <w:rPr>
          <w:rFonts w:hint="eastAsia"/>
        </w:rPr>
        <w:t>（二）项目预算安排及使用情况</w:t>
      </w:r>
      <w:bookmarkEnd w:id="9"/>
      <w:bookmarkEnd w:id="10"/>
      <w:bookmarkEnd w:id="11"/>
      <w:r>
        <w:rPr>
          <w:rFonts w:hint="eastAsia"/>
        </w:rPr>
        <w:t xml:space="preserve"> </w:t>
      </w:r>
    </w:p>
    <w:p w14:paraId="05E678C3">
      <w:pPr>
        <w:pStyle w:val="13"/>
        <w:ind w:firstLine="482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表1-2-1 年度预算安排及使用情况统计表</w:t>
      </w:r>
    </w:p>
    <w:p w14:paraId="057AB4B3">
      <w:pPr>
        <w:pStyle w:val="13"/>
        <w:ind w:firstLine="482"/>
        <w:jc w:val="center"/>
        <w:rPr>
          <w:b/>
          <w:bCs/>
          <w:sz w:val="24"/>
          <w:szCs w:val="24"/>
        </w:rPr>
      </w:pPr>
      <w:r>
        <w:rPr>
          <w:rFonts w:ascii="宋体" w:hAnsi="宋体" w:eastAsia="宋体" w:cs="宋体"/>
          <w:sz w:val="20"/>
          <w:u w:val="none"/>
        </w:rPr>
        <w:t xml:space="preserve">                                           单位：万元 </w:t>
      </w:r>
    </w:p>
    <w:tbl>
      <w:tblPr>
        <w:tblStyle w:val="8"/>
        <w:tblW w:w="4696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0"/>
        <w:gridCol w:w="1640"/>
        <w:gridCol w:w="1639"/>
        <w:gridCol w:w="1821"/>
        <w:gridCol w:w="1602"/>
      </w:tblGrid>
      <w:tr w14:paraId="6F7471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B0BBAF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20276D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年初预算数</w:t>
            </w:r>
          </w:p>
        </w:tc>
        <w:tc>
          <w:tcPr>
            <w:tcW w:w="10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A4C6BD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全年预算数</w:t>
            </w:r>
          </w:p>
        </w:tc>
        <w:tc>
          <w:tcPr>
            <w:tcW w:w="11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88CD0C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全年执行数</w:t>
            </w:r>
          </w:p>
        </w:tc>
        <w:tc>
          <w:tcPr>
            <w:tcW w:w="100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85C123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执行率</w:t>
            </w:r>
          </w:p>
        </w:tc>
      </w:tr>
      <w:tr w14:paraId="28D09F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B5B2D6">
            <w:pPr>
              <w:widowControl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年度资金总额：</w:t>
            </w:r>
          </w:p>
        </w:tc>
        <w:tc>
          <w:tcPr>
            <w:tcW w:w="10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A27F0E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0"/>
                <w:u w:val="none"/>
                <w:lang w:val="en-US" w:eastAsia="zh-CN"/>
              </w:rPr>
              <w:t>8500</w:t>
            </w:r>
            <w:r>
              <w:rPr>
                <w:rFonts w:ascii="宋体" w:hAnsi="宋体" w:eastAsia="宋体" w:cs="宋体"/>
                <w:sz w:val="20"/>
                <w:u w:val="none"/>
              </w:rPr>
              <w:t>.00　</w:t>
            </w:r>
          </w:p>
        </w:tc>
        <w:tc>
          <w:tcPr>
            <w:tcW w:w="10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D1F7C4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0"/>
                <w:u w:val="none"/>
                <w:lang w:val="en-US" w:eastAsia="zh-CN"/>
              </w:rPr>
              <w:t>8500</w:t>
            </w:r>
            <w:r>
              <w:rPr>
                <w:rFonts w:ascii="宋体" w:hAnsi="宋体" w:eastAsia="宋体" w:cs="宋体"/>
                <w:sz w:val="20"/>
                <w:u w:val="none"/>
              </w:rPr>
              <w:t>.00</w:t>
            </w:r>
            <w:r>
              <w:rPr>
                <w:rFonts w:ascii="宋体" w:hAnsi="宋体" w:eastAsia="宋体" w:cs="宋体"/>
                <w:color w:val="FF0000"/>
                <w:sz w:val="20"/>
                <w:u w:val="none"/>
              </w:rPr>
              <w:t>　</w:t>
            </w:r>
          </w:p>
        </w:tc>
        <w:tc>
          <w:tcPr>
            <w:tcW w:w="11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C8DB14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u w:val="none"/>
                <w:lang w:val="en-US" w:eastAsia="zh-CN"/>
              </w:rPr>
              <w:t>8300</w:t>
            </w:r>
            <w:r>
              <w:rPr>
                <w:rFonts w:ascii="宋体" w:hAnsi="宋体" w:eastAsia="宋体" w:cs="宋体"/>
                <w:color w:val="auto"/>
                <w:sz w:val="20"/>
                <w:u w:val="none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0"/>
                <w:u w:val="none"/>
                <w:lang w:val="en-US" w:eastAsia="zh-CN"/>
              </w:rPr>
              <w:t>0</w:t>
            </w:r>
            <w:r>
              <w:rPr>
                <w:rFonts w:ascii="宋体" w:hAnsi="宋体" w:eastAsia="宋体" w:cs="宋体"/>
                <w:color w:val="auto"/>
                <w:sz w:val="20"/>
                <w:u w:val="none"/>
              </w:rPr>
              <w:t>0　</w:t>
            </w:r>
          </w:p>
        </w:tc>
        <w:tc>
          <w:tcPr>
            <w:tcW w:w="10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2A50BD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0"/>
                <w:u w:val="none"/>
                <w:lang w:val="en-US" w:eastAsia="zh-CN"/>
              </w:rPr>
              <w:t>97</w:t>
            </w:r>
            <w:r>
              <w:rPr>
                <w:rFonts w:ascii="宋体" w:hAnsi="宋体" w:eastAsia="宋体" w:cs="宋体"/>
                <w:sz w:val="20"/>
                <w:u w:val="none"/>
              </w:rPr>
              <w:t>.</w:t>
            </w:r>
            <w:r>
              <w:rPr>
                <w:rFonts w:hint="eastAsia" w:ascii="宋体" w:hAnsi="宋体" w:eastAsia="宋体" w:cs="宋体"/>
                <w:sz w:val="20"/>
                <w:u w:val="none"/>
                <w:lang w:val="en-US" w:eastAsia="zh-CN"/>
              </w:rPr>
              <w:t>65</w:t>
            </w:r>
            <w:r>
              <w:rPr>
                <w:rFonts w:ascii="宋体" w:hAnsi="宋体" w:eastAsia="宋体" w:cs="宋体"/>
                <w:sz w:val="20"/>
                <w:u w:val="none"/>
              </w:rPr>
              <w:t>%</w:t>
            </w:r>
          </w:p>
        </w:tc>
      </w:tr>
      <w:tr w14:paraId="525DBB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7A1A3B">
            <w:pPr>
              <w:widowControl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政府预算资金</w:t>
            </w:r>
          </w:p>
        </w:tc>
        <w:tc>
          <w:tcPr>
            <w:tcW w:w="10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B11D6E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0"/>
                <w:u w:val="none"/>
                <w:lang w:val="en-US" w:eastAsia="zh-CN"/>
              </w:rPr>
              <w:t>8500</w:t>
            </w:r>
            <w:r>
              <w:rPr>
                <w:rFonts w:ascii="宋体" w:hAnsi="宋体" w:eastAsia="宋体" w:cs="宋体"/>
                <w:sz w:val="20"/>
                <w:u w:val="none"/>
              </w:rPr>
              <w:t>.00　</w:t>
            </w:r>
          </w:p>
        </w:tc>
        <w:tc>
          <w:tcPr>
            <w:tcW w:w="10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4C059C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0"/>
                <w:u w:val="none"/>
                <w:lang w:val="en-US" w:eastAsia="zh-CN"/>
              </w:rPr>
              <w:t>8500</w:t>
            </w:r>
            <w:r>
              <w:rPr>
                <w:rFonts w:ascii="宋体" w:hAnsi="宋体" w:eastAsia="宋体" w:cs="宋体"/>
                <w:sz w:val="20"/>
                <w:u w:val="none"/>
              </w:rPr>
              <w:t>.00</w:t>
            </w:r>
            <w:r>
              <w:rPr>
                <w:rFonts w:ascii="宋体" w:hAnsi="宋体" w:eastAsia="宋体" w:cs="宋体"/>
                <w:color w:val="FF0000"/>
                <w:sz w:val="20"/>
                <w:u w:val="none"/>
              </w:rPr>
              <w:t>　</w:t>
            </w:r>
          </w:p>
        </w:tc>
        <w:tc>
          <w:tcPr>
            <w:tcW w:w="11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D33EE7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u w:val="none"/>
                <w:lang w:val="en-US" w:eastAsia="zh-CN"/>
              </w:rPr>
              <w:t>8300</w:t>
            </w:r>
            <w:r>
              <w:rPr>
                <w:rFonts w:ascii="宋体" w:hAnsi="宋体" w:eastAsia="宋体" w:cs="宋体"/>
                <w:color w:val="auto"/>
                <w:sz w:val="20"/>
                <w:u w:val="none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0"/>
                <w:u w:val="none"/>
                <w:lang w:val="en-US" w:eastAsia="zh-CN"/>
              </w:rPr>
              <w:t>0</w:t>
            </w:r>
            <w:r>
              <w:rPr>
                <w:rFonts w:ascii="宋体" w:hAnsi="宋体" w:eastAsia="宋体" w:cs="宋体"/>
                <w:color w:val="auto"/>
                <w:sz w:val="20"/>
                <w:u w:val="none"/>
              </w:rPr>
              <w:t>0</w:t>
            </w:r>
          </w:p>
        </w:tc>
        <w:tc>
          <w:tcPr>
            <w:tcW w:w="10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D5F1E9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0"/>
                <w:u w:val="none"/>
                <w:lang w:val="en-US" w:eastAsia="zh-CN"/>
              </w:rPr>
              <w:t>97</w:t>
            </w:r>
            <w:r>
              <w:rPr>
                <w:rFonts w:ascii="宋体" w:hAnsi="宋体" w:eastAsia="宋体" w:cs="宋体"/>
                <w:sz w:val="20"/>
                <w:u w:val="none"/>
              </w:rPr>
              <w:t>.</w:t>
            </w:r>
            <w:r>
              <w:rPr>
                <w:rFonts w:hint="eastAsia" w:ascii="宋体" w:hAnsi="宋体" w:eastAsia="宋体" w:cs="宋体"/>
                <w:sz w:val="20"/>
                <w:u w:val="none"/>
                <w:lang w:val="en-US" w:eastAsia="zh-CN"/>
              </w:rPr>
              <w:t>65</w:t>
            </w:r>
            <w:r>
              <w:rPr>
                <w:rFonts w:ascii="宋体" w:hAnsi="宋体" w:eastAsia="宋体" w:cs="宋体"/>
                <w:sz w:val="20"/>
                <w:u w:val="none"/>
              </w:rPr>
              <w:t>%</w:t>
            </w:r>
          </w:p>
        </w:tc>
      </w:tr>
      <w:tr w14:paraId="114ECB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A5F000">
            <w:pPr>
              <w:widowControl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10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1A6438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0"/>
                <w:u w:val="none"/>
              </w:rPr>
              <w:t>0.00　</w:t>
            </w:r>
          </w:p>
        </w:tc>
        <w:tc>
          <w:tcPr>
            <w:tcW w:w="10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AB4428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0"/>
                <w:u w:val="none"/>
              </w:rPr>
              <w:t>0.00　</w:t>
            </w:r>
          </w:p>
        </w:tc>
        <w:tc>
          <w:tcPr>
            <w:tcW w:w="11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2FB2C1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0"/>
                <w:u w:val="none"/>
              </w:rPr>
              <w:t>0.00　</w:t>
            </w:r>
          </w:p>
        </w:tc>
        <w:tc>
          <w:tcPr>
            <w:tcW w:w="100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3EDA7E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0"/>
                <w:u w:val="none"/>
              </w:rPr>
              <w:t>0.00%</w:t>
            </w:r>
          </w:p>
        </w:tc>
      </w:tr>
      <w:tr w14:paraId="27BFDB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866541">
            <w:pPr>
              <w:widowControl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10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D5CF44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0"/>
                <w:u w:val="none"/>
              </w:rPr>
              <w:t>0.00</w:t>
            </w:r>
          </w:p>
        </w:tc>
        <w:tc>
          <w:tcPr>
            <w:tcW w:w="10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A7A966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0"/>
                <w:u w:val="none"/>
              </w:rPr>
              <w:t>0.00</w:t>
            </w:r>
          </w:p>
        </w:tc>
        <w:tc>
          <w:tcPr>
            <w:tcW w:w="11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87BE8B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0"/>
                <w:u w:val="none"/>
              </w:rPr>
              <w:t>0.00</w:t>
            </w:r>
          </w:p>
        </w:tc>
        <w:tc>
          <w:tcPr>
            <w:tcW w:w="100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21CD60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0"/>
                <w:u w:val="none"/>
              </w:rPr>
              <w:t>0.00%</w:t>
            </w:r>
          </w:p>
        </w:tc>
      </w:tr>
    </w:tbl>
    <w:p w14:paraId="4B6AA0F8">
      <w:pPr>
        <w:pStyle w:val="22"/>
        <w:ind w:left="199" w:leftChars="71"/>
      </w:pPr>
      <w:bookmarkStart w:id="12" w:name="_Toc15851"/>
      <w:bookmarkStart w:id="13" w:name="_Toc56442883"/>
      <w:bookmarkStart w:id="14" w:name="_Toc56442941"/>
      <w:r>
        <w:rPr>
          <w:rFonts w:hint="eastAsia"/>
        </w:rPr>
        <w:t>（三）</w:t>
      </w:r>
      <w:bookmarkEnd w:id="12"/>
      <w:bookmarkEnd w:id="13"/>
      <w:bookmarkEnd w:id="14"/>
      <w:r>
        <w:rPr>
          <w:rFonts w:hint="eastAsia"/>
        </w:rPr>
        <w:t>资金管理情况表</w:t>
      </w:r>
    </w:p>
    <w:p w14:paraId="764233C2">
      <w:pPr>
        <w:pStyle w:val="13"/>
        <w:ind w:firstLine="482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表1-2-2 资金管理情况表</w:t>
      </w:r>
    </w:p>
    <w:tbl>
      <w:tblPr>
        <w:tblStyle w:val="8"/>
        <w:tblW w:w="8166" w:type="dxa"/>
        <w:tblInd w:w="-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8"/>
        <w:gridCol w:w="3862"/>
        <w:gridCol w:w="3106"/>
      </w:tblGrid>
      <w:tr w14:paraId="014356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643B3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664D5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情况说明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34BB9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存在问题和改进措施</w:t>
            </w:r>
          </w:p>
        </w:tc>
      </w:tr>
      <w:tr w14:paraId="58424E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DDE46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安排科学性</w:t>
            </w:r>
          </w:p>
        </w:tc>
        <w:tc>
          <w:tcPr>
            <w:tcW w:w="3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7C601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0"/>
                <w:u w:val="none"/>
              </w:rPr>
              <w:t>科学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27CCD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1350F5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5B02E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拨付合规性</w:t>
            </w:r>
          </w:p>
        </w:tc>
        <w:tc>
          <w:tcPr>
            <w:tcW w:w="3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77C07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0"/>
                <w:u w:val="none"/>
              </w:rPr>
              <w:t>合规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39953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0CC4C2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897BE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使用规范性</w:t>
            </w:r>
          </w:p>
        </w:tc>
        <w:tc>
          <w:tcPr>
            <w:tcW w:w="3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C8015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0"/>
                <w:u w:val="none"/>
              </w:rPr>
              <w:t>规范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14E30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52E8BF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4" w:hRule="atLeast"/>
        </w:trPr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44EA9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预算绩效管理情况</w:t>
            </w:r>
          </w:p>
        </w:tc>
        <w:tc>
          <w:tcPr>
            <w:tcW w:w="3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E8947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0"/>
                <w:u w:val="none"/>
              </w:rPr>
              <w:t>良好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8968F">
            <w:pPr>
              <w:widowControl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066ECC32">
      <w:pPr>
        <w:pStyle w:val="22"/>
        <w:ind w:left="199" w:leftChars="71"/>
      </w:pPr>
      <w:r>
        <w:rPr>
          <w:rFonts w:hint="eastAsia"/>
        </w:rPr>
        <w:t>（四）项目绩效目标</w:t>
      </w:r>
    </w:p>
    <w:p w14:paraId="63E63D27">
      <w:pPr>
        <w:pStyle w:val="15"/>
        <w:ind w:leftChars="0"/>
      </w:pPr>
      <w:r>
        <w:rPr>
          <w:rFonts w:hint="eastAsia"/>
        </w:rPr>
        <w:t>1. 项目年度绩效目标</w:t>
      </w:r>
    </w:p>
    <w:p w14:paraId="55B060A3">
      <w:pPr>
        <w:pStyle w:val="22"/>
        <w:ind w:left="0" w:leftChars="0" w:firstLine="560" w:firstLineChars="200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（1）完成凤泉区人民医院综合楼项目地下室工程施工建设面积9341.34㎡；</w:t>
      </w:r>
    </w:p>
    <w:p w14:paraId="575EC267">
      <w:pPr>
        <w:pStyle w:val="22"/>
        <w:ind w:left="0" w:leftChars="0" w:firstLine="560" w:firstLineChars="200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（2）完成凤泉区人民医院综合楼项目主体工程施工建设面积18207.36㎡；</w:t>
      </w:r>
    </w:p>
    <w:p w14:paraId="48ED4D8A">
      <w:pPr>
        <w:pStyle w:val="22"/>
        <w:ind w:left="0" w:leftChars="0" w:firstLine="560" w:firstLineChars="200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（3）凤泉区人民医院综合楼项目二次结构施工完成率达到90%。</w:t>
      </w:r>
    </w:p>
    <w:p w14:paraId="2C28ACDA">
      <w:pPr>
        <w:pStyle w:val="15"/>
        <w:ind w:left="199" w:leftChars="71"/>
      </w:pPr>
      <w:bookmarkStart w:id="15" w:name="_Toc56442942"/>
      <w:bookmarkStart w:id="16" w:name="_Toc56442884"/>
      <w:r>
        <w:rPr>
          <w:rFonts w:hint="eastAsia"/>
        </w:rPr>
        <w:t>2.项目年度绩效目标完成情况</w:t>
      </w:r>
      <w:bookmarkEnd w:id="15"/>
      <w:bookmarkEnd w:id="16"/>
    </w:p>
    <w:p w14:paraId="7984195C">
      <w:pPr>
        <w:pStyle w:val="22"/>
        <w:ind w:left="199" w:leftChars="71" w:firstLine="560" w:firstLineChars="200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截至2024年12月，已完成：</w:t>
      </w:r>
    </w:p>
    <w:p w14:paraId="752892A2">
      <w:pPr>
        <w:pStyle w:val="22"/>
        <w:ind w:left="0" w:leftChars="0" w:firstLine="560" w:firstLineChars="200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highlight w:val="none"/>
          <w:lang w:val="en-US" w:eastAsia="zh-CN" w:bidi="ar-SA"/>
        </w:rPr>
      </w:pPr>
      <w:bookmarkStart w:id="17" w:name="_Toc56442885"/>
      <w:bookmarkStart w:id="18" w:name="_Toc56442943"/>
      <w:bookmarkStart w:id="19" w:name="_Toc20144"/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（1）完成凤泉区人民医院综合楼项目地下室工程施工建设面积9341.34㎡；</w:t>
      </w:r>
    </w:p>
    <w:p w14:paraId="11B78071">
      <w:pPr>
        <w:pStyle w:val="22"/>
        <w:ind w:left="0" w:leftChars="0" w:firstLine="560" w:firstLineChars="200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（2）完成凤泉区人民医院综合楼项目主体工程施工建设面积18207.36㎡；</w:t>
      </w:r>
    </w:p>
    <w:p w14:paraId="554B3D76">
      <w:pPr>
        <w:pStyle w:val="22"/>
        <w:ind w:left="0" w:leftChars="0" w:firstLine="560" w:firstLineChars="200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（3）凤泉区人民医院综合楼项目二次结构施工完成率达到90%。</w:t>
      </w:r>
    </w:p>
    <w:p w14:paraId="5EF67D13">
      <w:pPr>
        <w:pStyle w:val="18"/>
      </w:pPr>
      <w:r>
        <w:rPr>
          <w:rFonts w:hint="eastAsia"/>
        </w:rPr>
        <w:t>二、</w:t>
      </w:r>
      <w:bookmarkEnd w:id="17"/>
      <w:bookmarkEnd w:id="18"/>
      <w:bookmarkEnd w:id="19"/>
      <w:r>
        <w:rPr>
          <w:rFonts w:hint="eastAsia"/>
        </w:rPr>
        <w:t>总体评价结论和指标分析</w:t>
      </w:r>
    </w:p>
    <w:p w14:paraId="731CF153">
      <w:pPr>
        <w:pStyle w:val="22"/>
        <w:ind w:left="560"/>
      </w:pPr>
      <w:r>
        <w:rPr>
          <w:rFonts w:hint="eastAsia"/>
        </w:rPr>
        <w:t>（一）总体评价结论</w:t>
      </w:r>
    </w:p>
    <w:p w14:paraId="34C45CCE">
      <w:pPr>
        <w:pStyle w:val="13"/>
        <w:numPr>
          <w:ilvl w:val="0"/>
          <w:numId w:val="0"/>
        </w:numPr>
        <w:ind w:firstLine="560" w:firstLineChars="200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综合考虑资金管理、产出、效果等各方面因素，通过数据采集及分析，最终评分结果：凤泉区人民医院综合楼项目绩效自评价结果为:总得分99.7分，属于"优"。</w:t>
      </w:r>
    </w:p>
    <w:p w14:paraId="3DAB0223">
      <w:pPr>
        <w:pStyle w:val="22"/>
        <w:ind w:left="560"/>
      </w:pPr>
      <w:bookmarkStart w:id="20" w:name="_Toc56442944"/>
      <w:bookmarkStart w:id="21" w:name="_Toc2119"/>
      <w:bookmarkStart w:id="22" w:name="_Toc56442886"/>
      <w:r>
        <w:rPr>
          <w:rFonts w:hint="eastAsia"/>
        </w:rPr>
        <w:t>（二）指标分析</w:t>
      </w:r>
    </w:p>
    <w:bookmarkEnd w:id="20"/>
    <w:bookmarkEnd w:id="21"/>
    <w:bookmarkEnd w:id="22"/>
    <w:p w14:paraId="4100FA6E">
      <w:pPr>
        <w:pStyle w:val="13"/>
        <w:numPr>
          <w:ilvl w:val="0"/>
          <w:numId w:val="1"/>
        </w:numPr>
        <w:ind w:firstLine="560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成本指标</w:t>
      </w:r>
    </w:p>
    <w:p w14:paraId="5C68C4E8">
      <w:pPr>
        <w:pStyle w:val="13"/>
        <w:numPr>
          <w:ilvl w:val="0"/>
          <w:numId w:val="0"/>
        </w:numPr>
        <w:ind w:firstLine="560" w:firstLineChars="200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本年项目支出控制总额为经济成本三级指标，指标值≤8500万元，完成值8300万元，分值10分，得分10分。</w:t>
      </w:r>
    </w:p>
    <w:p w14:paraId="3A1110AA">
      <w:pPr>
        <w:pStyle w:val="13"/>
        <w:numPr>
          <w:ilvl w:val="0"/>
          <w:numId w:val="1"/>
        </w:numPr>
        <w:ind w:firstLine="560"/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产出指标</w:t>
      </w:r>
    </w:p>
    <w:p w14:paraId="1304B1E2">
      <w:pPr>
        <w:pStyle w:val="13"/>
        <w:numPr>
          <w:ilvl w:val="0"/>
          <w:numId w:val="2"/>
        </w:numPr>
        <w:ind w:firstLine="560" w:firstLineChars="200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综合楼建设面积为数量指标三级指标，指标值=18207.36㎡，完成值=18207.36㎡，分值3分，得分3分；</w:t>
      </w:r>
    </w:p>
    <w:p w14:paraId="76C8590F">
      <w:pPr>
        <w:pStyle w:val="13"/>
        <w:numPr>
          <w:ilvl w:val="0"/>
          <w:numId w:val="2"/>
        </w:numPr>
        <w:ind w:firstLine="560" w:firstLineChars="200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地下室建设面积为数量指标三级指标，指标值=9341.34㎡，完成值=9341.34㎡，分值3分，得分3分；</w:t>
      </w:r>
    </w:p>
    <w:p w14:paraId="6D093E8E">
      <w:pPr>
        <w:pStyle w:val="13"/>
        <w:numPr>
          <w:ilvl w:val="0"/>
          <w:numId w:val="2"/>
        </w:numPr>
        <w:ind w:firstLine="560" w:firstLineChars="200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二次结构施工完成率为数量指标三级指标，指标值=90%，完成值=90%，分值4分，得分4分；</w:t>
      </w:r>
    </w:p>
    <w:p w14:paraId="3D5451AF">
      <w:pPr>
        <w:pStyle w:val="13"/>
        <w:widowControl w:val="0"/>
        <w:numPr>
          <w:ilvl w:val="0"/>
          <w:numId w:val="0"/>
        </w:numPr>
        <w:spacing w:line="500" w:lineRule="exact"/>
        <w:ind w:firstLine="560" w:firstLineChars="200"/>
        <w:jc w:val="both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（4）竣工部分验收合格率为质量指标三级指标，指标值=100%，完成值=100%，分值10分，得分10分</w:t>
      </w:r>
      <w:bookmarkStart w:id="30" w:name="_GoBack"/>
      <w:bookmarkEnd w:id="30"/>
      <w:r>
        <w:rPr>
          <w:rFonts w:hint="eastAsia"/>
          <w:highlight w:val="none"/>
          <w:lang w:val="en-US" w:eastAsia="zh-CN"/>
        </w:rPr>
        <w:t>；</w:t>
      </w:r>
    </w:p>
    <w:p w14:paraId="487284D5">
      <w:pPr>
        <w:pStyle w:val="13"/>
        <w:widowControl w:val="0"/>
        <w:numPr>
          <w:ilvl w:val="0"/>
          <w:numId w:val="0"/>
        </w:numPr>
        <w:spacing w:line="500" w:lineRule="exact"/>
        <w:ind w:firstLine="560" w:firstLineChars="200"/>
        <w:jc w:val="both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（5）工程完工进度及时率为时效指标三级指标，指标值=100%，完成值=100%，分值10分，得分10分。</w:t>
      </w:r>
    </w:p>
    <w:p w14:paraId="4190DC08">
      <w:pPr>
        <w:pStyle w:val="13"/>
        <w:numPr>
          <w:ilvl w:val="0"/>
          <w:numId w:val="1"/>
        </w:numPr>
        <w:ind w:firstLine="560"/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效益指标</w:t>
      </w:r>
    </w:p>
    <w:p w14:paraId="6C59DD1A">
      <w:pPr>
        <w:pStyle w:val="13"/>
        <w:numPr>
          <w:ilvl w:val="0"/>
          <w:numId w:val="0"/>
        </w:numPr>
        <w:ind w:firstLine="560" w:firstLineChars="200"/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安全事故发生</w:t>
      </w:r>
      <w:r>
        <w:rPr>
          <w:rFonts w:hint="eastAsia"/>
          <w:highlight w:val="none"/>
          <w:lang w:val="en-US" w:eastAsia="zh-CN"/>
        </w:rPr>
        <w:t>为社会效益指标三级指标，指标值安全事故发生，完成值未发生，分值10分，得分30分。</w:t>
      </w:r>
    </w:p>
    <w:p w14:paraId="3BDC3FB7">
      <w:pPr>
        <w:pStyle w:val="18"/>
      </w:pPr>
      <w:bookmarkStart w:id="23" w:name="_Toc20132"/>
      <w:bookmarkStart w:id="24" w:name="_Toc56442948"/>
      <w:bookmarkStart w:id="25" w:name="_Toc56442890"/>
      <w:r>
        <w:rPr>
          <w:rFonts w:hint="eastAsia"/>
        </w:rPr>
        <w:t>三、存在的问题和建议</w:t>
      </w:r>
      <w:bookmarkEnd w:id="23"/>
      <w:bookmarkEnd w:id="24"/>
      <w:bookmarkEnd w:id="25"/>
    </w:p>
    <w:p w14:paraId="5A418775">
      <w:pPr>
        <w:pStyle w:val="22"/>
        <w:ind w:left="560"/>
      </w:pPr>
      <w:bookmarkStart w:id="26" w:name="_Toc19895"/>
      <w:bookmarkStart w:id="27" w:name="_Toc56442889"/>
      <w:bookmarkStart w:id="28" w:name="_Toc56442947"/>
      <w:r>
        <w:rPr>
          <w:rFonts w:hint="eastAsia"/>
        </w:rPr>
        <w:t>（一）存在的问题</w:t>
      </w:r>
      <w:bookmarkEnd w:id="26"/>
      <w:bookmarkEnd w:id="27"/>
      <w:bookmarkEnd w:id="28"/>
    </w:p>
    <w:p w14:paraId="05524F73">
      <w:pPr>
        <w:pStyle w:val="13"/>
        <w:ind w:firstLine="600" w:firstLineChars="300"/>
      </w:pPr>
      <w:r>
        <w:rPr>
          <w:rFonts w:ascii="宋体" w:hAnsi="宋体" w:eastAsia="宋体" w:cs="宋体"/>
          <w:sz w:val="20"/>
          <w:u w:val="none"/>
        </w:rPr>
        <w:t>无</w:t>
      </w:r>
    </w:p>
    <w:p w14:paraId="6AAEB991">
      <w:pPr>
        <w:pStyle w:val="22"/>
        <w:ind w:left="560"/>
      </w:pPr>
      <w:bookmarkStart w:id="29" w:name="_Toc21644"/>
      <w:r>
        <w:rPr>
          <w:rFonts w:hint="eastAsia"/>
        </w:rPr>
        <w:t>（二）改进建议</w:t>
      </w:r>
      <w:bookmarkEnd w:id="29"/>
    </w:p>
    <w:p w14:paraId="27195FF0">
      <w:pPr>
        <w:pStyle w:val="13"/>
        <w:ind w:firstLine="562"/>
        <w:rPr>
          <w:b/>
          <w:bCs/>
        </w:rPr>
      </w:pPr>
      <w:r>
        <w:rPr>
          <w:rFonts w:hint="eastAsia"/>
          <w:b/>
          <w:bCs/>
        </w:rPr>
        <w:t>1.对项目决策的建议</w:t>
      </w:r>
    </w:p>
    <w:p w14:paraId="1CC6BADF">
      <w:pPr>
        <w:pStyle w:val="13"/>
        <w:ind w:firstLine="600" w:firstLineChars="300"/>
      </w:pPr>
      <w:r>
        <w:rPr>
          <w:rFonts w:ascii="宋体" w:hAnsi="宋体" w:eastAsia="宋体" w:cs="宋体"/>
          <w:sz w:val="20"/>
          <w:u w:val="none"/>
        </w:rPr>
        <w:t>无</w:t>
      </w:r>
    </w:p>
    <w:p w14:paraId="46739F03">
      <w:pPr>
        <w:pStyle w:val="15"/>
        <w:ind w:left="560"/>
      </w:pPr>
      <w:r>
        <w:rPr>
          <w:rFonts w:hint="eastAsia"/>
        </w:rPr>
        <w:t>2.对预算安排及执行情况的建议</w:t>
      </w:r>
    </w:p>
    <w:p w14:paraId="15988A8D">
      <w:pPr>
        <w:pStyle w:val="13"/>
        <w:ind w:firstLine="142" w:firstLineChars="71"/>
      </w:pPr>
      <w:r>
        <w:rPr>
          <w:rFonts w:ascii="宋体" w:hAnsi="宋体" w:eastAsia="宋体" w:cs="宋体"/>
          <w:sz w:val="20"/>
          <w:u w:val="none"/>
        </w:rPr>
        <w:t xml:space="preserve">     无</w:t>
      </w:r>
    </w:p>
    <w:p w14:paraId="5D82F374">
      <w:pPr>
        <w:pStyle w:val="13"/>
        <w:ind w:firstLine="562"/>
        <w:rPr>
          <w:b/>
          <w:bCs/>
        </w:rPr>
      </w:pPr>
      <w:r>
        <w:rPr>
          <w:rFonts w:hint="eastAsia"/>
          <w:b/>
          <w:bCs/>
        </w:rPr>
        <w:t>3.对资金管理的建议</w:t>
      </w:r>
    </w:p>
    <w:p w14:paraId="48C8A7FF">
      <w:pPr>
        <w:pStyle w:val="13"/>
        <w:ind w:firstLine="560"/>
      </w:pPr>
      <w:r>
        <w:rPr>
          <w:rFonts w:ascii="宋体" w:hAnsi="宋体" w:eastAsia="宋体" w:cs="宋体"/>
          <w:sz w:val="20"/>
          <w:u w:val="none"/>
        </w:rPr>
        <w:t xml:space="preserve">   无</w:t>
      </w:r>
    </w:p>
    <w:p w14:paraId="623DB449">
      <w:pPr>
        <w:pStyle w:val="13"/>
        <w:ind w:firstLine="562"/>
        <w:rPr>
          <w:b/>
          <w:bCs/>
        </w:rPr>
      </w:pPr>
      <w:r>
        <w:rPr>
          <w:rFonts w:hint="eastAsia"/>
          <w:b/>
          <w:bCs/>
        </w:rPr>
        <w:t>4.对项目管理的建议</w:t>
      </w:r>
    </w:p>
    <w:p w14:paraId="01FB133E">
      <w:pPr>
        <w:pStyle w:val="13"/>
        <w:ind w:firstLine="742" w:firstLineChars="371"/>
      </w:pPr>
      <w:r>
        <w:rPr>
          <w:rFonts w:ascii="宋体" w:hAnsi="宋体" w:eastAsia="宋体" w:cs="宋体"/>
          <w:sz w:val="20"/>
          <w:u w:val="none"/>
        </w:rPr>
        <w:t>无</w:t>
      </w:r>
    </w:p>
    <w:p w14:paraId="2A54F6BB">
      <w:pPr>
        <w:pStyle w:val="13"/>
        <w:ind w:firstLine="562"/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81" w:charSpace="0"/>
        </w:sectPr>
      </w:pPr>
      <w:r>
        <w:rPr>
          <w:rFonts w:hint="eastAsia"/>
          <w:b/>
          <w:bCs/>
        </w:rPr>
        <w:t>5.其他建议</w:t>
      </w:r>
      <w:r>
        <w:rPr>
          <w:rFonts w:hint="eastAsia"/>
        </w:rPr>
        <w:tab/>
      </w:r>
    </w:p>
    <w:p w14:paraId="258DEADB">
      <w:pPr>
        <w:tabs>
          <w:tab w:val="left" w:pos="3618"/>
        </w:tabs>
        <w:bidi w:val="0"/>
        <w:ind w:left="0" w:leftChars="0" w:firstLine="0" w:firstLineChars="0"/>
        <w:jc w:val="left"/>
        <w:rPr>
          <w:lang w:val="en-US" w:eastAsia="zh-CN"/>
        </w:rPr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34537F">
    <w:pPr>
      <w:pStyle w:val="5"/>
      <w:ind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 w14:paraId="13A53FC8">
    <w:pPr>
      <w:pStyle w:val="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DF478A">
    <w:pPr>
      <w:pStyle w:val="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3C9A95">
    <w:pPr>
      <w:pStyle w:val="5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B5F7D8">
    <w:pPr>
      <w:pStyle w:val="5"/>
      <w:ind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6</w:t>
    </w:r>
    <w:r>
      <w:fldChar w:fldCharType="end"/>
    </w:r>
  </w:p>
  <w:p w14:paraId="48BD86FE">
    <w:pPr>
      <w:pStyle w:val="5"/>
      <w:ind w:firstLine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B490E7">
    <w:pPr>
      <w:pStyle w:val="5"/>
      <w:ind w:firstLine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2082A9">
    <w:pPr>
      <w:pStyle w:val="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DD8640">
    <w:pPr>
      <w:pStyle w:val="6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97BE78">
    <w:pPr>
      <w:pStyle w:val="6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17C293">
    <w:pPr>
      <w:pStyle w:val="6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D870D5">
    <w:pPr>
      <w:pStyle w:val="6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CC4932">
    <w:pPr>
      <w:pStyle w:val="6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2180B9">
    <w:pPr>
      <w:pStyle w:val="6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29A6AA9"/>
    <w:multiLevelType w:val="singleLevel"/>
    <w:tmpl w:val="D29A6AA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B487435"/>
    <w:multiLevelType w:val="singleLevel"/>
    <w:tmpl w:val="1B487435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E1MjA2YzI3YmFmZWY2YWNkYmQ4ZmRkNWExOTkxMGEifQ=="/>
  </w:docVars>
  <w:rsids>
    <w:rsidRoot w:val="00F162A0"/>
    <w:rsid w:val="00011C36"/>
    <w:rsid w:val="00016B5D"/>
    <w:rsid w:val="00052489"/>
    <w:rsid w:val="000A7ADC"/>
    <w:rsid w:val="000D6D1C"/>
    <w:rsid w:val="000D6D59"/>
    <w:rsid w:val="00110E19"/>
    <w:rsid w:val="00152912"/>
    <w:rsid w:val="00193827"/>
    <w:rsid w:val="001F5E08"/>
    <w:rsid w:val="00236E9B"/>
    <w:rsid w:val="00281552"/>
    <w:rsid w:val="00327F83"/>
    <w:rsid w:val="003735F8"/>
    <w:rsid w:val="003B7F69"/>
    <w:rsid w:val="003D2071"/>
    <w:rsid w:val="004407E1"/>
    <w:rsid w:val="0048074D"/>
    <w:rsid w:val="004C04F3"/>
    <w:rsid w:val="004C19F5"/>
    <w:rsid w:val="00537773"/>
    <w:rsid w:val="006006D8"/>
    <w:rsid w:val="006417C1"/>
    <w:rsid w:val="00660FA0"/>
    <w:rsid w:val="0070424C"/>
    <w:rsid w:val="00724007"/>
    <w:rsid w:val="00732296"/>
    <w:rsid w:val="00743658"/>
    <w:rsid w:val="007C4E52"/>
    <w:rsid w:val="008A7395"/>
    <w:rsid w:val="008B6A0E"/>
    <w:rsid w:val="008E6B47"/>
    <w:rsid w:val="00933BF3"/>
    <w:rsid w:val="00971B9D"/>
    <w:rsid w:val="00992960"/>
    <w:rsid w:val="009B04B2"/>
    <w:rsid w:val="009B5A0B"/>
    <w:rsid w:val="00A70744"/>
    <w:rsid w:val="00B24F65"/>
    <w:rsid w:val="00B8339A"/>
    <w:rsid w:val="00B8498F"/>
    <w:rsid w:val="00BA6156"/>
    <w:rsid w:val="00BC0F32"/>
    <w:rsid w:val="00C04C23"/>
    <w:rsid w:val="00C47CBC"/>
    <w:rsid w:val="00C61059"/>
    <w:rsid w:val="00C73CC1"/>
    <w:rsid w:val="00D118FE"/>
    <w:rsid w:val="00DA2682"/>
    <w:rsid w:val="00DB7226"/>
    <w:rsid w:val="00E21CBA"/>
    <w:rsid w:val="00E65930"/>
    <w:rsid w:val="00E671D8"/>
    <w:rsid w:val="00F12F3A"/>
    <w:rsid w:val="00F162A0"/>
    <w:rsid w:val="00F212D0"/>
    <w:rsid w:val="00F24EEA"/>
    <w:rsid w:val="00F701C2"/>
    <w:rsid w:val="00FC14E3"/>
    <w:rsid w:val="00FC1F69"/>
    <w:rsid w:val="00FE0C1A"/>
    <w:rsid w:val="00FF2ACF"/>
    <w:rsid w:val="0A1465ED"/>
    <w:rsid w:val="202F4BD6"/>
    <w:rsid w:val="41584AD7"/>
    <w:rsid w:val="664F5E49"/>
    <w:rsid w:val="73496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7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6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ind w:firstLine="0" w:firstLineChars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ind w:firstLine="0" w:firstLineChars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Title"/>
    <w:basedOn w:val="1"/>
    <w:next w:val="1"/>
    <w:link w:val="19"/>
    <w:qFormat/>
    <w:uiPriority w:val="10"/>
    <w:pPr>
      <w:spacing w:before="240" w:after="60"/>
      <w:jc w:val="center"/>
      <w:outlineLvl w:val="0"/>
    </w:pPr>
    <w:rPr>
      <w:rFonts w:ascii="Cambria" w:hAnsi="Cambria" w:eastAsiaTheme="minorEastAsia" w:cstheme="minorBidi"/>
      <w:b/>
      <w:bCs/>
      <w:sz w:val="32"/>
      <w:szCs w:val="32"/>
    </w:rPr>
  </w:style>
  <w:style w:type="character" w:customStyle="1" w:styleId="10">
    <w:name w:val="页眉 Char1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Char1"/>
    <w:basedOn w:val="9"/>
    <w:link w:val="5"/>
    <w:qFormat/>
    <w:uiPriority w:val="99"/>
    <w:rPr>
      <w:sz w:val="18"/>
      <w:szCs w:val="18"/>
    </w:rPr>
  </w:style>
  <w:style w:type="character" w:customStyle="1" w:styleId="12">
    <w:name w:val="闻政-正文段落文字 Char"/>
    <w:link w:val="13"/>
    <w:qFormat/>
    <w:uiPriority w:val="3"/>
    <w:rPr>
      <w:rFonts w:ascii="Times New Roman" w:hAnsi="Times New Roman" w:eastAsia="仿宋_GB2312"/>
      <w:sz w:val="28"/>
      <w:szCs w:val="28"/>
    </w:rPr>
  </w:style>
  <w:style w:type="paragraph" w:customStyle="1" w:styleId="13">
    <w:name w:val="闻政-正文段落文字"/>
    <w:basedOn w:val="1"/>
    <w:link w:val="12"/>
    <w:qFormat/>
    <w:uiPriority w:val="3"/>
    <w:pPr>
      <w:spacing w:line="500" w:lineRule="exact"/>
      <w:ind w:firstLine="200"/>
    </w:pPr>
    <w:rPr>
      <w:rFonts w:ascii="Times New Roman" w:hAnsi="Times New Roman" w:cstheme="minorBidi"/>
      <w:szCs w:val="28"/>
    </w:rPr>
  </w:style>
  <w:style w:type="character" w:customStyle="1" w:styleId="14">
    <w:name w:val="闻政-正文三级标题 Char"/>
    <w:link w:val="15"/>
    <w:qFormat/>
    <w:uiPriority w:val="3"/>
    <w:rPr>
      <w:rFonts w:ascii="Times New Roman" w:hAnsi="Times New Roman" w:eastAsia="仿宋_GB2312"/>
      <w:b/>
      <w:snapToGrid w:val="0"/>
      <w:sz w:val="28"/>
      <w:szCs w:val="28"/>
    </w:rPr>
  </w:style>
  <w:style w:type="paragraph" w:customStyle="1" w:styleId="15">
    <w:name w:val="闻政-正文三级标题"/>
    <w:basedOn w:val="1"/>
    <w:next w:val="13"/>
    <w:link w:val="14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theme="minorBidi"/>
      <w:b/>
      <w:snapToGrid w:val="0"/>
      <w:szCs w:val="28"/>
    </w:rPr>
  </w:style>
  <w:style w:type="character" w:customStyle="1" w:styleId="16">
    <w:name w:val="页脚 Char"/>
    <w:qFormat/>
    <w:uiPriority w:val="99"/>
    <w:rPr>
      <w:rFonts w:eastAsia="仿宋_GB2312" w:cs="黑体"/>
      <w:sz w:val="18"/>
      <w:szCs w:val="18"/>
    </w:rPr>
  </w:style>
  <w:style w:type="character" w:customStyle="1" w:styleId="17">
    <w:name w:val="闻政-正文一级标题 Char"/>
    <w:link w:val="18"/>
    <w:qFormat/>
    <w:uiPriority w:val="3"/>
    <w:rPr>
      <w:rFonts w:ascii="黑体" w:hAnsi="黑体" w:eastAsia="黑体"/>
      <w:bCs/>
      <w:sz w:val="32"/>
      <w:szCs w:val="32"/>
    </w:rPr>
  </w:style>
  <w:style w:type="paragraph" w:customStyle="1" w:styleId="18">
    <w:name w:val="闻政-正文一级标题"/>
    <w:basedOn w:val="4"/>
    <w:next w:val="13"/>
    <w:link w:val="17"/>
    <w:qFormat/>
    <w:uiPriority w:val="3"/>
    <w:pPr>
      <w:spacing w:before="120" w:after="60" w:line="500" w:lineRule="exact"/>
      <w:ind w:firstLine="0" w:firstLineChars="0"/>
      <w:jc w:val="left"/>
      <w:outlineLvl w:val="0"/>
    </w:pPr>
    <w:rPr>
      <w:rFonts w:ascii="黑体" w:hAnsi="黑体" w:eastAsia="黑体" w:cstheme="minorBidi"/>
      <w:b w:val="0"/>
    </w:rPr>
  </w:style>
  <w:style w:type="character" w:customStyle="1" w:styleId="19">
    <w:name w:val="标题 Char"/>
    <w:link w:val="7"/>
    <w:qFormat/>
    <w:uiPriority w:val="10"/>
    <w:rPr>
      <w:rFonts w:ascii="Cambria" w:hAnsi="Cambria"/>
      <w:b/>
      <w:bCs/>
      <w:sz w:val="32"/>
      <w:szCs w:val="32"/>
    </w:rPr>
  </w:style>
  <w:style w:type="character" w:customStyle="1" w:styleId="20">
    <w:name w:val="页眉 Char"/>
    <w:qFormat/>
    <w:uiPriority w:val="99"/>
    <w:rPr>
      <w:rFonts w:eastAsia="仿宋_GB2312" w:cs="黑体"/>
      <w:sz w:val="18"/>
      <w:szCs w:val="18"/>
    </w:rPr>
  </w:style>
  <w:style w:type="character" w:customStyle="1" w:styleId="21">
    <w:name w:val="闻政-正文二级标题 Char"/>
    <w:link w:val="22"/>
    <w:qFormat/>
    <w:uiPriority w:val="3"/>
    <w:rPr>
      <w:rFonts w:ascii="Times New Roman" w:hAnsi="Times New Roman" w:eastAsia="仿宋_GB2312"/>
      <w:b/>
      <w:bCs/>
      <w:sz w:val="28"/>
      <w:szCs w:val="32"/>
    </w:rPr>
  </w:style>
  <w:style w:type="paragraph" w:customStyle="1" w:styleId="22">
    <w:name w:val="闻政-正文二级标题"/>
    <w:basedOn w:val="3"/>
    <w:next w:val="13"/>
    <w:link w:val="21"/>
    <w:qFormat/>
    <w:uiPriority w:val="3"/>
    <w:pPr>
      <w:spacing w:before="120" w:after="60" w:line="500" w:lineRule="exact"/>
      <w:ind w:left="200" w:leftChars="200" w:firstLine="0" w:firstLineChars="0"/>
      <w:jc w:val="left"/>
    </w:pPr>
    <w:rPr>
      <w:rFonts w:ascii="Times New Roman" w:hAnsi="Times New Roman" w:eastAsia="仿宋_GB2312" w:cstheme="minorBidi"/>
      <w:sz w:val="28"/>
    </w:rPr>
  </w:style>
  <w:style w:type="character" w:customStyle="1" w:styleId="23">
    <w:name w:val="标题 1 Char"/>
    <w:basedOn w:val="9"/>
    <w:link w:val="2"/>
    <w:qFormat/>
    <w:uiPriority w:val="9"/>
    <w:rPr>
      <w:rFonts w:ascii="Calibri" w:hAnsi="Calibri" w:eastAsia="仿宋_GB2312" w:cs="黑体"/>
      <w:b/>
      <w:bCs/>
      <w:kern w:val="44"/>
      <w:sz w:val="44"/>
      <w:szCs w:val="44"/>
    </w:rPr>
  </w:style>
  <w:style w:type="paragraph" w:customStyle="1" w:styleId="24">
    <w:name w:val="TOC Heading"/>
    <w:basedOn w:val="2"/>
    <w:next w:val="1"/>
    <w:qFormat/>
    <w:uiPriority w:val="39"/>
    <w:pPr>
      <w:widowControl/>
      <w:spacing w:before="480" w:after="0" w:line="276" w:lineRule="auto"/>
      <w:ind w:firstLine="0" w:firstLineChars="0"/>
      <w:jc w:val="left"/>
      <w:outlineLvl w:val="9"/>
    </w:pPr>
    <w:rPr>
      <w:rFonts w:ascii="Cambria" w:hAnsi="Cambria" w:eastAsia="宋体" w:cs="Times New Roman"/>
      <w:color w:val="365F91"/>
      <w:kern w:val="0"/>
      <w:sz w:val="28"/>
      <w:szCs w:val="28"/>
    </w:rPr>
  </w:style>
  <w:style w:type="character" w:customStyle="1" w:styleId="25">
    <w:name w:val="标题 字符"/>
    <w:basedOn w:val="9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6">
    <w:name w:val="标题 3 Char"/>
    <w:basedOn w:val="9"/>
    <w:link w:val="4"/>
    <w:semiHidden/>
    <w:qFormat/>
    <w:uiPriority w:val="9"/>
    <w:rPr>
      <w:rFonts w:ascii="Calibri" w:hAnsi="Calibri" w:eastAsia="仿宋_GB2312" w:cs="黑体"/>
      <w:b/>
      <w:bCs/>
      <w:sz w:val="32"/>
      <w:szCs w:val="32"/>
    </w:rPr>
  </w:style>
  <w:style w:type="character" w:customStyle="1" w:styleId="27">
    <w:name w:val="标题 2 Char"/>
    <w:basedOn w:val="9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numbering" Target="numbering.xml"/><Relationship Id="rId17" Type="http://schemas.openxmlformats.org/officeDocument/2006/relationships/theme" Target="theme/theme1.xml"/><Relationship Id="rId16" Type="http://schemas.openxmlformats.org/officeDocument/2006/relationships/footer" Target="footer6.xml"/><Relationship Id="rId15" Type="http://schemas.openxmlformats.org/officeDocument/2006/relationships/footer" Target="footer5.xml"/><Relationship Id="rId14" Type="http://schemas.openxmlformats.org/officeDocument/2006/relationships/footer" Target="footer4.xml"/><Relationship Id="rId13" Type="http://schemas.openxmlformats.org/officeDocument/2006/relationships/header" Target="header6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74BB1-235E-47DA-9B3D-30B82BFAFD7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1091</Words>
  <Characters>1344</Characters>
  <Lines>6</Lines>
  <Paragraphs>1</Paragraphs>
  <TotalTime>2</TotalTime>
  <ScaleCrop>false</ScaleCrop>
  <LinksUpToDate>false</LinksUpToDate>
  <CharactersWithSpaces>1429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2020-12-10T04:14:00Z</dcterms:created>
  <dc:creator>志闯 赵</dc:creator>
  <cp:lastModifiedBy>赵世彬</cp:lastModifiedBy>
  <dcterms:modified xsi:type="dcterms:W3CDTF">2025-01-15T08:02:30Z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0AF5DD30251641DEA15C5D28A89FF22C_12</vt:lpwstr>
  </property>
  <property fmtid="{D5CDD505-2E9C-101B-9397-08002B2CF9AE}" pid="4" name="KSOTemplateDocerSaveRecord">
    <vt:lpwstr>eyJoZGlkIjoiYTY0NTAyMzE2MGE2NDgyYTI5ODg2YjMxYTY5NzBmYjkiLCJ1c2VySWQiOiIyMzM2MDM3MDQifQ==</vt:lpwstr>
  </property>
</Properties>
</file>