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 xmlns:a="http://schemas.openxmlformats.org/drawingml/2006/main" xmlns:pic="http://schemas.openxmlformats.org/drawingml/2006/picture">
  <w:body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6"/>
          <w:kern w:val="2"/>
          <w:lang w:val="en-US" w:eastAsia="zh-CN" w:bidi="ar-SA"/>
          <w:b w:val="0"/>
          <w:i w:val="0"/>
          <w:color w:val="000000"/>
          <w:sz w:val="36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36"/>
          <w:kern w:val="2"/>
          <w:lang w:val="en-US" w:eastAsia="zh-CN" w:bidi="ar-SA"/>
          <w:b w:val="0"/>
          <w:i w:val="0"/>
          <w:color w:val="000000"/>
          <w:sz w:val="36"/>
          <w:spacing w:val="0"/>
          <w:w w:val="100"/>
          <w:rFonts w:ascii="黑体" w:eastAsia="黑体" w:hAnsi="黑体"/>
          <w:caps w:val="0"/>
        </w:rPr>
        <w:t xml:space="preserve">2021</w:t>
      </w:r>
      <w:r>
        <w:rPr>
          <w:rStyle w:val="NormalCharacter"/>
          <w:szCs w:val="36"/>
          <w:kern w:val="2"/>
          <w:lang w:val="en-US" w:eastAsia="zh-CN" w:bidi="ar-SA"/>
          <w:b w:val="0"/>
          <w:i w:val="0"/>
          <w:color w:val="000000"/>
          <w:sz w:val="36"/>
          <w:spacing w:val="0"/>
          <w:w w:val="100"/>
          <w:rFonts w:ascii="黑体" w:eastAsia="黑体" w:hAnsi="黑体"/>
          <w:caps w:val="0"/>
        </w:rPr>
        <w:t xml:space="preserve">年新乡市</w:t>
      </w:r>
      <w:r>
        <w:rPr>
          <w:rStyle w:val="NormalCharacter"/>
          <w:szCs w:val="36"/>
          <w:kern w:val="2"/>
          <w:lang w:val="en-US" w:eastAsia="zh-CN" w:bidi="ar-SA"/>
          <w:b w:val="0"/>
          <w:i w:val="0"/>
          <w:color w:val="000000"/>
          <w:sz w:val="36"/>
          <w:spacing w:val="0"/>
          <w:w w:val="100"/>
          <w:rFonts w:ascii="黑体" w:eastAsia="黑体" w:hAnsi="黑体"/>
          <w:caps w:val="0"/>
        </w:rPr>
        <w:t xml:space="preserve">凤泉区退役军人事务局</w:t>
      </w:r>
      <w:r>
        <w:rPr>
          <w:rStyle w:val="NormalCharacter"/>
          <w:szCs w:val="36"/>
          <w:kern w:val="2"/>
          <w:lang w:val="en-US" w:eastAsia="zh-CN" w:bidi="ar-SA"/>
          <w:b w:val="0"/>
          <w:i w:val="0"/>
          <w:color w:val="000000"/>
          <w:sz w:val="36"/>
          <w:spacing w:val="0"/>
          <w:w w:val="100"/>
          <w:rFonts w:ascii="黑体" w:eastAsia="黑体" w:hAnsi="黑体"/>
          <w:caps w:val="0"/>
        </w:rPr>
        <w:t xml:space="preserve">预算公开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left="101" w:right="3569"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56"/>
          <w:kern w:val="2"/>
          <w:lang w:val="en-US" w:eastAsia="zh-CN" w:bidi="ar-SA"/>
          <w:b w:val="0"/>
          <w:i w:val="0"/>
          <w:color w:val="000000"/>
          <w:sz w:val="56"/>
          <w:spacing w:val="0"/>
          <w:w w:val="100"/>
          <w:rFonts w:ascii="黑体" w:eastAsia="黑体" w:hAnsi="Times New Roman"/>
          <w:caps w:val="0"/>
        </w:rPr>
        <w:snapToGrid w:val="0"/>
        <w:ind w:left="-142" w:right="51" w:firstLine="39" w:firstLineChars="7"/>
        <w:textAlignment w:val="baseline"/>
      </w:pPr>
      <w:r>
        <w:rPr>
          <w:rStyle w:val="NormalCharacter"/>
          <w:szCs w:val="56"/>
          <w:kern w:val="2"/>
          <w:lang w:val="en-US" w:eastAsia="zh-CN" w:bidi="ar-SA"/>
          <w:b w:val="0"/>
          <w:i w:val="0"/>
          <w:color w:val="000000"/>
          <w:sz w:val="56"/>
          <w:spacing w:val="0"/>
          <w:w w:val="100"/>
          <w:rFonts w:ascii="黑体" w:eastAsia="黑体" w:hAnsi="Times New Roman"/>
          <w:caps w:val="0"/>
        </w:rPr>
        <w:t xml:space="preserve">目</w:t>
      </w:r>
      <w:r>
        <w:rPr>
          <w:rStyle w:val="NormalCharacter"/>
          <w:szCs w:val="56"/>
          <w:kern w:val="2"/>
          <w:lang w:val="en-US" w:eastAsia="zh-CN" w:bidi="ar-SA"/>
          <w:b w:val="0"/>
          <w:i w:val="0"/>
          <w:color w:val="000000"/>
          <w:sz w:val="56"/>
          <w:spacing w:val="2"/>
          <w:w w:val="100"/>
          <w:rFonts w:ascii="黑体" w:eastAsia="黑体" w:hAnsi="Times New Roman"/>
          <w:caps w:val="0"/>
        </w:rPr>
        <w:t xml:space="preserve"> </w:t>
      </w:r>
      <w:r>
        <w:rPr>
          <w:rStyle w:val="NormalCharacter"/>
          <w:szCs w:val="56"/>
          <w:kern w:val="2"/>
          <w:lang w:val="en-US" w:eastAsia="zh-CN" w:bidi="ar-SA"/>
          <w:b w:val="0"/>
          <w:i w:val="0"/>
          <w:color w:val="000000"/>
          <w:sz w:val="56"/>
          <w:spacing w:val="0"/>
          <w:w w:val="100"/>
          <w:rFonts w:ascii="黑体" w:eastAsia="黑体" w:hAnsi="Times New Roman"/>
          <w:caps w:val="0"/>
        </w:rPr>
        <w:t xml:space="preserve">录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snapToGrid w:val="0"/>
        <w:ind w:right="0"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第一部 新乡市分凤泉区退役军人事务局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概况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3569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一、主要职能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3569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二、部门预算单位构成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99"/>
          <w:rFonts w:ascii="黑体" w:eastAsia="黑体" w:hAnsi="Times New Roman"/>
          <w:caps w:val="0"/>
        </w:rPr>
        <w:snapToGrid w:val="0"/>
        <w:ind w:right="0"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第二部分 新乡市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凤泉区退役军人事务局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-119"/>
          <w:w w:val="100"/>
          <w:rFonts w:ascii="黑体" w:eastAsia="黑体" w:hAnsi="Times New Roman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-119"/>
          <w:w w:val="100"/>
          <w:rFonts w:ascii="黑体" w:eastAsia="黑体" w:hAnsi="Times New Roman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年部门预算情况说明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99"/>
          <w:rFonts w:ascii="黑体" w:eastAsia="黑体" w:hAnsi="Times New Roman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snapToGrid w:val="0"/>
        <w:ind w:right="521"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第三部分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-32"/>
          <w:w w:val="100"/>
          <w:rFonts w:ascii="黑体" w:eastAsia="黑体" w:hAnsi="Times New Roman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名词解释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附件：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-32"/>
          <w:w w:val="100"/>
          <w:rFonts w:ascii="黑体" w:eastAsia="黑体" w:hAnsi="Times New Roman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年新乡市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凤泉区退役军人事务局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部门预算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公开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一、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部门收支总体情况表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二、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部门收入总体情况表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三、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部门支出总体情况表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四、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财政拨款收支总体情况表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五、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一般公共预算支出情况表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六、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支出经济分类汇总表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七、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一般公共预算“三公”经费支出情况表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八、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政府性基金预算支出情况表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九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部门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（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单位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）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整体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绩效目标表</w:t>
      </w:r>
    </w:p>
    <w:p>
      <w:pPr>
        <w:pStyle w:val="Normal"/>
        <w:jc w:val="left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right="51" w:firstLine="960" w:firstLineChars="3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部门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预算项目绩效目标汇总表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snapToGrid w:val="0"/>
        <w:ind w:left="101" w:right="521"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第一部分</w:t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新乡市凤泉区退役军人事务局概况</w:t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一、新乡市凤泉区退役军人事务局主要职责</w:t>
      </w:r>
    </w:p>
    <w:p>
      <w:pPr>
        <w:pStyle w:val="Normal"/>
        <w:widowControl/>
        <w:jc w:val="left"/>
        <w:spacing w:before="0" w:beforeAutospacing="0" w:after="0" w:afterAutospacing="0" w:lineRule="auto" w:line="240"/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/>
        <w:ind w:firstLine="640" w:firstLineChars="200"/>
        <w:textAlignment w:val="baseline"/>
        <w:framePr/>
      </w:pP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仿宋_GB2312"/>
          <w:caps w:val="0"/>
        </w:rPr>
        <w:t xml:space="preserve">新乡市凤泉区退役军人事务局单位是属于行政事业单位。其主要职责：负责军队转业干部、复员干部、退役士兵的移交安置工作和自主择业退役军人服务受理、待遇保障工作，组织开展退役军人教育培训、优待抚恤等工作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二、新乡市凤泉区退役军人事务局预算单位构成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黑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新乡市凤泉区退役军人事务局</w:t>
      </w: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2"/>
          <w:w w:val="100"/>
          <w:rFonts w:ascii="仿宋_GB2312" w:eastAsia="仿宋_GB2312" w:hAnsi="Times New Roman"/>
          <w:caps w:val="0"/>
        </w:rPr>
        <w:t xml:space="preserve">部门</w:t>
      </w: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黑体"/>
          <w:caps w:val="0"/>
        </w:rPr>
        <w:t xml:space="preserve">只包含本级预算，无汇总预算。</w:t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黑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黑体"/>
          <w:caps w:val="0"/>
        </w:rPr>
        <w:t xml:space="preserve">1.新乡市凤泉区退役军人事务局本级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/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-38"/>
          <w:w w:val="100"/>
          <w:rFonts w:ascii="黑体" w:eastAsia="黑体" w:hAnsi="Times New Roman"/>
          <w:caps w:val="0"/>
        </w:rPr>
        <w:snapToGrid w:val="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第二部分</w:t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新乡市凤泉区退役军人事务局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年部门预算情况说明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一、收入支出预算总体情况说明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新乡市凤泉区退役军人事务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局2021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年收入总计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2087.76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万元，支出总计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2087.76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年预算相比，收入增加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585.70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万元，增长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38.99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%。主要原因：</w:t>
      </w:r>
      <w:r>
        <w:rPr>
          <w:rStyle w:val="NormalCharacter"/>
          <w:szCs w:val="32"/>
          <w:bCs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cs="仿宋_GB2312" w:eastAsia="仿宋_GB2312" w:hAnsi="仿宋_GB2312"/>
          <w:caps w:val="0"/>
        </w:rPr>
        <w:t xml:space="preserve">项目支出中补助款项的人员和标准增加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;支出增加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585.70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万元，增长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38.99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%。主要原因：</w:t>
      </w:r>
      <w:r>
        <w:rPr>
          <w:rStyle w:val="NormalCharacter"/>
          <w:szCs w:val="32"/>
          <w:bCs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cs="仿宋_GB2312" w:eastAsia="仿宋_GB2312" w:hAnsi="仿宋_GB2312"/>
          <w:caps w:val="0"/>
        </w:rPr>
        <w:t xml:space="preserve">项目支出中补助款项的人员和标准增加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。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二、收入预算总体情况说明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新乡市凤泉区退役军人事务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局2021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年收入合计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2087.76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万元，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其中：一般公共预算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1644.78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万元;中央专项转移支付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442.98万元；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政府性基金收入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万元；专户管理的教育收费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万元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。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三、支出预算总体情况说明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新乡市凤泉区退役军人事务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年支出合计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2087.76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万元，其中：基本支出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85.79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4.11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%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；项目支出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2001.97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95.89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%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。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四、财政拨款收入支出预算总体情况说明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新乡市凤泉区退役军人事务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一般公共预算收支预算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1644.78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万元，政府性基金收支预算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万元。与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年相比，一般公共预算收支预算增加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142.72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万元，增长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9.5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%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，主要原因：</w:t>
      </w:r>
      <w:r>
        <w:rPr>
          <w:rStyle w:val="NormalCharacter"/>
          <w:szCs w:val="32"/>
          <w:bCs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cs="仿宋_GB2312" w:eastAsia="仿宋_GB2312" w:hAnsi="仿宋_GB2312"/>
          <w:caps w:val="0"/>
        </w:rPr>
        <w:t xml:space="preserve">项目支出中补助款项的人员和标准增加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；政府性基金收支预算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持平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。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五、一般公共预算支出预算情况说明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新乡市凤泉区退役军人事务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年一般公共预算支出年初预算为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1644.78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万元。主要用于以下方面：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行政运行支出65.93万元，占比4.01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其他民政管理事务支出11.00万元，占比0.67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机关事业单位基本养老保险缴费支出7.73万元，占比0.47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义务兵优待支出352.00万元，占比21.40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其他优抚支出707.39万元，占比43.01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退役士兵安置支出341.00万元；占比20.73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其他退役安置支出15.35万元；占比0.93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拥军优属支出46.00万元；占比2.80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其他退役军人事务管理支出55.90万元，占比3.40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其他社会保障和就业支出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ab/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0.81万元；占比0.05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行政单位医疗支出3.89万元；占比0.24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优抚对象医疗补助支出20.20万元，占比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.23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其他优抚对象医疗支出10.15万元，占比0.62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%；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住房公积金支出7.43万元，占比0.45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%。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 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六、支出预算经济分类情况说明</w:t>
      </w:r>
    </w:p>
    <w:p>
      <w:pPr>
        <w:pStyle w:val="Normal"/>
        <w:jc w:val="both"/>
        <w:spacing w:before="0" w:beforeAutospacing="0" w:after="0" w:afterAutospacing="0" w:line="60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按照《财政部关于印发&lt;支出经济分类科目改革方案&gt;的通知》（财预〔2017〕98号）要求，从201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8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年起全面实施支出经济分类科目改革，根据政府预算管理和部门预算管理的不同特点，分设部门预算支出经济分类科目和政府预算支出经济分类科目，两套科目之间保持对应关系。我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《支出经济分类汇总表》, 按两套经济分类科目分别反映不同资金来源的全部预算支出。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七、政府性基金预算支出决算情况说明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局2021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年无使用政府性基金预算拨款安排的支出。</w:t>
      </w:r>
    </w:p>
    <w:p>
      <w:pPr>
        <w:pStyle w:val="Normal"/>
        <w:jc w:val="both"/>
        <w:numPr>
          <w:ilvl w:val="0"/>
          <w:numId w:val="1"/>
        </w:numPr>
        <w:spacing w:before="0" w:beforeAutospacing="0" w:after="0" w:afterAutospacing="0" w:line="560" w:lineRule="exact"/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Times New Roman"/>
          <w:caps w:val="0"/>
        </w:rPr>
        <w:t xml:space="preserve">“三公”经费支出预算情况说明</w:t>
      </w:r>
    </w:p>
    <w:p>
      <w:pPr>
        <w:pStyle w:val="Normal"/>
        <w:jc w:val="both"/>
        <w:spacing w:before="0" w:beforeAutospacing="0" w:after="0" w:afterAutospacing="0" w:line="56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局2021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年“三公”经费预算为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年“三公”经费支出预算数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2020年度持平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具体支出情况如下：</w:t>
      </w:r>
    </w:p>
    <w:p>
      <w:pPr>
        <w:pStyle w:val="Normal"/>
        <w:jc w:val="both"/>
        <w:numPr>
          <w:ilvl w:val="0"/>
          <w:numId w:val="2"/>
        </w:numPr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39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-1"/>
          <w:w w:val="100"/>
          <w:rFonts w:ascii="仿宋_GB2312" w:eastAsia="仿宋_GB2312" w:hAnsi="Times New Roman"/>
          <w:caps w:val="0"/>
        </w:rPr>
        <w:t xml:space="preserve">因公出国（境）费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-1"/>
          <w:w w:val="100"/>
          <w:rFonts w:ascii="仿宋_GB2312" w:eastAsia="仿宋_GB2312" w:hAnsi="Times New Roman"/>
          <w:caps w:val="0"/>
        </w:rPr>
        <w:t xml:space="preserve">万元，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主要用于单位工作人员公务出国（境）的住宿费、旅费、伙食补助费、杂费、培训费等支出。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预算数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2020年度持平。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39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-1"/>
          <w:w w:val="100"/>
          <w:rFonts w:ascii="仿宋_GB2312" w:eastAsia="仿宋_GB2312" w:hAnsi="Times New Roman"/>
          <w:caps w:val="0"/>
        </w:rPr>
        <w:t xml:space="preserve">（二）公务用车购置及运行费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万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元，其中，公务用车购置费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万元；公务用车运行维护费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公务用车购置费预算数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2020年度持平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。公务用车运行维护费预算数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2020年度持平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39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-1"/>
          <w:w w:val="100"/>
          <w:rFonts w:ascii="仿宋_GB2312" w:eastAsia="仿宋_GB2312" w:hAnsi="Times New Roman"/>
          <w:caps w:val="0"/>
        </w:rPr>
        <w:t xml:space="preserve">（三）公务接待费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万元。预算数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与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 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2020年度持平。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36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0"/>
          <w:i w:val="0"/>
          <w:color w:val="000000"/>
          <w:sz w:val="32"/>
          <w:spacing w:val="-1"/>
          <w:w w:val="100"/>
          <w:rFonts w:ascii="黑体" w:eastAsia="黑体" w:hAnsi="Times New Roman"/>
          <w:caps w:val="0"/>
        </w:rPr>
        <w:t xml:space="preserve">九、其他重要事项情况说明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3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（一）机关运行经费支出情况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新乡市凤泉区退役军人事务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局2021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机关运行经费支出预算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11.65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主要保障机构正常运转及正常履职需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其中工资福利支出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71.80万元，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日常公用经费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（商品服务支出）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13.99万元。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3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（二）政府采购支出情况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楷体_GB2312" w:eastAsia="楷体_GB2312" w:hAnsi="Times New Roman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年政府采购预算安排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万元，其中：政府采购货物预算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万元、政府采购工程预算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万元、政府采购服务预算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Calibri"/>
          <w:caps w:val="0"/>
        </w:rPr>
        <w:t xml:space="preserve">万元。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3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（三）预算绩效管理工作开展情况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800" w:firstLineChars="25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局2021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年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预算项目均按要求编制了绩效目标，从项目产出、项目效益、满意度等方面设置了绩效指标，综合反映项目预期完成的数量、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实效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、质量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，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预期达到的社会经济效益、可持续影响以及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服务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对象满意度等情况。</w:t>
      </w:r>
    </w:p>
    <w:p>
      <w:pPr>
        <w:pStyle w:val="Normal"/>
        <w:jc w:val="both"/>
        <w:spacing w:before="0" w:beforeAutospacing="0" w:after="0" w:afterAutospacing="0" w:line="60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2020年我部门重点项目预算资金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2001.97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万元，其中：八一、春节慰问项目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11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万元，专项-部分退役士兵社会保险结续经费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55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万元，专项-抚恤等优抚支出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519.27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万元，专项-提前下达义务兵优待金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15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万元，专项-提前下达优抚对象补助经费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385.84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万元，专项-提前下达优抚对象医疗保障经费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14.14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万元，专项-提前下达自主就业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28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万元，专项-退役士兵安置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341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万元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,专项-往年指标结转-老党员生活补助2.6万元，专项-往年指标结转-退役士兵养老保险结续8.6万元，专项-往年指标结转-义务兵优待金和自主就业退役士兵一次性经济补助资金6.75万元，专项-往年指标结转-优抚对象补助经费165.52万元，专项-往年指标结转-优抚对象医疗等经费10.15万元，专项-往年指标结转-直达资金退役士兵安置补助0.9万元，专项-西藏新疆等边远地区服现役补助20万元，专项-义务兵优待金352万元，专项-拥军优属46万元，专项-优抚对象医疗补助经费20.2万元。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预算绩效说明如下;</w:t>
      </w:r>
    </w:p>
    <w:p>
      <w:pPr>
        <w:pStyle w:val="Normal"/>
        <w:jc w:val="both"/>
        <w:spacing w:before="0" w:beforeAutospacing="0" w:after="0" w:afterAutospacing="0" w:line="600" w:lineRule="exact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1、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八一、春节慰问项目:春节军政座谈会、“八一”走访慰问；走访慰问优抚对象，帮助优抚对象解决困难，把党和政府的温暖送到优抚对象家中。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2、专项-往年指标结转-优抚对象补助经费和专项-拥军优属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项目：通过双拥走访，协调军地双方关系，巩固加强军民团结。大力宣传拥军优属和拥政爱民先进事迹，进一步增强全民国防观念和支前双拥意识。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3、专项-往年指标结转-直达资金退役士兵安置补助、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专项-提前下达退役安置补助经费和专项-退役士兵安置：按照上级定额补助标准，发放退役士兵自主就业一次性补助资金，维护广大退役士兵合法权益，缓解了退役士兵就业难的问题。促进国防建设，维护社会稳定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4、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专项-提前下达优抚对象补助经费：按照上级核定标准发放补助资金，用于解决优抚对象生活等困难和对优抚对象的临时性救助，有效保障各类优抚对象和老党员抚恤生活补助政策得到全面落实，维护了优抚对象的合法权益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5、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专项-提前下达优抚对象医疗保障经费和专项-优抚对象医疗经费：用于解决全区重点优抚对象的门诊补助、大病住院救助等医疗方面困难。保障全区重点优抚对象享受医疗补助的权益，彰显党和国家对优抚对象的关心和关怀。有效缓解了优抚对象治病难问题，取得巨大的社会效益，维护社会稳定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6、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专项-义务兵优待金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和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专项-西藏新疆等边远地区服现役补助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:体现地方人民政府爱军拥军的优良传统，对国防建设的支持以及对能进一步团结巩固军政军民关系，营造浓厚的双拥环境，提高全民国防意识，激励广大有志青年踊跃参军报国，激励现役军人现身国防、在军营建功立业。</w:t>
      </w:r>
    </w:p>
    <w:p>
      <w:pPr>
        <w:pStyle w:val="Normal"/>
        <w:jc w:val="both"/>
        <w:spacing w:before="157" w:beforeAutospacing="0" w:after="0" w:afterAutospacing="0" w:lineRule="auto" w:line="360"/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snapToGrid w:val="0"/>
        <w:ind w:firstLine="643" w:firstLineChars="200"/>
        <w:textAlignment w:val="baseline"/>
      </w:pPr>
      <w:r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仿宋_GB2312" w:eastAsia="仿宋_GB2312" w:hAnsi="Times New Roman"/>
          <w:caps w:val="0"/>
        </w:rPr>
        <w:t xml:space="preserve">（四）国有资产占用情况。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年期末，我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共有车辆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辆，其中：一般公务用车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辆、一般执法执勤用车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辆、特种专业技术用车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辆，其他用车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辆；单价50万元以上通用设备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台（套），单位价值100万元以上专用设备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台（套）。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1"/>
          <w:i w:val="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3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1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（五）专项转移支付项目情况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部门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负责管理的专项转移支付项目共有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Calibri"/>
          <w:caps w:val="0"/>
        </w:rPr>
        <w:t xml:space="preserve">0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Calibri"/>
          <w:caps w:val="0"/>
        </w:rPr>
        <w:t xml:space="preserve">项，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我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部门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sz w:val="32"/>
          <w:spacing w:val="0"/>
          <w:w w:val="100"/>
          <w:rFonts w:ascii="仿宋_GB2312" w:eastAsia="仿宋_GB2312" w:hAnsi="宋体"/>
          <w:caps w:val="0"/>
        </w:rPr>
        <w:t xml:space="preserve">将按照《预算法》等有关规定，积极做好项目分配前期准备工作，在规定的时间内向财政部门提出资金分配意见，根据有关要求做好项目申报公开等相关工作。</w:t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楷体_GB2312" w:eastAsia="楷体_GB2312" w:hAnsi="Times New Roman"/>
          <w:caps w:val="0"/>
        </w:rPr>
        <w:snapToGrid w:val="0"/>
        <w:ind w:firstLine="643" w:firstLineChars="200"/>
        <w:textAlignment w:val="baseline"/>
      </w:pPr>
      <w:r>
        <w:rPr>
          <w:b w:val="1"/>
          <w:i w:val="0"/>
          <w:color w:val="000000"/>
          <w:sz w:val="32"/>
          <w:spacing w:val="0"/>
          <w:w w:val="100"/>
          <w:rFonts w:ascii="楷体_GB2312" w:eastAsia="楷体_GB2312" w:hAnsi="Times New Roman"/>
          <w:caps w:val="0"/>
        </w:rPr>
        <w:t/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楷体_GB2312" w:eastAsia="楷体_GB2312" w:hAnsi="Times New Roman"/>
          <w:caps w:val="0"/>
        </w:rPr>
        <w:snapToGrid w:val="0"/>
        <w:ind w:firstLine="643" w:firstLineChars="200"/>
        <w:textAlignment w:val="baseline"/>
      </w:pPr>
      <w:r>
        <w:rPr>
          <w:b w:val="1"/>
          <w:i w:val="0"/>
          <w:color w:val="000000"/>
          <w:sz w:val="32"/>
          <w:spacing w:val="0"/>
          <w:w w:val="100"/>
          <w:rFonts w:ascii="楷体_GB2312" w:eastAsia="楷体_GB2312" w:hAnsi="Times New Roman"/>
          <w:caps w:val="0"/>
        </w:rPr>
        <w:t/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0"/>
          <w:lang w:val="en-US" w:eastAsia="zh-CN" w:bidi="ar-SA"/>
          <w:b w:val="1"/>
          <w:i w:val="0"/>
          <w:color w:val="000000"/>
          <w:sz w:val="32"/>
          <w:spacing w:val="0"/>
          <w:w w:val="100"/>
          <w:rFonts w:ascii="楷体_GB2312" w:eastAsia="楷体_GB2312" w:hAnsi="Times New Roman"/>
          <w:caps w:val="0"/>
        </w:rPr>
        <w:snapToGrid w:val="0"/>
        <w:ind w:firstLine="643" w:firstLineChars="200"/>
        <w:textAlignment w:val="baseline"/>
      </w:pPr>
      <w:r>
        <w:rPr>
          <w:b w:val="1"/>
          <w:i w:val="0"/>
          <w:color w:val="000000"/>
          <w:sz w:val="32"/>
          <w:spacing w:val="0"/>
          <w:w w:val="100"/>
          <w:rFonts w:ascii="楷体_GB2312" w:eastAsia="楷体_GB2312" w:hAnsi="Times New Roman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第三部分</w:t>
      </w:r>
    </w:p>
    <w:p>
      <w:pPr>
        <w:pStyle w:val="Normal"/>
        <w:jc w:val="center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名词解释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一、财政拨款收入：是指省级财政当年拨付的资金。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二、事业收入：是指事业单位开展专业活动及辅助活动所取 得的收入。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三、其他收入：是指部门取得的除“财政拨款”、“事业收入”、“事业单位经营收入”等以外的收入。 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五、基本支出：是指为保障机构正常运转、完成日常工作任务所必需的开支，其内容包括人员经费和日常公用经费两部分。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六、项目支出：是指在基本支出之外，为完成特定的行政工作任务或事业发展目标所发生的支出。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七、“三公”经费：是指纳入省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snapToGrid w:val="0"/>
        <w:ind w:firstLine="640" w:firstLineChars="20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仿宋_GB2312" w:eastAsia="仿宋_GB2312" w:hAnsi="宋体"/>
          <w:caps w:val="0"/>
        </w:rPr>
        <w:t xml:space="preserve"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附件：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2021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年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新乡市凤泉区退役军人事务局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部门预算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公开</w:t>
      </w:r>
      <w:r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 xml:space="preserve">表</w:t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ind w:firstLine="640" w:firstLineChars="20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32"/>
          <w:kern w:val="2"/>
          <w:lang w:val="en-US" w:eastAsia="zh-CN" w:bidi="ar-SA"/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snapToGrid w:val="0"/>
        <w:textAlignment w:val="baseline"/>
      </w:pPr>
      <w:r>
        <w:rPr>
          <w:b w:val="0"/>
          <w:i w:val="0"/>
          <w:color w:val="000000"/>
          <w:sz w:val="32"/>
          <w:spacing w:val="0"/>
          <w:w w:val="100"/>
          <w:rFonts w:ascii="黑体" w:eastAsia="黑体" w:hAnsi="黑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240"/>
        <w:rPr>
          <w:rStyle w:val="NormalCharacter"/>
          <w:szCs w:val="22"/>
          <w:kern w:val="2"/>
          <w:lang w:val="en-US" w:eastAsia="zh-CN" w:bidi="ar-SA"/>
          <w:b w:val="0"/>
          <w:i w:val="0"/>
          <w:color w:val="000000"/>
          <w:sz w:val="21"/>
          <w:spacing w:val="0"/>
          <w:w w:val="100"/>
          <w:rFonts w:ascii="Calibri" w:hAnsi="Calibri"/>
          <w:caps w:val="0"/>
        </w:rPr>
        <w:snapToGrid/>
        <w:textAlignment w:val="baseline"/>
      </w:pPr>
      <w:r>
        <w:rPr>
          <w:b w:val="0"/>
          <w:i w:val="0"/>
          <w:color w:val="000000"/>
          <w:sz w:val="21"/>
          <w:spacing w:val="0"/>
          <w:w w:val="100"/>
          <w:rFonts w:ascii="Calibri" w:hAnsi="Calibri"/>
          <w:caps w:val="0"/>
        </w:rPr>
        <w:t/>
      </w:r>
    </w:p>
    <w:sectPr>
      <w:type w:val="nextPage"/>
      <w:pgSz w:h="16838" w:w="11906" w:orient="portrait"/>
      <w:pgMar w:gutter="0" w:header="851" w:top="1440" w:bottom="1440" w:footer="992" w:left="1800" w:right="1800"/>
      <w:paperSrc w:first="0" w:other="0"/>
      <w:lnNumType w:countBy="0"/>
      <w:cols w:space="425" w:num="1"/>
      <w:vAlign w:val="top"/>
      <w:docGrid w:charSpace="0" w:linePitch="312" w:type="lines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1"/>
    <w:family w:val="roman"/>
    <w:panose1 w:val="02020603050405020304"/>
    <w:pitch w:val="default"/>
    <w:sig w:usb0="e0002eff" w:usb1="c000785b" w:usb2="00000009" w:usb3="00000000" w:csb0="400001ff" w:csb1="00000000"/>
  </w:font>
  <w:font w:name="宋体">
    <w:altName w:val="宋体"/>
    <w:charset w:val="86"/>
    <w:family w:val="auto"/>
    <w:panose1 w:val="02010600030101010101"/>
    <w:pitch w:val="default"/>
    <w:sig w:usb0="00000003" w:usb1="288f0000" w:usb2="00000006" w:usb3="00000000" w:csb0="00040001" w:csb1="00000000"/>
  </w:font>
  <w:font w:name="Wingdings">
    <w:altName w:val="Wingdings"/>
    <w:charset w:val="02"/>
    <w:family w:val="auto"/>
    <w:panose1 w:val="05000000000000000000"/>
    <w:pitch w:val="default"/>
    <w:sig w:usb0="00000000" w:usb1="00000000" w:usb2="00000000" w:usb3="00000000" w:csb0="80000000" w:csb1="00000000"/>
  </w:font>
  <w:font w:name="Calibri">
    <w:altName w:val="Calibri"/>
    <w:charset w:val="00"/>
    <w:family w:val="swiss"/>
    <w:panose1 w:val="020f0502020204030204"/>
    <w:pitch w:val="default"/>
    <w:sig w:usb0="e4002eff" w:usb1="c000247b" w:usb2="00000009" w:usb3="00000000" w:csb0="200001ff" w:csb1="00000000"/>
  </w:font>
  <w:font w:name="黑体">
    <w:altName w:val="黑体"/>
    <w:charset w:val="86"/>
    <w:family w:val="auto"/>
    <w:panose1 w:val="02010609060101010101"/>
    <w:pitch w:val="default"/>
    <w:sig w:usb0="800002bf" w:usb1="38cf7cfa" w:usb2="00000016" w:usb3="00000000" w:csb0="00040001" w:csb1="00000000"/>
  </w:font>
  <w:font w:name="仿宋_GB2312">
    <w:altName w:val="仿宋"/>
    <w:charset w:val="86"/>
    <w:family w:val="modern"/>
    <w:panose1 w:val="02010609030101010101"/>
    <w:pitch w:val="default"/>
    <w:sig w:usb0="00000001" w:usb1="080e0000" w:usb2="00000010" w:usb3="00000000" w:csb0="00040000" w:csb1="00000000"/>
  </w:font>
  <w:font w:name="Courier New">
    <w:altName w:val="Courier New"/>
    <w:charset w:val="01"/>
    <w:family w:val="modern"/>
    <w:panose1 w:val="02070309020205020404"/>
    <w:pitch w:val="default"/>
    <w:sig w:usb0="e0002eff" w:usb1="c0007843" w:usb2="00000009" w:usb3="00000000" w:csb0="400001ff" w:csb1="00000000"/>
  </w:font>
  <w:font w:name="Courier New">
    <w:altName w:val="Courier New"/>
    <w:charset w:val="00"/>
    <w:family w:val="modern"/>
    <w:panose1 w:val="02070309020205020404"/>
    <w:pitch w:val="default"/>
    <w:sig w:usb0="e0002eff" w:usb1="c0007843" w:usb2="00000009" w:usb3="00000000" w:csb0="400001ff" w:csb1="00000000"/>
  </w:font>
  <w:font w:name="楷体_GB2312">
    <w:altName w:val="楷体"/>
    <w:charset w:val="86"/>
    <w:family w:val="modern"/>
    <w:panose1 w:val="02010609030101010101"/>
    <w:pitch w:val="default"/>
    <w:sig w:usb0="00000001" w:usb1="080e0000" w:usb2="00000010" w:usb3="00000000" w:csb0="00040000" w:csb1="00000000"/>
  </w:font>
</w:fonts>
</file>

<file path=word/numbering.xml><?xml version="1.0" encoding="utf-8"?>
<w:numbering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abstractNum w:abstractNumId="0">
    <w:nsid w:val="c6aaae37"/>
    <w:multiLevelType w:val="singleLevel"/>
    <w:tmpl w:val="c6aaae37"/>
    <w:lvl w:ilvl="0">
      <w:start w:val="8"/>
      <w:numFmt w:val="chineseCounting"/>
      <w:suff w:val="space"/>
      <w:lvlText w:val="%1、"/>
      <w:lvlJc w:val="left"/>
      <w:pPr>
        <w:pStyle w:val="Normal"/>
        <w:widowControl/>
        <w:textAlignment w:val="baseline"/>
      </w:pPr>
      <w:rPr>
        <w:rStyle w:val="NormalCharacter"/>
      </w:rPr>
    </w:lvl>
  </w:abstractNum>
  <w:abstractNum w:abstractNumId="1">
    <w:nsid w:val="2dfbb472"/>
    <w:multiLevelType w:val="singleLevel"/>
    <w:tmpl w:val="2dfbb472"/>
    <w:lvl w:ilvl="0">
      <w:start w:val="1"/>
      <w:numFmt w:val="chineseCounting"/>
      <w:suff w:val="nothing"/>
      <w:lvlText w:val="（%1）"/>
      <w:lvlJc w:val="left"/>
      <w:pPr>
        <w:pStyle w:val="Normal"/>
        <w:widowControl/>
        <w:textAlignment w:val="baseline"/>
      </w:pPr>
      <w:rPr>
        <w:rStyle w:val="NormalCharacte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stylePaneFormatFilter w:val="3f01"/>
  <w:defaultTabStop w:val="420"/>
  <w:displayHorizontalDrawingGridEvery w:val="0"/>
  <w:displayVerticalDrawingGridEvery w:val="2"/>
  <w:doNotUseMarginsForDrawingGridOrigin/>
  <w:noPunctuationKerning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ExpandShiftReturn/>
    <w:doNotLeaveBackslashAlone/>
  </w:compat>
  <w:rsids/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宋体" w:hAnsi="Times New Roman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2"/>
        <w:sz w:val="21"/>
        <w:kern w:val="2"/>
        <w:lang w:val="en-US" w:eastAsia="zh-CN" w:bidi="ar-SA"/>
        <w:rFonts w:ascii="Calibri" w:hAnsi="Calibri"/>
      </w:rPr>
      <w:jc w:val="both"/>
      <w:textAlignment w:val="baseline"/>
    </w:pPr>
    <w:rPr>
      <w:szCs w:val="22"/>
      <w:sz w:val="21"/>
      <w:kern w:val="2"/>
      <w:lang w:val="en-US" w:eastAsia="zh-CN" w:bidi="ar-SA"/>
      <w:rFonts w:ascii="Calibri" w:hAnsi="Calibri"/>
    </w:rPr>
  </w:style>
  <w:style w:type="character" w:styleId="NormalCharacter">
    <w:name w:val="NormalCharacter"/>
    <w:next w:val="NormalCharacter"/>
    <w:link w:val="Normal"/>
    <w:semiHidden/>
  </w:style>
  <w:style w:type="table" w:styleId="TableNormal">
    <w:name w:val="TableNormal"/>
    <w:next w:val="TableNormal"/>
    <w:link w:val="Normal"/>
    <w:semiHidden/>
  </w:style>
  <w:style w:type="character" w:styleId="UserStyle_0">
    <w:name w:val="UserStyle_0"/>
    <w:next w:val="UserStyle_0"/>
    <w:link w:val="Header"/>
    <w:rPr>
      <w:szCs w:val="18"/>
      <w:sz w:val="18"/>
      <w:kern w:val="2"/>
      <w:rFonts w:ascii="Calibri" w:hAnsi="Calibri"/>
    </w:rPr>
  </w:style>
  <w:style w:type="character" w:styleId="UserStyle_1">
    <w:name w:val="UserStyle_1"/>
    <w:next w:val="UserStyle_1"/>
    <w:link w:val="Footer"/>
    <w:rPr>
      <w:szCs w:val="18"/>
      <w:sz w:val="18"/>
      <w:kern w:val="2"/>
      <w:rFonts w:ascii="Calibri" w:hAnsi="Calibri"/>
    </w:rPr>
  </w:style>
  <w:style w:type="paragraph" w:styleId="Header">
    <w:name w:val="Header"/>
    <w:basedOn w:val="Normal"/>
    <w:next w:val="Header"/>
    <w:link w:val="UserStyle_0"/>
    <w:pPr>
      <w:rPr>
        <w:szCs w:val="18"/>
        <w:sz w:val="18"/>
        <w:kern w:val="2"/>
        <w:lang w:val="en-US" w:eastAsia="zh-CN" w:bidi="ar-SA"/>
        <w:rFonts w:ascii="Calibri" w:hAnsi="Calibri"/>
      </w:rPr>
      <w:tabs>
        <w:tab w:leader="none" w:val="center" w:pos="4153"/>
        <w:tab w:leader="none" w:val="right" w:pos="8306"/>
      </w:tabs>
      <w:snapToGrid w:val="0"/>
      <w:jc w:val="center"/>
      <w:textAlignment w:val="baseline"/>
      <w:pBdr>
        <w:bottom w:space="1" w:color="000000" w:val="single" w:sz="6"/>
      </w:pBdr>
    </w:pPr>
    <w:rPr>
      <w:szCs w:val="18"/>
      <w:sz w:val="18"/>
      <w:kern w:val="2"/>
      <w:lang w:val="en-US" w:eastAsia="zh-CN" w:bidi="ar-SA"/>
      <w:rFonts w:ascii="Calibri" w:hAnsi="Calibri"/>
    </w:rPr>
  </w:style>
  <w:style w:type="paragraph" w:styleId="Footer">
    <w:name w:val="Footer"/>
    <w:basedOn w:val="Normal"/>
    <w:next w:val="Footer"/>
    <w:link w:val="UserStyle_1"/>
    <w:pPr>
      <w:rPr>
        <w:szCs w:val="18"/>
        <w:sz w:val="18"/>
        <w:kern w:val="2"/>
        <w:lang w:val="en-US" w:eastAsia="zh-CN" w:bidi="ar-SA"/>
        <w:rFonts w:ascii="Calibri" w:hAnsi="Calibri"/>
      </w:rPr>
      <w:tabs>
        <w:tab w:leader="none" w:val="center" w:pos="4153"/>
        <w:tab w:leader="none" w:val="right" w:pos="8306"/>
      </w:tabs>
      <w:snapToGrid w:val="0"/>
      <w:jc w:val="left"/>
      <w:textAlignment w:val="baseline"/>
    </w:pPr>
    <w:rPr>
      <w:szCs w:val="18"/>
      <w:sz w:val="18"/>
      <w:kern w:val="2"/>
      <w:lang w:val="en-US" w:eastAsia="zh-CN" w:bidi="ar-SA"/>
      <w:rFonts w:ascii="Calibri" w:hAnsi="Calibri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numbering" Target="numbering.xml" /><Relationship Id="rId4" Type="http://schemas.openxmlformats.org/officeDocument/2006/relationships/fontTable" Target="fontTable.xml" /><Relationship Id="rId5" Type="http://schemas.openxmlformats.org/officeDocument/2006/relationships/settings" Target="settings.xml" 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>
      <w:pPr>
        <w:pStyle w:val="Normal"/>
        <w:rPr>
          <w:rStyle w:val="NormalCharacter"/>
          <w:szCs w:val="36"/>
          <w:sz w:val="36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center"/>
        <w:textAlignment w:val="baseline"/>
      </w:pPr>
      <w:r>
        <w:rPr>
          <w:rStyle w:val="NormalCharacter"/>
          <w:szCs w:val="36"/>
          <w:sz w:val="36"/>
          <w:kern w:val="2"/>
          <w:lang w:val="en-US" w:eastAsia="zh-CN" w:bidi="ar-SA"/>
          <w:rFonts w:ascii="黑体" w:eastAsia="黑体" w:hAnsi="黑体"/>
          <w:color w:val="000000"/>
        </w:rPr>
        <w:t xml:space="preserve">2021</w:t>
      </w:r>
      <w:r>
        <w:rPr>
          <w:rStyle w:val="NormalCharacter"/>
          <w:szCs w:val="36"/>
          <w:sz w:val="36"/>
          <w:kern w:val="2"/>
          <w:lang w:val="en-US" w:eastAsia="zh-CN" w:bidi="ar-SA"/>
          <w:rFonts w:ascii="黑体" w:eastAsia="黑体" w:hAnsi="黑体"/>
          <w:color w:val="000000"/>
        </w:rPr>
        <w:t xml:space="preserve">年</w:t>
      </w:r>
      <w:r>
        <w:rPr>
          <w:rStyle w:val="NormalCharacter"/>
          <w:szCs w:val="36"/>
          <w:sz w:val="36"/>
          <w:kern w:val="2"/>
          <w:lang w:val="en-US" w:eastAsia="zh-CN" w:bidi="ar-SA"/>
          <w:rFonts w:ascii="黑体" w:eastAsia="黑体" w:hAnsi="黑体"/>
          <w:color w:val="000000"/>
        </w:rPr>
        <w:t xml:space="preserve">凤泉区退役军人事务局</w:t>
      </w:r>
      <w:r>
        <w:rPr>
          <w:rStyle w:val="NormalCharacter"/>
          <w:szCs w:val="36"/>
          <w:sz w:val="36"/>
          <w:kern w:val="2"/>
          <w:lang w:val="en-US" w:eastAsia="zh-CN" w:bidi="ar-SA"/>
          <w:rFonts w:ascii="黑体" w:eastAsia="黑体" w:hAnsi="黑体"/>
          <w:color w:val="000000"/>
        </w:rPr>
        <w:t xml:space="preserve">预算公开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left="101" w:firstLineChars="200" w:right="3569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56"/>
          <w:sz w:val="56"/>
          <w:kern w:val="2"/>
          <w:lang w:val="en-US" w:eastAsia="zh-CN" w:bidi="ar-SA"/>
          <w:rFonts w:ascii="黑体" w:eastAsia="黑体" w:hAnsi="Times New Roman"/>
          <w:color w:val="000000"/>
        </w:rPr>
        <w:snapToGrid w:val="0"/>
        <w:ind w:firstLine="39" w:left="-142" w:firstLineChars="7" w:right="51"/>
        <w:spacing w:line="360" w:lineRule="auto"/>
        <w:jc w:val="center"/>
        <w:textAlignment w:val="baseline"/>
      </w:pPr>
      <w:r>
        <w:rPr>
          <w:rStyle w:val="NormalCharacter"/>
          <w:szCs w:val="56"/>
          <w:sz w:val="56"/>
          <w:kern w:val="2"/>
          <w:lang w:val="en-US" w:eastAsia="zh-CN" w:bidi="ar-SA"/>
          <w:rFonts w:ascii="黑体" w:eastAsia="黑体" w:hAnsi="Times New Roman"/>
          <w:color w:val="000000"/>
        </w:rPr>
        <w:t xml:space="preserve">目</w:t>
      </w:r>
      <w:r>
        <w:rPr>
          <w:rStyle w:val="NormalCharacter"/>
          <w:spacing w:val="2"/>
          <w:szCs w:val="56"/>
          <w:sz w:val="56"/>
          <w:kern w:val="2"/>
          <w:lang w:val="en-US" w:eastAsia="zh-CN" w:bidi="ar-SA"/>
          <w:rFonts w:ascii="黑体" w:eastAsia="黑体" w:hAnsi="Times New Roman"/>
          <w:color w:val="000000"/>
        </w:rPr>
        <w:t xml:space="preserve"> </w:t>
      </w:r>
      <w:r>
        <w:rPr>
          <w:rStyle w:val="NormalCharacter"/>
          <w:szCs w:val="56"/>
          <w:sz w:val="56"/>
          <w:kern w:val="2"/>
          <w:lang w:val="en-US" w:eastAsia="zh-CN" w:bidi="ar-SA"/>
          <w:rFonts w:ascii="黑体" w:eastAsia="黑体" w:hAnsi="Times New Roman"/>
          <w:color w:val="000000"/>
        </w:rPr>
        <w:t xml:space="preserve">录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snapToGrid w:val="0"/>
        <w:ind w:rightChars="0" w:firstLine="640" w:firstLineChars="200" w:right="-514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第一部分凤泉区退役军人事务局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概况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3569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一、主要职能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3569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二、部门预算单位构成</w:t>
      </w:r>
    </w:p>
    <w:p>
      <w:pPr>
        <w:pStyle w:val="Normal"/>
        <w:rPr>
          <w:rStyle w:val="NormalCharacter"/>
          <w:szCs w:val="32"/>
          <w:sz w:val="32"/>
          <w:kern w:val="2"/>
          <w:w w:val="99"/>
          <w:lang w:val="en-US" w:eastAsia="zh-CN" w:bidi="ar-SA"/>
          <w:rFonts w:ascii="黑体" w:eastAsia="黑体" w:hAnsi="Times New Roman"/>
          <w:color w:val="000000"/>
        </w:rPr>
        <w:snapToGrid w:val="0"/>
        <w:ind w:rightChars="0" w:firstLine="640" w:firstLineChars="200" w:right="-514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第二部分</w:t>
      </w:r>
      <w:r>
        <w:rPr>
          <w:rStyle w:val="NormalCharacter"/>
          <w:spacing w:val="-38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凤泉区退役军人事务局</w:t>
      </w:r>
      <w:r>
        <w:rPr>
          <w:rStyle w:val="NormalCharacter"/>
          <w:spacing w:val="-119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2021</w:t>
      </w:r>
      <w:r>
        <w:rPr>
          <w:rStyle w:val="NormalCharacter"/>
          <w:spacing w:val="-119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年部门预算情况说明</w:t>
      </w:r>
      <w:r>
        <w:rPr>
          <w:rStyle w:val="NormalCharacter"/>
          <w:szCs w:val="32"/>
          <w:sz w:val="32"/>
          <w:kern w:val="2"/>
          <w:w w:val="99"/>
          <w:lang w:val="en-US" w:eastAsia="zh-CN" w:bidi="ar-SA"/>
          <w:rFonts w:ascii="黑体" w:eastAsia="黑体" w:hAnsi="Times New Roman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snapToGrid w:val="0"/>
        <w:ind w:firstLine="640" w:firstLineChars="200" w:right="521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第三部分</w:t>
      </w:r>
      <w:r>
        <w:rPr>
          <w:rStyle w:val="NormalCharacter"/>
          <w:spacing w:val="-32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名词解释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附件：</w:t>
      </w:r>
      <w:r>
        <w:rPr>
          <w:rStyle w:val="NormalCharacter"/>
          <w:spacing w:val="-32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年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凤泉区退役军人事务局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部门预算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公开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一、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部门收支总体情况表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二、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部门收入总体情况表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三、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部门支出总体情况表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四、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财政拨款收支总体情况表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五、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一般公共预算支出情况表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六、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支出经济分类汇总表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七、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一般公共预算“三公”经费支出情况表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八、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政府性基金预算支出情况表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九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部门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（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单位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）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整体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绩效目标表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960" w:firstLineChars="300" w:right="51"/>
        <w:spacing w:line="360" w:lineRule="auto"/>
        <w:jc w:val="left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部门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预算项目绩效目标汇总表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snapToGrid w:val="0"/>
        <w:ind w:firstLine="640" w:left="101" w:firstLineChars="200" w:right="521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center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第一部分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center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凤泉区退役军人事务局概况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ind w:firstLine="640" w:firstLineChars="200"/>
        <w:spacing w:line="360" w:lineRule="auto"/>
        <w:jc w:val="center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一、凤泉区退役军人事务局主要职责</w:t>
      </w:r>
    </w:p>
    <w:p>
      <w:pPr>
        <w:pStyle w:val="Normal"/>
        <w:rPr>
          <w:rStyle w:val="NormalCharacter"/>
          <w:szCs w:val="32"/>
          <w:sz w:val="32"/>
          <w:kern w:val="0"/>
          <w:lang w:val="en-US" w:eastAsia="zh-CN" w:bidi="ar-SA"/>
          <w:rFonts w:ascii="黑体" w:eastAsia="黑体" w:hAnsi="黑体"/>
          <w:color w:val="000000"/>
        </w:rPr>
        <w:widowControl/>
        <w:framePr w:outlineLvl="1"/>
        <w:ind w:firstLine="640" w:firstLineChars="200"/>
        <w:jc w:val="left"/>
        <w:textAlignment w:val="baseline"/>
      </w:pPr>
      <w:r>
        <w:rPr>
          <w:rStyle w:val="NormalCharacter"/>
          <w:szCs w:val="32"/>
          <w:sz w:val="32"/>
          <w:kern w:val="0"/>
          <w:lang w:val="en-US" w:eastAsia="zh-CN" w:bidi="ar-SA"/>
          <w:rFonts w:ascii="仿宋_GB2312" w:eastAsia="仿宋_GB2312" w:hAnsi="仿宋_GB2312"/>
          <w:color w:val="000000"/>
        </w:rPr>
        <w:t xml:space="preserve">新乡市凤泉区退役军人事务局单位是属于行政事业单位。其主要职责：负责军队转业干部、复员干部、退役士兵的移交安置工作和自主择业退役军人服务受理、待遇保障工作，组织开展退役军人教育培训、优待抚恤等工作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二、凤泉区退役军人事务局预算单位构成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黑体"/>
          <w:color w:val="000000"/>
        </w:rPr>
        <w:ind w:firstLine="640" w:firstLineChars="200"/>
        <w:jc w:val="both"/>
        <w:textAlignment w:val="baseline"/>
      </w:pPr>
      <w:r>
        <w:rPr>
          <w:rStyle w:val="NormalCharacter"/>
          <w:szCs w:val="32"/>
          <w:sz w:val="32"/>
          <w:kern w:val="0"/>
          <w:lang w:val="en-US" w:eastAsia="zh-CN" w:bidi="ar-SA"/>
          <w:rFonts w:ascii="仿宋_GB2312" w:eastAsia="仿宋_GB2312" w:hAnsi="宋体"/>
          <w:color w:val="000000"/>
        </w:rPr>
        <w:t xml:space="preserve">凤泉区退役军人事务局</w:t>
      </w:r>
      <w:r>
        <w:rPr>
          <w:rStyle w:val="NormalCharacter"/>
          <w:spacing w:val="2"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部门</w:t>
      </w:r>
      <w:r>
        <w:rPr>
          <w:rStyle w:val="NormalCharacter"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黑体"/>
          <w:color w:val="000000"/>
        </w:rPr>
        <w:t xml:space="preserve">只包含本级预算，无汇总预算。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黑体"/>
          <w:color w:val="000000"/>
        </w:rPr>
        <w:ind w:firstLine="640" w:firstLineChars="200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黑体"/>
          <w:color w:val="000000"/>
        </w:rPr>
        <w:t xml:space="preserve">1.凤泉区退役军人事务局本级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pacing w:val="-38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snapToGrid w:val="0"/>
        <w:spacing w:line="360" w:lineRule="auto"/>
        <w:jc w:val="center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第二部分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center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新乡市凤泉区退役军人事务局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Times New Roman"/>
          <w:color w:val="000000"/>
        </w:rPr>
        <w:t xml:space="preserve">年部门预算情况说明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一、收入支出预算总体情况说明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新乡市凤泉区退役军人事务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局2021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年收入总计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2087.76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万元，支出总计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2087.76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万元，与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年预算相比，收入增加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585.70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万元，增长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38.99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%。主要原因：</w:t>
      </w:r>
      <w:r>
        <w:rPr>
          <w:rStyle w:val="NormalCharacter"/>
          <w:bCs/>
          <w:szCs w:val="32"/>
          <w:sz w:val="32"/>
          <w:kern w:val="2"/>
          <w:lang w:val="en-US" w:eastAsia="zh-CN" w:bidi="ar-SA"/>
          <w:rFonts w:ascii="仿宋_GB2312" w:cs="仿宋_GB2312" w:eastAsia="仿宋_GB2312" w:hAnsi="仿宋_GB2312"/>
          <w:color w:val="000000"/>
        </w:rPr>
        <w:t xml:space="preserve">项目支出中补助款项的人员和标准增加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;支出增加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585.70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万元，增长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38.99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%。主要原因：</w:t>
      </w:r>
      <w:r>
        <w:rPr>
          <w:rStyle w:val="NormalCharacter"/>
          <w:bCs/>
          <w:szCs w:val="32"/>
          <w:sz w:val="32"/>
          <w:kern w:val="2"/>
          <w:lang w:val="en-US" w:eastAsia="zh-CN" w:bidi="ar-SA"/>
          <w:rFonts w:ascii="仿宋_GB2312" w:cs="仿宋_GB2312" w:eastAsia="仿宋_GB2312" w:hAnsi="仿宋_GB2312"/>
          <w:color w:val="000000"/>
        </w:rPr>
        <w:t xml:space="preserve">项目支出中补助款项的人员和标准增加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二、收入预算总体情况说明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新乡市凤泉区退役军人事务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局2021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年收入合计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2087.76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万元，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其中：一般公共预算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1644.78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万元;中央专项转移支付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442.98万元；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政府性基金收入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万元；专户管理的教育收费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万元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三、支出预算总体情况说明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新乡市凤泉区退役军人事务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年支出合计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2087.76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万元，其中：基本支出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85.79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4.11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%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；项目支出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2001.97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95.89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%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四、财政拨款收入支出预算总体情况说明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新乡市凤泉区退役军人事务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一般公共预算收支预算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1644.78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万元，政府性基金收支预算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万元。与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年相比，一般公共预算收支预算增加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142.72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万元，增长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9.5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%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，主要原因：</w:t>
      </w:r>
      <w:r>
        <w:rPr>
          <w:rStyle w:val="NormalCharacter"/>
          <w:bCs/>
          <w:szCs w:val="32"/>
          <w:sz w:val="32"/>
          <w:kern w:val="2"/>
          <w:lang w:val="en-US" w:eastAsia="zh-CN" w:bidi="ar-SA"/>
          <w:rFonts w:ascii="仿宋_GB2312" w:cs="仿宋_GB2312" w:eastAsia="仿宋_GB2312" w:hAnsi="仿宋_GB2312"/>
          <w:color w:val="000000"/>
        </w:rPr>
        <w:t xml:space="preserve">项目支出中补助款项的人员和标准增加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；政府性基金收支预算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持平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五、一般公共预算支出预算情况说明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新乡市凤泉区退役军人事务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Times New Roman"/>
          <w:color w:val="000000"/>
        </w:rPr>
        <w:t xml:space="preserve">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年一般公共预算支出年初预算为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1644.78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万元。主要用于以下方面：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行政运行支出65.93万元，占比4.01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其他民政管理事务支出11.00万元，占比0.67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机关事业单位基本养老保险缴费支出7.73万元，占比0.47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义务兵优待支出352.00万元，占比21.40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其他优抚支出707.39万元，占比43.01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退役士兵安置支出341.00万元；占比20.73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其他退役安置支出15.35万元；占比0.93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拥军优属支出46.00万元；占比2.80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其他退役军人事务管理支出55.90万元，占比3.40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其他社会保障和就业支出</w:t>
        <w:tab/>
        <w:t xml:space="preserve">0.81万元；占比0.05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行政单位医疗支出3.89万元；占比0.24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优抚对象医疗补助支出20.20万元，占比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.23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其他优抚对象医疗支出10.15万元，占比0.62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%；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住房公积金支出7.43万元，占比0.45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%。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 </w:t>
      </w:r>
    </w:p>
    <w:p>
      <w:pPr>
        <w:pStyle w:val="Normal"/>
        <w:rPr>
          <w:rStyle w:val="NormalCharacter"/>
          <w:szCs w:val="32"/>
          <w:sz w:val="32"/>
          <w:kern w:val="0"/>
          <w:lang w:val="en-US" w:eastAsia="zh-CN" w:bidi="ar-SA"/>
          <w:rFonts w:ascii="黑体" w:eastAsia="黑体" w:hAnsi="Times New Roman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0"/>
          <w:lang w:val="en-US" w:eastAsia="zh-CN" w:bidi="ar-SA"/>
          <w:rFonts w:ascii="黑体" w:eastAsia="黑体" w:hAnsi="Times New Roman"/>
          <w:color w:val="000000"/>
        </w:rPr>
        <w:t xml:space="preserve">六、支出预算经济分类情况说明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snapToGrid w:val="0"/>
        <w:ind w:firstLine="640" w:firstLineChars="200"/>
        <w:spacing w:line="60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按照《财政部关于印发&lt;支出经济分类科目改革方案&gt;的通知》（财预〔2017〕98号）要求，从201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8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年起全面实施支出经济分类科目改革，根据政府预算管理和部门预算管理的不同特点，分设部门预算支出经济分类科目和政府预算支出经济分类科目，两套科目之间保持对应关系。我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《支出经济分类汇总表》, 按两套经济分类科目分别反映不同资金来源的全部预算支出。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0"/>
          <w:lang w:val="en-US" w:eastAsia="zh-CN" w:bidi="ar-SA"/>
          <w:rFonts w:ascii="黑体" w:eastAsia="黑体" w:hAnsi="Times New Roman"/>
          <w:color w:val="000000"/>
        </w:rPr>
        <w:t xml:space="preserve">七、政府性基金预算支出决算情况说明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局2021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年无使用政府性基金预算拨款安排的支出。</w:t>
      </w:r>
    </w:p>
    <w:p>
      <w:pPr>
        <w:pStyle w:val="Normal"/>
        <w:rPr>
          <w:rStyle w:val="NormalCharacter"/>
          <w:szCs w:val="32"/>
          <w:sz w:val="32"/>
          <w:kern w:val="0"/>
          <w:lang w:val="en-US" w:eastAsia="zh-CN" w:bidi="ar-SA"/>
          <w:rFonts w:ascii="黑体" w:eastAsia="黑体" w:hAnsi="Times New Roman"/>
          <w:color w:val="000000"/>
        </w:rPr>
        <w:ind w:firstLine="640" w:firstLineChars="200"/>
        <w:spacing w:line="560" w:lineRule="exact"/>
        <w:jc w:val="both"/>
        <w:textAlignment w:val="baseline"/>
        <w:numPr>
          <w:ilvl w:val="0"/>
          <w:numId w:val="1"/>
        </w:numPr>
      </w:pPr>
      <w:r>
        <w:rPr>
          <w:rStyle w:val="NormalCharacter"/>
          <w:szCs w:val="32"/>
          <w:sz w:val="32"/>
          <w:kern w:val="0"/>
          <w:lang w:val="en-US" w:eastAsia="zh-CN" w:bidi="ar-SA"/>
          <w:rFonts w:ascii="黑体" w:eastAsia="黑体" w:hAnsi="Times New Roman"/>
          <w:color w:val="000000"/>
        </w:rPr>
        <w:t xml:space="preserve">“三公”经费支出预算情况说明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ind w:firstLine="640" w:firstLineChars="200"/>
        <w:spacing w:line="56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局2021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年“三公”经费预算为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万元。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年“三公”经费支出预算数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与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2020年度持平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具体支出情况如下：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39" w:firstLineChars="200"/>
        <w:spacing w:line="360" w:lineRule="auto"/>
        <w:jc w:val="both"/>
        <w:textAlignment w:val="baseline"/>
        <w:numPr>
          <w:ilvl w:val="0"/>
          <w:numId w:val="2"/>
        </w:numPr>
      </w:pPr>
      <w:r>
        <w:rPr>
          <w:rStyle w:val="NormalCharacter"/>
          <w:b/>
          <w:spacing w:val="-1"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因公出国（境）费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pacing w:val="-1"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万元，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主要用于单位工作人员公务出国（境）的住宿费、旅费、伙食补助费、杂费、培训费等支出。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预算数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与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2020年度持平。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39" w:firstLineChars="200"/>
        <w:spacing w:line="360" w:lineRule="auto"/>
        <w:jc w:val="both"/>
        <w:textAlignment w:val="baseline"/>
        <w:numPr>
          <w:ilvl w:val="0"/>
          <w:numId w:val="0"/>
        </w:numPr>
      </w:pPr>
      <w:r>
        <w:rPr>
          <w:rStyle w:val="NormalCharacter"/>
          <w:b/>
          <w:spacing w:val="-1"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（二）公务用车购置及运行费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万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元，其中，公务用车购置费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万元；公务用车运行维护费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。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公务用车购置费预算数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与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2020年度持平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。公务用车运行维护费预算数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与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2020年度持平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39" w:firstLineChars="200"/>
        <w:spacing w:line="360" w:lineRule="auto"/>
        <w:jc w:val="both"/>
        <w:textAlignment w:val="baseline"/>
      </w:pPr>
      <w:r>
        <w:rPr>
          <w:rStyle w:val="NormalCharacter"/>
          <w:b/>
          <w:spacing w:val="-1"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（三）公务接待费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万元。预算数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与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 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2020年度持平。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36" w:firstLineChars="200"/>
        <w:spacing w:line="360" w:lineRule="auto"/>
        <w:jc w:val="both"/>
        <w:textAlignment w:val="baseline"/>
      </w:pPr>
      <w:r>
        <w:rPr>
          <w:rStyle w:val="NormalCharacter"/>
          <w:spacing w:val="-1"/>
          <w:szCs w:val="32"/>
          <w:sz w:val="32"/>
          <w:kern w:val="0"/>
          <w:lang w:val="en-US" w:eastAsia="zh-CN" w:bidi="ar-SA"/>
          <w:rFonts w:ascii="黑体" w:eastAsia="黑体" w:hAnsi="Times New Roman"/>
          <w:color w:val="000000"/>
        </w:rPr>
        <w:t xml:space="preserve">九、其他重要事项情况说明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3" w:firstLineChars="200"/>
        <w:spacing w:line="360" w:lineRule="auto"/>
        <w:jc w:val="both"/>
        <w:textAlignment w:val="baseline"/>
      </w:pPr>
      <w:r>
        <w:rPr>
          <w:rStyle w:val="NormalCharacter"/>
          <w:b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（一）机关运行经费支出情况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新乡市凤泉区退役军人事务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局2021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机关运行经费支出预算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11.65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主要保障机构正常运转及正常履职需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。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其中工资福利支出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71.80万元，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日常公用经费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（商品服务支出）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13.99万元。</w:t>
      </w:r>
    </w:p>
    <w:p>
      <w:pPr>
        <w:pStyle w:val="Normal"/>
        <w:rPr>
          <w:rStyle w:val="NormalCharacter"/>
          <w:b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3" w:firstLineChars="200"/>
        <w:spacing w:line="360" w:lineRule="auto"/>
        <w:jc w:val="both"/>
        <w:textAlignment w:val="baseline"/>
      </w:pPr>
      <w:r>
        <w:rPr>
          <w:rStyle w:val="NormalCharacter"/>
          <w:b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（二）政府采购支出情况</w:t>
      </w:r>
    </w:p>
    <w:p>
      <w:pPr>
        <w:pStyle w:val="Normal"/>
        <w:rPr>
          <w:rStyle w:val="NormalCharacter"/>
          <w:b/>
          <w:szCs w:val="32"/>
          <w:sz w:val="32"/>
          <w:kern w:val="0"/>
          <w:lang w:val="en-US" w:eastAsia="zh-CN" w:bidi="ar-SA"/>
          <w:rFonts w:ascii="楷体_GB2312" w:eastAsia="楷体_GB2312" w:hAnsi="Times New Roman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年政府采购预算安排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万元，其中：政府采购货物预算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万元、政府采购工程预算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万元、政府采购服务预算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  <w:color w:val="000000"/>
        </w:rPr>
        <w:t xml:space="preserve">万元。</w:t>
      </w:r>
    </w:p>
    <w:p>
      <w:pPr>
        <w:pStyle w:val="Normal"/>
        <w:rPr>
          <w:rStyle w:val="NormalCharacter"/>
          <w:b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snapToGrid w:val="0"/>
        <w:ind w:firstLine="643" w:firstLineChars="200"/>
        <w:spacing w:line="360" w:lineRule="auto"/>
        <w:jc w:val="both"/>
        <w:textAlignment w:val="baseline"/>
      </w:pPr>
      <w:r>
        <w:rPr>
          <w:rStyle w:val="NormalCharacter"/>
          <w:b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（三）预算绩效管理工作开展情况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800" w:firstLineChars="25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局2021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年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预算项目均按要求编制了绩效目标，从项目产出、项目效益、满意度等方面设置了绩效指标，综合反映项目预期完成的数量、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实效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、质量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，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预期达到的社会经济效益、可持续影响以及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服务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对象满意度等情况。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60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2020年我部门重点项目预算资金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2001.97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万元，其中：八一、春节慰问项目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11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万元，专项-部分退役士兵社会保险结续经费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55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万元，专项-抚恤等优抚支出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519.27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万元，专项-提前下达义务兵优待金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15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万元，专项-提前下达优抚对象补助经费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385.84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万元，专项-提前下达优抚对象医疗保障经费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14.14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万元，专项-提前下达自主就业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28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万元，专项-退役士兵安置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341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万元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,专项-往年指标结转-老党员生活补助2.6万元，专项-往年指标结转-退役士兵养老保险结续8.6万元，专项-往年指标结转-义务兵优待金和自主就业退役士兵一次性经济补助资金6.75万元，专项-往年指标结转-优抚对象补助经费165.52万元，专项-往年指标结转-优抚对象医疗等经费10.15万元，专项-往年指标结转-直达资金退役士兵安置补助0.9万元，专项-西藏新疆等边远地区服现役补助20万元，专项-义务兵优待金352万元，专项-拥军优属46万元，专项-优抚对象医疗补助经费20.2万元。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预算绩效说明如下;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600" w:lineRule="exact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1、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八一、春节慰问项目:春节军政座谈会、“八一”走访慰问；走访慰问优抚对象，帮助优抚对象解决困难，把党和政府的温暖送到优抚对象家中。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2、专项-往年指标结转-优抚对象补助经费和专项-拥军优属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项目：通过双拥走访，协调军地双方关系，巩固加强军民团结。大力宣传拥军优属和拥政爱民先进事迹，进一步增强全民国防观念和支前双拥意识。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3、专项-往年指标结转-直达资金退役士兵安置补助、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专项-提前下达退役安置补助经费和专项-退役士兵安置：按照上级定额补助标准，发放退役士兵自主就业一次性补助资金，维护广大退役士兵合法权益，缓解了退役士兵就业难的问题。促进国防建设，维护社会稳定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4、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专项-提前下达优抚对象补助经费：按照上级核定标准发放补助资金，用于解决优抚对象生活等困难和对优抚对象的临时性救助，有效保障各类优抚对象和老党员抚恤生活补助政策得到全面落实，维护了优抚对象的合法权益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5、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专项-提前下达优抚对象医疗保障经费和专项-优抚对象医疗经费：用于解决全区重点优抚对象的门诊补助、大病住院救助等医疗方面困难。保障全区重点优抚对象享受医疗补助的权益，彰显党和国家对优抚对象的关心和关怀。有效缓解了优抚对象治病难问题，取得巨大的社会效益，维护社会稳定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6、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专项-义务兵优待金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和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专项-西藏新疆等边远地区服现役补助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:体现地方人民政府爱军拥军的优良传统，对国防建设的支持以及对能进一步团结巩固军政军民关系，营造浓厚的双拥环境，提高全民国防意识，激励广大有志青年踊跃参军报国，激励现役军人现身国防、在军营建功立业。</w:t>
      </w:r>
    </w:p>
    <w:p>
      <w:pPr>
        <w:pStyle w:val="Normal"/>
        <w:rPr>
          <w:rStyle w:val="NormalCharacter"/>
          <w:b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bidi w:val="off"/>
        <w:wordWrap/>
        <w:snapToGrid w:val="0"/>
        <w:ind w:firstLine="643" w:firstLineChars="200"/>
        <w:spacing w:line="360" w:before="157" w:lineRule="auto"/>
        <w:jc w:val="both"/>
        <w:textAlignment w:val="auto"/>
      </w:pPr>
      <w:r>
        <w:rPr>
          <w:rStyle w:val="NormalCharacter"/>
          <w:b/>
          <w:szCs w:val="32"/>
          <w:sz w:val="32"/>
          <w:kern w:val="0"/>
          <w:lang w:val="en-US" w:eastAsia="zh-CN" w:bidi="ar-SA"/>
          <w:rFonts w:ascii="仿宋_GB2312" w:eastAsia="仿宋_GB2312" w:hAnsi="Times New Roman"/>
          <w:color w:val="000000"/>
        </w:rPr>
        <w:t xml:space="preserve">（四）国有资产占用情况。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202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年期末，我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共有车辆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辆，其中：一般公务用车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辆、一般执法执勤用车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辆、特种专业技术用车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辆，其他用车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辆；单价50万元以上通用设备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台（套），单位价值100万元以上专用设备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台（套）。</w:t>
      </w:r>
    </w:p>
    <w:p>
      <w:pPr>
        <w:pStyle w:val="Normal"/>
        <w:rPr>
          <w:rStyle w:val="NormalCharacter"/>
          <w:b/>
          <w:szCs w:val="32"/>
          <w:sz w:val="32"/>
          <w:kern w:val="2"/>
          <w:lang w:val="en-US" w:eastAsia="zh-CN" w:bidi="ar-SA"/>
          <w:rFonts w:ascii="仿宋_GB2312" w:eastAsia="仿宋_GB2312" w:hAnsi="宋体"/>
        </w:rPr>
        <w:snapToGrid w:val="0"/>
        <w:ind w:firstLine="643" w:firstLineChars="200"/>
        <w:spacing w:line="360" w:lineRule="auto"/>
        <w:jc w:val="both"/>
        <w:textAlignment w:val="baseline"/>
      </w:pPr>
      <w:r>
        <w:rPr>
          <w:rStyle w:val="NormalCharacter"/>
          <w:b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（五）专项转移支付项目情况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部门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负责管理的专项转移支付项目共有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</w:rPr>
        <w:t xml:space="preserve">0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Calibri"/>
        </w:rPr>
        <w:t xml:space="preserve">项，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我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部门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</w:rPr>
        <w:t xml:space="preserve">将按照《预算法》等有关规定，积极做好项目分配前期准备工作，在规定的时间内向财政部门提出资金分配意见，根据有关要求做好项目申报公开等相关工作。</w:t>
      </w:r>
    </w:p>
    <w:p>
      <w:pPr>
        <w:pStyle w:val="Normal"/>
        <w:rPr>
          <w:rStyle w:val="NormalCharacter"/>
          <w:b/>
          <w:szCs w:val="32"/>
          <w:sz w:val="32"/>
          <w:kern w:val="0"/>
          <w:lang w:val="en-US" w:eastAsia="zh-CN" w:bidi="ar-SA"/>
          <w:rFonts w:ascii="楷体_GB2312" w:eastAsia="楷体_GB2312" w:hAnsi="Times New Roman"/>
          <w:color w:val="000000"/>
        </w:rPr>
        <w:snapToGrid w:val="0"/>
        <w:ind w:firstLine="643" w:firstLineChars="200"/>
        <w:spacing w:line="360" w:lineRule="auto"/>
        <w:jc w:val="center"/>
        <w:textAlignment w:val="baseline"/>
      </w:pPr>
    </w:p>
    <w:p>
      <w:pPr>
        <w:pStyle w:val="Normal"/>
        <w:rPr>
          <w:rStyle w:val="NormalCharacter"/>
          <w:b/>
          <w:szCs w:val="32"/>
          <w:sz w:val="32"/>
          <w:kern w:val="0"/>
          <w:lang w:val="en-US" w:eastAsia="zh-CN" w:bidi="ar-SA"/>
          <w:rFonts w:ascii="楷体_GB2312" w:eastAsia="楷体_GB2312" w:hAnsi="Times New Roman"/>
          <w:color w:val="000000"/>
        </w:rPr>
        <w:snapToGrid w:val="0"/>
        <w:ind w:firstLine="643" w:firstLineChars="200"/>
        <w:spacing w:line="360" w:lineRule="auto"/>
        <w:jc w:val="center"/>
        <w:textAlignment w:val="baseline"/>
      </w:pPr>
    </w:p>
    <w:p>
      <w:pPr>
        <w:pStyle w:val="Normal"/>
        <w:rPr>
          <w:rStyle w:val="NormalCharacter"/>
          <w:b/>
          <w:szCs w:val="32"/>
          <w:sz w:val="32"/>
          <w:kern w:val="0"/>
          <w:lang w:val="en-US" w:eastAsia="zh-CN" w:bidi="ar-SA"/>
          <w:rFonts w:ascii="楷体_GB2312" w:eastAsia="楷体_GB2312" w:hAnsi="Times New Roman"/>
          <w:color w:val="000000"/>
        </w:rPr>
        <w:snapToGrid w:val="0"/>
        <w:ind w:firstLine="643" w:firstLineChars="200"/>
        <w:spacing w:line="360" w:lineRule="auto"/>
        <w:jc w:val="center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center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第三部分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center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名词解释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一、财政拨款收入：是指省级财政当年拨付的资金。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二、事业收入：是指事业单位开展专业活动及辅助活动所取 得的收入。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三、其他收入：是指部门取得的除“财政拨款”、“事业收入”、“事业单位经营收入”等以外的收入。 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五、基本支出：是指为保障机构正常运转、完成日常工作任务所必需的开支，其内容包括人员经费和日常公用经费两部分。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六、项目支出：是指在基本支出之外，为完成特定的行政工作任务或事业发展目标所发生的支出。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七、“三公”经费：是指纳入省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仿宋_GB2312" w:eastAsia="仿宋_GB2312" w:hAnsi="宋体"/>
          <w:color w:val="000000"/>
        </w:rPr>
        <w:t xml:space="preserve">八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both"/>
        <w:textAlignment w:val="baseline"/>
      </w:pP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附件：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2021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年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新乡市凤泉区退役军人事务局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部门预算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公开</w:t>
      </w:r>
      <w:r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t xml:space="preserve">表</w:t>
      </w: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ind w:firstLine="640" w:firstLineChars="20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32"/>
          <w:sz w:val="32"/>
          <w:kern w:val="2"/>
          <w:lang w:val="en-US" w:eastAsia="zh-CN" w:bidi="ar-SA"/>
          <w:rFonts w:ascii="黑体" w:eastAsia="黑体" w:hAnsi="黑体"/>
          <w:color w:val="000000"/>
        </w:rPr>
        <w:snapToGrid w:val="0"/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szCs w:val="22"/>
          <w:sz w:val="21"/>
          <w:kern w:val="2"/>
          <w:lang w:val="en-US" w:eastAsia="zh-CN" w:bidi="ar-SA"/>
          <w:rFonts w:ascii="Calibri" w:hAnsi="Calibri"/>
          <w:color w:val="000000"/>
        </w:rPr>
        <w:jc w:val="both"/>
        <w:textAlignment w:val="baseline"/>
      </w:pPr>
    </w:p>
    <w:sectPr>
      <w:vAlign w:val="top"/>
      <w:type w:val="nextPage"/>
      <w:pgSz w:h="16838" w:w="11906" w:orient="portrait"/>
      <w:pgMar w:gutter="0" w:header="851" w:top="1440" w:bottom="1440" w:footer="992" w:left="1800" w:right="1800"/>
      <w:lnNumType w:countBy="0"/>
      <w:paperSrc w:first="0" w:other="0"/>
      <w:cols w:space="425" w:num="1"/>
      <w:docGrid w:charSpace="0" w:linePitch="312" w:type="lines"/>
    </w:sectPr>
  </w:body>
</w:document>
</file>

<file path=treport/opRecord.xml>p_91(0,91_1|D);
</file>