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2021</w:t>
      </w:r>
      <w:r>
        <w:rPr>
          <w:rFonts w:hint="eastAsia" w:ascii="黑体" w:hAnsi="黑体" w:eastAsia="黑体" w:cs="黑体"/>
          <w:sz w:val="44"/>
          <w:szCs w:val="44"/>
        </w:rPr>
        <w:t>年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新乡市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凤泉区统计局</w:t>
      </w:r>
      <w:r>
        <w:rPr>
          <w:rFonts w:hint="eastAsia" w:ascii="黑体" w:hAnsi="黑体" w:eastAsia="黑体" w:cs="黑体"/>
          <w:sz w:val="44"/>
          <w:szCs w:val="44"/>
        </w:rPr>
        <w:t>部门预算公开</w:t>
      </w:r>
    </w:p>
    <w:p>
      <w:pPr>
        <w:kinsoku w:val="0"/>
        <w:overflowPunct w:val="0"/>
        <w:adjustRightInd w:val="0"/>
        <w:snapToGrid w:val="0"/>
        <w:spacing w:line="360" w:lineRule="auto"/>
        <w:ind w:left="101" w:right="3569" w:firstLine="640" w:firstLineChars="200"/>
        <w:rPr>
          <w:rFonts w:ascii="仿宋_GB2312" w:hAnsi="Times New Roman" w:eastAsia="仿宋_GB2312"/>
          <w:sz w:val="32"/>
          <w:szCs w:val="32"/>
        </w:rPr>
      </w:pPr>
    </w:p>
    <w:p>
      <w:pPr>
        <w:kinsoku w:val="0"/>
        <w:overflowPunct w:val="0"/>
        <w:adjustRightInd w:val="0"/>
        <w:snapToGrid w:val="0"/>
        <w:spacing w:line="360" w:lineRule="auto"/>
        <w:ind w:left="-142" w:right="51" w:firstLine="39" w:firstLineChars="7"/>
        <w:jc w:val="center"/>
        <w:rPr>
          <w:rFonts w:ascii="黑体" w:hAnsi="Times New Roman" w:eastAsia="黑体" w:cs="黑体"/>
          <w:sz w:val="56"/>
          <w:szCs w:val="56"/>
        </w:rPr>
      </w:pPr>
      <w:r>
        <w:rPr>
          <w:rFonts w:hint="eastAsia" w:ascii="黑体" w:hAnsi="Times New Roman" w:eastAsia="黑体" w:cs="黑体"/>
          <w:sz w:val="56"/>
          <w:szCs w:val="56"/>
        </w:rPr>
        <w:t>目</w:t>
      </w:r>
      <w:r>
        <w:rPr>
          <w:rFonts w:ascii="黑体" w:hAnsi="Times New Roman" w:eastAsia="黑体" w:cs="黑体"/>
          <w:spacing w:val="2"/>
          <w:sz w:val="56"/>
          <w:szCs w:val="56"/>
        </w:rPr>
        <w:t xml:space="preserve"> </w:t>
      </w:r>
      <w:r>
        <w:rPr>
          <w:rFonts w:hint="eastAsia" w:ascii="黑体" w:hAnsi="Times New Roman" w:eastAsia="黑体" w:cs="黑体"/>
          <w:sz w:val="56"/>
          <w:szCs w:val="56"/>
        </w:rPr>
        <w:t>录</w:t>
      </w:r>
    </w:p>
    <w:p>
      <w:pPr>
        <w:kinsoku w:val="0"/>
        <w:overflowPunct w:val="0"/>
        <w:adjustRightInd w:val="0"/>
        <w:snapToGrid w:val="0"/>
        <w:spacing w:line="360" w:lineRule="auto"/>
        <w:ind w:right="106" w:rightChars="0" w:firstLine="640" w:firstLineChars="200"/>
        <w:rPr>
          <w:rFonts w:ascii="黑体" w:hAnsi="Times New Roman" w:eastAsia="黑体" w:cs="黑体"/>
          <w:w w:val="99"/>
          <w:sz w:val="32"/>
          <w:szCs w:val="32"/>
        </w:rPr>
      </w:pPr>
      <w:r>
        <w:rPr>
          <w:rFonts w:hint="eastAsia" w:ascii="黑体" w:hAnsi="Times New Roman" w:eastAsia="黑体" w:cs="黑体"/>
          <w:sz w:val="32"/>
          <w:szCs w:val="32"/>
        </w:rPr>
        <w:t>第一部分</w:t>
      </w:r>
      <w:r>
        <w:rPr>
          <w:rFonts w:ascii="黑体" w:hAnsi="Times New Roman" w:eastAsia="黑体" w:cs="黑体"/>
          <w:sz w:val="32"/>
          <w:szCs w:val="32"/>
        </w:rPr>
        <w:t xml:space="preserve"> </w:t>
      </w:r>
      <w:r>
        <w:rPr>
          <w:rFonts w:hint="eastAsia" w:ascii="黑体" w:hAnsi="Times New Roman" w:eastAsia="黑体" w:cs="黑体"/>
          <w:sz w:val="32"/>
          <w:szCs w:val="32"/>
          <w:lang w:eastAsia="zh-CN"/>
        </w:rPr>
        <w:t>新乡市</w:t>
      </w:r>
      <w:r>
        <w:rPr>
          <w:rFonts w:hint="eastAsia" w:ascii="黑体" w:hAnsi="Times New Roman" w:eastAsia="黑体" w:cs="黑体"/>
          <w:sz w:val="32"/>
          <w:szCs w:val="32"/>
          <w:lang w:val="en-US" w:eastAsia="zh-CN"/>
        </w:rPr>
        <w:t>凤泉区统计局</w:t>
      </w:r>
      <w:r>
        <w:rPr>
          <w:rFonts w:hint="eastAsia" w:ascii="黑体" w:hAnsi="Times New Roman" w:eastAsia="黑体" w:cs="黑体"/>
          <w:sz w:val="32"/>
          <w:szCs w:val="32"/>
        </w:rPr>
        <w:t>概况</w:t>
      </w:r>
      <w:r>
        <w:rPr>
          <w:rFonts w:ascii="黑体" w:hAnsi="Times New Roman" w:eastAsia="黑体" w:cs="黑体"/>
          <w:w w:val="99"/>
          <w:sz w:val="32"/>
          <w:szCs w:val="32"/>
        </w:rPr>
        <w:t xml:space="preserve"> </w:t>
      </w:r>
    </w:p>
    <w:p>
      <w:pPr>
        <w:kinsoku w:val="0"/>
        <w:overflowPunct w:val="0"/>
        <w:adjustRightInd w:val="0"/>
        <w:snapToGrid w:val="0"/>
        <w:spacing w:line="360" w:lineRule="auto"/>
        <w:ind w:right="3569" w:firstLine="960" w:firstLineChars="300"/>
        <w:jc w:val="left"/>
        <w:rPr>
          <w:rFonts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一、主要职能</w:t>
      </w:r>
    </w:p>
    <w:p>
      <w:pPr>
        <w:kinsoku w:val="0"/>
        <w:overflowPunct w:val="0"/>
        <w:adjustRightInd w:val="0"/>
        <w:snapToGrid w:val="0"/>
        <w:spacing w:line="360" w:lineRule="auto"/>
        <w:ind w:right="3569" w:firstLine="960" w:firstLineChars="300"/>
        <w:jc w:val="left"/>
        <w:rPr>
          <w:rFonts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二、部门预算单位构成</w:t>
      </w:r>
    </w:p>
    <w:p>
      <w:pPr>
        <w:kinsoku w:val="0"/>
        <w:overflowPunct w:val="0"/>
        <w:adjustRightInd w:val="0"/>
        <w:snapToGrid w:val="0"/>
        <w:spacing w:line="360" w:lineRule="auto"/>
        <w:ind w:right="-514" w:rightChars="0" w:firstLine="640" w:firstLineChars="200"/>
        <w:rPr>
          <w:rFonts w:ascii="黑体" w:hAnsi="Times New Roman" w:eastAsia="黑体" w:cs="黑体"/>
          <w:w w:val="99"/>
          <w:sz w:val="32"/>
          <w:szCs w:val="32"/>
        </w:rPr>
      </w:pPr>
      <w:r>
        <w:rPr>
          <w:rFonts w:hint="eastAsia" w:ascii="黑体" w:hAnsi="Times New Roman" w:eastAsia="黑体" w:cs="黑体"/>
          <w:sz w:val="32"/>
          <w:szCs w:val="32"/>
        </w:rPr>
        <w:t>第二部分</w:t>
      </w:r>
      <w:r>
        <w:rPr>
          <w:rFonts w:ascii="黑体" w:hAnsi="Times New Roman" w:eastAsia="黑体" w:cs="黑体"/>
          <w:spacing w:val="-38"/>
          <w:sz w:val="32"/>
          <w:szCs w:val="32"/>
        </w:rPr>
        <w:t xml:space="preserve"> </w:t>
      </w:r>
      <w:r>
        <w:rPr>
          <w:rFonts w:hint="eastAsia" w:ascii="黑体" w:eastAsia="黑体" w:cs="黑体"/>
          <w:spacing w:val="-38"/>
          <w:sz w:val="32"/>
          <w:szCs w:val="32"/>
          <w:lang w:val="en-US" w:eastAsia="zh-CN"/>
        </w:rPr>
        <w:t>新乡市</w:t>
      </w:r>
      <w:r>
        <w:rPr>
          <w:rFonts w:hint="eastAsia" w:ascii="黑体" w:hAnsi="Times New Roman" w:eastAsia="黑体" w:cs="黑体"/>
          <w:sz w:val="32"/>
          <w:szCs w:val="32"/>
          <w:lang w:val="en-US" w:eastAsia="zh-CN"/>
        </w:rPr>
        <w:t>凤泉区统计局</w:t>
      </w:r>
      <w:r>
        <w:rPr>
          <w:rFonts w:ascii="黑体" w:hAnsi="Times New Roman" w:eastAsia="黑体" w:cs="黑体"/>
          <w:spacing w:val="-119"/>
          <w:sz w:val="32"/>
          <w:szCs w:val="32"/>
        </w:rPr>
        <w:t xml:space="preserve"> </w:t>
      </w:r>
      <w:r>
        <w:rPr>
          <w:rFonts w:hint="eastAsia" w:ascii="黑体" w:eastAsia="黑体" w:cs="黑体"/>
          <w:sz w:val="32"/>
          <w:szCs w:val="32"/>
          <w:lang w:eastAsia="zh-CN"/>
        </w:rPr>
        <w:t>2021</w:t>
      </w:r>
      <w:r>
        <w:rPr>
          <w:rFonts w:ascii="黑体" w:hAnsi="Times New Roman" w:eastAsia="黑体" w:cs="黑体"/>
          <w:spacing w:val="-119"/>
          <w:sz w:val="32"/>
          <w:szCs w:val="32"/>
        </w:rPr>
        <w:t xml:space="preserve"> </w:t>
      </w:r>
      <w:r>
        <w:rPr>
          <w:rFonts w:hint="eastAsia" w:ascii="黑体" w:hAnsi="Times New Roman" w:eastAsia="黑体" w:cs="黑体"/>
          <w:sz w:val="32"/>
          <w:szCs w:val="32"/>
        </w:rPr>
        <w:t>年部门预算情况说明</w:t>
      </w:r>
      <w:r>
        <w:rPr>
          <w:rFonts w:ascii="黑体" w:hAnsi="Times New Roman" w:eastAsia="黑体" w:cs="黑体"/>
          <w:w w:val="99"/>
          <w:sz w:val="32"/>
          <w:szCs w:val="32"/>
        </w:rPr>
        <w:t xml:space="preserve"> </w:t>
      </w:r>
    </w:p>
    <w:p>
      <w:pPr>
        <w:kinsoku w:val="0"/>
        <w:overflowPunct w:val="0"/>
        <w:adjustRightInd w:val="0"/>
        <w:snapToGrid w:val="0"/>
        <w:spacing w:line="360" w:lineRule="auto"/>
        <w:ind w:right="521" w:firstLine="640" w:firstLineChars="200"/>
        <w:rPr>
          <w:rFonts w:ascii="黑体" w:hAnsi="Times New Roman" w:eastAsia="黑体" w:cs="黑体"/>
          <w:sz w:val="32"/>
          <w:szCs w:val="32"/>
        </w:rPr>
      </w:pPr>
      <w:r>
        <w:rPr>
          <w:rFonts w:hint="eastAsia" w:ascii="黑体" w:hAnsi="Times New Roman" w:eastAsia="黑体" w:cs="黑体"/>
          <w:sz w:val="32"/>
          <w:szCs w:val="32"/>
        </w:rPr>
        <w:t>第三部分</w:t>
      </w:r>
      <w:r>
        <w:rPr>
          <w:rFonts w:ascii="黑体" w:hAnsi="Times New Roman" w:eastAsia="黑体" w:cs="黑体"/>
          <w:spacing w:val="-32"/>
          <w:sz w:val="32"/>
          <w:szCs w:val="32"/>
        </w:rPr>
        <w:t xml:space="preserve"> </w:t>
      </w:r>
      <w:r>
        <w:rPr>
          <w:rFonts w:hint="eastAsia" w:ascii="黑体" w:hAnsi="Times New Roman" w:eastAsia="黑体" w:cs="黑体"/>
          <w:sz w:val="32"/>
          <w:szCs w:val="32"/>
        </w:rPr>
        <w:t>名词解释</w:t>
      </w:r>
    </w:p>
    <w:p>
      <w:pPr>
        <w:kinsoku w:val="0"/>
        <w:overflowPunct w:val="0"/>
        <w:adjustRightInd w:val="0"/>
        <w:snapToGrid w:val="0"/>
        <w:spacing w:line="360" w:lineRule="auto"/>
        <w:ind w:firstLine="640" w:firstLineChars="200"/>
        <w:rPr>
          <w:rFonts w:ascii="黑体" w:hAnsi="Times New Roman" w:eastAsia="黑体" w:cs="黑体"/>
          <w:sz w:val="32"/>
          <w:szCs w:val="32"/>
        </w:rPr>
      </w:pPr>
      <w:r>
        <w:rPr>
          <w:rFonts w:hint="eastAsia" w:ascii="黑体" w:hAnsi="Times New Roman" w:eastAsia="黑体" w:cs="黑体"/>
          <w:sz w:val="32"/>
          <w:szCs w:val="32"/>
        </w:rPr>
        <w:t>附件：</w:t>
      </w:r>
      <w:r>
        <w:rPr>
          <w:rFonts w:ascii="黑体" w:hAnsi="Times New Roman" w:eastAsia="黑体" w:cs="黑体"/>
          <w:spacing w:val="-32"/>
          <w:sz w:val="32"/>
          <w:szCs w:val="32"/>
        </w:rPr>
        <w:t xml:space="preserve"> </w:t>
      </w:r>
      <w:r>
        <w:rPr>
          <w:rFonts w:hint="eastAsia" w:ascii="黑体" w:eastAsia="黑体" w:cs="黑体"/>
          <w:sz w:val="32"/>
          <w:szCs w:val="32"/>
          <w:lang w:eastAsia="zh-CN"/>
        </w:rPr>
        <w:t>2021</w:t>
      </w:r>
      <w:r>
        <w:rPr>
          <w:rFonts w:hint="eastAsia" w:ascii="黑体" w:hAnsi="Times New Roman" w:eastAsia="黑体" w:cs="黑体"/>
          <w:sz w:val="32"/>
          <w:szCs w:val="32"/>
        </w:rPr>
        <w:t>年</w:t>
      </w:r>
      <w:r>
        <w:rPr>
          <w:rFonts w:hint="eastAsia" w:ascii="黑体" w:hAnsi="Times New Roman" w:eastAsia="黑体" w:cs="黑体"/>
          <w:sz w:val="32"/>
          <w:szCs w:val="32"/>
          <w:lang w:eastAsia="zh-CN"/>
        </w:rPr>
        <w:t>新乡市</w:t>
      </w:r>
      <w:r>
        <w:rPr>
          <w:rFonts w:hint="eastAsia" w:ascii="黑体" w:hAnsi="Times New Roman" w:eastAsia="黑体" w:cs="黑体"/>
          <w:sz w:val="32"/>
          <w:szCs w:val="32"/>
          <w:lang w:val="en-US" w:eastAsia="zh-CN"/>
        </w:rPr>
        <w:t>凤泉区统计局</w:t>
      </w:r>
      <w:r>
        <w:rPr>
          <w:rFonts w:hint="eastAsia" w:ascii="黑体" w:hAnsi="Times New Roman" w:eastAsia="黑体" w:cs="黑体"/>
          <w:sz w:val="32"/>
          <w:szCs w:val="32"/>
        </w:rPr>
        <w:t>预算</w:t>
      </w:r>
      <w:r>
        <w:rPr>
          <w:rFonts w:hint="eastAsia" w:ascii="黑体" w:hAnsi="Times New Roman" w:eastAsia="黑体" w:cs="黑体"/>
          <w:sz w:val="32"/>
          <w:szCs w:val="32"/>
          <w:lang w:val="en-US" w:eastAsia="zh-CN"/>
        </w:rPr>
        <w:t>公开</w:t>
      </w:r>
      <w:r>
        <w:rPr>
          <w:rFonts w:hint="eastAsia" w:ascii="黑体" w:hAnsi="Times New Roman" w:eastAsia="黑体" w:cs="黑体"/>
          <w:sz w:val="32"/>
          <w:szCs w:val="32"/>
        </w:rPr>
        <w:t>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960" w:firstLineChars="300"/>
        <w:jc w:val="left"/>
        <w:rPr>
          <w:rFonts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一、</w:t>
      </w:r>
      <w:r>
        <w:rPr>
          <w:rFonts w:hint="eastAsia" w:ascii="仿宋_GB2312" w:eastAsia="仿宋_GB2312"/>
          <w:sz w:val="32"/>
          <w:szCs w:val="32"/>
        </w:rPr>
        <w:t>部门收支总体情况表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960" w:firstLineChars="300"/>
        <w:jc w:val="left"/>
        <w:rPr>
          <w:rFonts w:hint="eastAsia"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二、</w:t>
      </w:r>
      <w:r>
        <w:rPr>
          <w:rFonts w:hint="eastAsia" w:ascii="仿宋_GB2312" w:hAnsi="Times New Roman" w:eastAsia="仿宋_GB2312" w:cs="仿宋_GB2312"/>
          <w:sz w:val="32"/>
          <w:szCs w:val="32"/>
        </w:rPr>
        <w:t>部门收入总体情况表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960" w:firstLineChars="300"/>
        <w:jc w:val="left"/>
        <w:rPr>
          <w:rFonts w:hint="eastAsia"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Times New Roman" w:eastAsia="仿宋_GB2312" w:cs="仿宋_GB2312"/>
          <w:sz w:val="32"/>
          <w:szCs w:val="32"/>
        </w:rPr>
        <w:t>部门支出总体情况表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960" w:firstLineChars="300"/>
        <w:jc w:val="left"/>
        <w:rPr>
          <w:rFonts w:hint="eastAsia"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四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Times New Roman" w:eastAsia="仿宋_GB2312" w:cs="仿宋_GB2312"/>
          <w:sz w:val="32"/>
          <w:szCs w:val="32"/>
        </w:rPr>
        <w:t>财政拨款收支总体情况表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960" w:firstLineChars="300"/>
        <w:jc w:val="left"/>
        <w:rPr>
          <w:rFonts w:hint="eastAsia"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Times New Roman" w:eastAsia="仿宋_GB2312" w:cs="仿宋_GB2312"/>
          <w:sz w:val="32"/>
          <w:szCs w:val="32"/>
        </w:rPr>
        <w:t>一般公共预算支出情况表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960" w:firstLineChars="300"/>
        <w:jc w:val="left"/>
        <w:rPr>
          <w:rFonts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六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Times New Roman" w:eastAsia="仿宋_GB2312" w:cs="仿宋_GB2312"/>
          <w:sz w:val="32"/>
          <w:szCs w:val="32"/>
        </w:rPr>
        <w:t>一般公共预算基本支出明细表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960" w:firstLineChars="3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七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政府性基金预算支出情况表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960" w:firstLineChars="3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八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一般公共预算“三公”经费支出情况表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960" w:firstLineChars="3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九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机关运行经费情况表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960" w:firstLineChars="3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十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政府采购表</w:t>
      </w:r>
    </w:p>
    <w:p>
      <w:pPr>
        <w:spacing w:line="600" w:lineRule="exact"/>
        <w:rPr>
          <w:rFonts w:hint="eastAsia" w:ascii="仿宋" w:hAnsi="仿宋" w:eastAsia="仿宋" w:cs="黑体"/>
          <w:color w:val="444444"/>
          <w:sz w:val="32"/>
          <w:szCs w:val="32"/>
        </w:rPr>
      </w:pPr>
      <w:r>
        <w:rPr>
          <w:rFonts w:hint="eastAsia" w:ascii="仿宋" w:hAnsi="仿宋" w:eastAsia="仿宋" w:cs="黑体"/>
          <w:color w:val="444444"/>
          <w:sz w:val="32"/>
          <w:szCs w:val="32"/>
        </w:rPr>
        <w:t xml:space="preserve">    </w:t>
      </w:r>
    </w:p>
    <w:p>
      <w:pPr>
        <w:spacing w:line="600" w:lineRule="exact"/>
        <w:rPr>
          <w:rFonts w:hint="eastAsia" w:ascii="仿宋" w:hAnsi="仿宋" w:eastAsia="仿宋" w:cs="黑体"/>
          <w:color w:val="444444"/>
          <w:sz w:val="32"/>
          <w:szCs w:val="32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第一部分</w:t>
      </w: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新乡市凤泉区统计局</w:t>
      </w:r>
      <w:r>
        <w:rPr>
          <w:rFonts w:hint="eastAsia" w:ascii="黑体" w:hAnsi="黑体" w:eastAsia="黑体"/>
          <w:sz w:val="32"/>
          <w:szCs w:val="32"/>
        </w:rPr>
        <w:t>概况</w:t>
      </w:r>
    </w:p>
    <w:p>
      <w:pPr>
        <w:adjustRightInd w:val="0"/>
        <w:snapToGrid w:val="0"/>
        <w:spacing w:line="360" w:lineRule="auto"/>
        <w:ind w:firstLine="640" w:firstLineChars="200"/>
        <w:jc w:val="center"/>
        <w:rPr>
          <w:rFonts w:ascii="黑体" w:hAnsi="黑体" w:eastAsia="黑体"/>
          <w:sz w:val="32"/>
          <w:szCs w:val="32"/>
        </w:rPr>
      </w:pPr>
    </w:p>
    <w:p>
      <w:pPr>
        <w:numPr>
          <w:ilvl w:val="0"/>
          <w:numId w:val="1"/>
        </w:numPr>
        <w:adjustRightInd w:val="0"/>
        <w:snapToGrid w:val="0"/>
        <w:spacing w:line="360" w:lineRule="auto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新乡市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凤泉区统计局</w:t>
      </w:r>
      <w:r>
        <w:rPr>
          <w:rFonts w:hint="eastAsia" w:ascii="黑体" w:hAnsi="黑体" w:eastAsia="黑体"/>
          <w:sz w:val="32"/>
          <w:szCs w:val="32"/>
        </w:rPr>
        <w:t>主要职责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贯彻执行国家、省和市有关统计工作方针政策、方法制度、法律法规，拟订统计工作规划和调查计划并组织实施，承担组织和协调全区统计工作，确保统计数据真实、准确、及时的责任；监督检查统计法律、法规和制度的实施，指导全区统计工作。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组织实施全区国民经济核算制度和投入产出调查，执行国家和省的统计标准和基本统计报表制度，核算全区及各镇（街、区）生产总值，汇编提供国民经济核算资料。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会同有关部门拟订重大区情区力普查计划、方案，组织实施全区人口、经济、农业等重大区情区力普查，汇总、整理和提供有关区情区力方面的统计数据。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组织实施农林牧渔业、工业、建筑业、批发和零售业、住宿和餐饮业、房地产业等统计调查，收集、汇总、整理和提供有关调查的统计数据，综合整理和提供旅游、对外经济、交通运输、邮政、教育、卫生、社会保障、公用事业等全区性基本统计数据。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组织实施能源、投资、科技、人口、劳动力、社会发展基本情况等统计调查，收集、汇总、整理和提供有关调查的统计数据。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组织全区各镇（街、区）、区直部门的经济、社会、科技和资源环境统计调查，统一核定、管理、公布全区性的基本统计资料，定期发布全区国民经济和社会发展情况的统计信息；组织建立服务业统计信息共享和发布制度。</w:t>
      </w:r>
    </w:p>
    <w:p>
      <w:pPr>
        <w:widowControl/>
        <w:shd w:val="clear" w:color="auto"/>
        <w:snapToGrid w:val="0"/>
        <w:spacing w:line="60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（七）</w:t>
      </w:r>
      <w:r>
        <w:rPr>
          <w:rFonts w:hint="eastAsia" w:ascii="仿宋" w:hAnsi="仿宋" w:eastAsia="仿宋" w:cs="宋体"/>
          <w:kern w:val="0"/>
          <w:sz w:val="32"/>
          <w:szCs w:val="32"/>
        </w:rPr>
        <w:t>对国民经济、社会发展和科技进步情况进行统计分析、统计预测和统计监督，向区委、区政府及有关部门提供咨询建议。</w:t>
      </w:r>
    </w:p>
    <w:p>
      <w:pPr>
        <w:widowControl/>
        <w:shd w:val="clear" w:color="auto"/>
        <w:snapToGrid w:val="0"/>
        <w:spacing w:line="60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（八）</w:t>
      </w:r>
      <w:r>
        <w:rPr>
          <w:rFonts w:hint="eastAsia" w:ascii="仿宋" w:hAnsi="仿宋" w:eastAsia="仿宋" w:cs="宋体"/>
          <w:kern w:val="0"/>
          <w:sz w:val="32"/>
          <w:szCs w:val="32"/>
        </w:rPr>
        <w:t>依法审批全区各镇（街、区）、区直部门统计调查项目，指导统计基层建设和统计基础工作规范化建设，组织建立服务业统计信息管理制度，建立健全统计数据质量审核、监控和评估制度，开展对重要统计数据的审核、监控和评估。</w:t>
      </w:r>
    </w:p>
    <w:p>
      <w:pPr>
        <w:widowControl/>
        <w:shd w:val="clear" w:color="auto"/>
        <w:snapToGrid w:val="0"/>
        <w:spacing w:line="60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（九）</w:t>
      </w:r>
      <w:r>
        <w:rPr>
          <w:rFonts w:hint="eastAsia" w:ascii="仿宋" w:hAnsi="仿宋" w:eastAsia="仿宋" w:cs="宋体"/>
          <w:kern w:val="0"/>
          <w:sz w:val="32"/>
          <w:szCs w:val="32"/>
        </w:rPr>
        <w:t>建立健全和管理全区统计信息自动化系统和数据库系统，指导各镇（街、区）、区直部门统计数据库和网络的基本标准和运行规则的实施工作，指导全区统计信息化系统建设。</w:t>
      </w:r>
    </w:p>
    <w:p>
      <w:pPr>
        <w:widowControl/>
        <w:shd w:val="clear" w:color="auto"/>
        <w:snapToGrid w:val="0"/>
        <w:spacing w:line="60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（十）</w:t>
      </w:r>
      <w:r>
        <w:rPr>
          <w:rFonts w:hint="eastAsia" w:ascii="仿宋" w:hAnsi="仿宋" w:eastAsia="仿宋" w:cs="宋体"/>
          <w:kern w:val="0"/>
          <w:sz w:val="32"/>
          <w:szCs w:val="32"/>
        </w:rPr>
        <w:t>指导全区统计专业技术队伍建设，会同有关部门组织管理全区统计专业人员从业资格考试，从业资格认定申报工作，组织指导全区统计人员教育和业务培训；指导全区统计科学研究，开展统计工作和统计科学的交流合作。</w:t>
      </w:r>
    </w:p>
    <w:p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（十一）</w:t>
      </w:r>
      <w:r>
        <w:rPr>
          <w:rFonts w:hint="eastAsia" w:ascii="仿宋" w:hAnsi="仿宋" w:eastAsia="仿宋" w:cs="宋体"/>
          <w:kern w:val="0"/>
          <w:sz w:val="32"/>
          <w:szCs w:val="32"/>
        </w:rPr>
        <w:t>承办区人民政府和市统计部门交办的其他事项。</w:t>
      </w:r>
    </w:p>
    <w:p>
      <w:pPr>
        <w:shd w:val="clear"/>
        <w:spacing w:line="600" w:lineRule="exact"/>
        <w:ind w:firstLine="640" w:firstLineChars="2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（十二）</w:t>
      </w:r>
      <w:r>
        <w:rPr>
          <w:rFonts w:hint="eastAsia" w:ascii="仿宋" w:hAnsi="仿宋" w:eastAsia="仿宋" w:cs="宋体"/>
          <w:sz w:val="32"/>
          <w:szCs w:val="32"/>
        </w:rPr>
        <w:t>监测预警全区国民经济运行，分析研究经济社会重大问题，提出宏观调控咨询建设；整理和提供全区经济社会综合性统计数据，管理综合统计数据库；负责统计数据发布和统计新闻宣传。</w:t>
      </w:r>
    </w:p>
    <w:p>
      <w:pPr>
        <w:shd w:val="clear"/>
        <w:spacing w:line="600" w:lineRule="exact"/>
        <w:ind w:firstLine="640" w:firstLineChars="2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（十三）</w:t>
      </w:r>
      <w:r>
        <w:rPr>
          <w:rFonts w:hint="eastAsia" w:ascii="仿宋" w:hAnsi="仿宋" w:eastAsia="仿宋" w:cs="宋体"/>
          <w:sz w:val="32"/>
          <w:szCs w:val="32"/>
        </w:rPr>
        <w:t>认真核算全区国内生产总值；组织收入产出调查，编制全区投入产出、资金流量、资产负债表和国民经济账户。开展全区综合经济与资源环境核算；整理和提供国民经济核算资料，开展分析研究；监督管理全区国民经济核算工作。</w:t>
      </w:r>
    </w:p>
    <w:p>
      <w:pPr>
        <w:shd w:val="clear"/>
        <w:spacing w:line="600" w:lineRule="exact"/>
        <w:ind w:firstLine="640" w:firstLineChars="2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（十四）</w:t>
      </w:r>
      <w:r>
        <w:rPr>
          <w:rFonts w:hint="eastAsia" w:ascii="仿宋" w:hAnsi="仿宋" w:eastAsia="仿宋" w:cs="宋体"/>
          <w:sz w:val="32"/>
          <w:szCs w:val="32"/>
        </w:rPr>
        <w:t>组织实施工业统计调查，收集、整理和提供有关调查的统计数据。</w:t>
      </w:r>
    </w:p>
    <w:p>
      <w:pPr>
        <w:shd w:val="clear"/>
        <w:spacing w:line="600" w:lineRule="exact"/>
        <w:ind w:firstLine="640" w:firstLineChars="2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（十五）</w:t>
      </w:r>
      <w:r>
        <w:rPr>
          <w:rFonts w:hint="eastAsia" w:ascii="仿宋" w:hAnsi="仿宋" w:eastAsia="仿宋" w:cs="宋体"/>
          <w:sz w:val="32"/>
          <w:szCs w:val="32"/>
        </w:rPr>
        <w:t>组织实施农业普查、农林牧渔业统计、农村基本情况统计。</w:t>
      </w:r>
    </w:p>
    <w:p>
      <w:pPr>
        <w:widowControl/>
        <w:shd w:val="clear" w:color="auto"/>
        <w:snapToGrid w:val="0"/>
        <w:spacing w:line="600" w:lineRule="exact"/>
        <w:ind w:firstLine="640" w:firstLineChars="200"/>
        <w:jc w:val="left"/>
        <w:rPr>
          <w:rFonts w:hint="eastAsia" w:ascii="仿宋" w:hAnsi="仿宋" w:eastAsia="仿宋" w:cs="宋体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（十六）</w:t>
      </w:r>
      <w:r>
        <w:rPr>
          <w:rFonts w:hint="eastAsia" w:ascii="仿宋" w:hAnsi="仿宋" w:eastAsia="仿宋" w:cs="宋体"/>
          <w:sz w:val="32"/>
          <w:szCs w:val="32"/>
        </w:rPr>
        <w:t>组织实施人口普查、人口抽样调查、人口与城镇化调查、劳动力调查、工资统计以及科技、社会发展、文化产业基本情况等统计调查，收集、整理和提供就业等有关调查统计数据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。</w:t>
      </w:r>
    </w:p>
    <w:p>
      <w:pPr>
        <w:widowControl/>
        <w:shd w:val="clear" w:color="auto"/>
        <w:snapToGrid w:val="0"/>
        <w:spacing w:line="600" w:lineRule="exact"/>
        <w:ind w:firstLine="640" w:firstLineChars="200"/>
        <w:jc w:val="left"/>
        <w:rPr>
          <w:rFonts w:hint="eastAsia" w:ascii="仿宋" w:hAnsi="仿宋" w:eastAsia="仿宋" w:cs="宋体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sz w:val="32"/>
          <w:szCs w:val="32"/>
          <w:lang w:eastAsia="zh-CN"/>
        </w:rPr>
        <w:t>（十七）</w:t>
      </w:r>
      <w:r>
        <w:rPr>
          <w:rFonts w:hint="eastAsia" w:ascii="仿宋" w:hAnsi="仿宋" w:eastAsia="仿宋" w:cs="宋体"/>
          <w:sz w:val="32"/>
          <w:szCs w:val="32"/>
        </w:rPr>
        <w:t>组织开展对重要统计监测评价考核指标体系的研究；组织制定有关监测和评价考核方案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  <w:lang w:eastAsia="zh-CN"/>
        </w:rPr>
        <w:t>（十八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)</w:t>
      </w:r>
      <w:r>
        <w:rPr>
          <w:rFonts w:hint="eastAsia" w:ascii="仿宋" w:hAnsi="仿宋" w:eastAsia="仿宋" w:cs="宋体"/>
          <w:sz w:val="32"/>
          <w:szCs w:val="32"/>
        </w:rPr>
        <w:t>统筹组织服务业统计调查工作；组织服务业统计监测体系建设；收集、整理和提供有关调查的统计数据；综合整理和提供交通运输、邮政电信等服务业统计数据。</w:t>
      </w:r>
    </w:p>
    <w:p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宋体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sz w:val="32"/>
          <w:szCs w:val="32"/>
          <w:lang w:eastAsia="zh-CN"/>
        </w:rPr>
        <w:t>（十九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)</w:t>
      </w:r>
      <w:r>
        <w:rPr>
          <w:rFonts w:hint="eastAsia" w:ascii="仿宋" w:hAnsi="仿宋" w:eastAsia="仿宋" w:cs="宋体"/>
          <w:sz w:val="32"/>
          <w:szCs w:val="32"/>
        </w:rPr>
        <w:t>研究全区统计体制改革和统计工作发展规划；贯彻执行国家、省、市国民经济核算制度、统计调查制度、统计标准、改革规划和方案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。</w:t>
      </w:r>
    </w:p>
    <w:p>
      <w:pPr>
        <w:widowControl/>
        <w:shd w:val="clear" w:color="auto"/>
        <w:snapToGrid w:val="0"/>
        <w:spacing w:line="600" w:lineRule="exact"/>
        <w:ind w:firstLine="640" w:firstLineChars="200"/>
        <w:jc w:val="left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  <w:lang w:eastAsia="zh-CN"/>
        </w:rPr>
        <w:t>（二十）</w:t>
      </w:r>
      <w:r>
        <w:rPr>
          <w:rFonts w:hint="eastAsia" w:ascii="仿宋" w:hAnsi="仿宋" w:eastAsia="仿宋" w:cs="宋体"/>
          <w:sz w:val="32"/>
          <w:szCs w:val="32"/>
        </w:rPr>
        <w:t>组织制定全区经济社会统计调查制度；组织协调统计基层业务基础建设；负责全区统计调查项目的管理。</w:t>
      </w:r>
    </w:p>
    <w:p>
      <w:pPr>
        <w:shd w:val="clear"/>
        <w:spacing w:line="600" w:lineRule="exact"/>
        <w:ind w:firstLine="640" w:firstLineChars="2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  <w:lang w:eastAsia="zh-CN"/>
        </w:rPr>
        <w:t>（二十一）</w:t>
      </w:r>
      <w:r>
        <w:rPr>
          <w:rFonts w:hint="eastAsia" w:ascii="仿宋" w:hAnsi="仿宋" w:eastAsia="仿宋" w:cs="宋体"/>
          <w:sz w:val="32"/>
          <w:szCs w:val="32"/>
        </w:rPr>
        <w:t>开展对有关统计数据质量进行检查和评估；组织指导有关专业统计基础工作；进行统计分析。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</w:t>
      </w:r>
      <w:r>
        <w:rPr>
          <w:rFonts w:hint="eastAsia" w:ascii="黑体" w:hAnsi="黑体" w:eastAsia="黑体"/>
          <w:sz w:val="32"/>
          <w:szCs w:val="32"/>
          <w:lang w:eastAsia="zh-CN"/>
        </w:rPr>
        <w:t>新乡市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凤泉区统计局</w:t>
      </w:r>
      <w:r>
        <w:rPr>
          <w:rFonts w:hint="eastAsia" w:ascii="黑体" w:hAnsi="黑体" w:eastAsia="黑体"/>
          <w:sz w:val="32"/>
          <w:szCs w:val="32"/>
        </w:rPr>
        <w:t>预算单位构成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19" w:firstLine="648" w:firstLineChars="200"/>
        <w:jc w:val="left"/>
        <w:textAlignment w:val="auto"/>
        <w:rPr>
          <w:rFonts w:hint="eastAsia" w:ascii="仿宋_GB2312" w:hAnsi="Times New Roman" w:eastAsia="仿宋_GB2312" w:cs="仿宋_GB2312"/>
          <w:spacing w:val="-1"/>
          <w:kern w:val="0"/>
          <w:sz w:val="32"/>
          <w:szCs w:val="32"/>
        </w:rPr>
      </w:pPr>
      <w:r>
        <w:rPr>
          <w:rFonts w:hint="eastAsia" w:ascii="仿宋_GB2312" w:hAnsi="Times New Roman" w:eastAsia="仿宋_GB2312" w:cs="仿宋_GB2312"/>
          <w:spacing w:val="2"/>
          <w:kern w:val="0"/>
          <w:sz w:val="32"/>
          <w:szCs w:val="32"/>
          <w:lang w:val="en-US" w:eastAsia="zh-CN"/>
        </w:rPr>
        <w:t>新乡市凤泉区统计局</w:t>
      </w:r>
      <w:r>
        <w:rPr>
          <w:rFonts w:hint="eastAsia" w:ascii="仿宋_GB2312" w:hAnsi="Times New Roman" w:eastAsia="仿宋_GB2312" w:cs="仿宋_GB2312"/>
          <w:kern w:val="0"/>
          <w:sz w:val="32"/>
          <w:szCs w:val="32"/>
        </w:rPr>
        <w:t>预算</w:t>
      </w:r>
      <w:r>
        <w:rPr>
          <w:rFonts w:hint="eastAsia" w:ascii="仿宋_GB2312" w:hAnsi="Times New Roman" w:eastAsia="仿宋_GB2312" w:cs="仿宋_GB2312"/>
          <w:spacing w:val="2"/>
          <w:kern w:val="0"/>
          <w:sz w:val="32"/>
          <w:szCs w:val="32"/>
        </w:rPr>
        <w:t>包括</w:t>
      </w:r>
      <w:r>
        <w:rPr>
          <w:rFonts w:hint="eastAsia" w:ascii="仿宋_GB2312" w:hAnsi="Times New Roman" w:eastAsia="仿宋_GB2312" w:cs="仿宋_GB2312"/>
          <w:spacing w:val="2"/>
          <w:kern w:val="0"/>
          <w:sz w:val="32"/>
          <w:szCs w:val="32"/>
          <w:lang w:eastAsia="zh-CN"/>
        </w:rPr>
        <w:t>新乡市</w:t>
      </w:r>
      <w:r>
        <w:rPr>
          <w:rFonts w:hint="eastAsia" w:ascii="仿宋_GB2312" w:hAnsi="Times New Roman" w:eastAsia="仿宋_GB2312" w:cs="仿宋_GB2312"/>
          <w:spacing w:val="2"/>
          <w:kern w:val="0"/>
          <w:sz w:val="32"/>
          <w:szCs w:val="32"/>
          <w:lang w:val="en-US" w:eastAsia="zh-CN"/>
        </w:rPr>
        <w:t>凤泉区统计局</w:t>
      </w:r>
      <w:r>
        <w:rPr>
          <w:rFonts w:hint="eastAsia" w:ascii="仿宋_GB2312" w:hAnsi="Times New Roman" w:eastAsia="仿宋_GB2312" w:cs="仿宋_GB2312"/>
          <w:spacing w:val="2"/>
          <w:kern w:val="0"/>
          <w:sz w:val="32"/>
          <w:szCs w:val="32"/>
        </w:rPr>
        <w:t>本级</w:t>
      </w:r>
      <w:r>
        <w:rPr>
          <w:rFonts w:hint="eastAsia" w:ascii="仿宋_GB2312" w:hAnsi="Times New Roman" w:eastAsia="仿宋_GB2312" w:cs="仿宋_GB2312"/>
          <w:spacing w:val="-1"/>
          <w:kern w:val="0"/>
          <w:sz w:val="32"/>
          <w:szCs w:val="32"/>
        </w:rPr>
        <w:t>预算</w:t>
      </w:r>
      <w:r>
        <w:rPr>
          <w:rFonts w:hint="eastAsia" w:ascii="仿宋_GB2312" w:hAnsi="Times New Roman" w:eastAsia="仿宋_GB2312" w:cs="仿宋_GB2312"/>
          <w:spacing w:val="-1"/>
          <w:kern w:val="0"/>
          <w:sz w:val="32"/>
          <w:szCs w:val="32"/>
          <w:lang w:val="en-US" w:eastAsia="zh-CN"/>
        </w:rPr>
        <w:t>和</w:t>
      </w:r>
      <w:r>
        <w:rPr>
          <w:rFonts w:hint="eastAsia" w:ascii="仿宋_GB2312" w:hAnsi="Times New Roman" w:eastAsia="仿宋_GB2312" w:cs="仿宋_GB2312"/>
          <w:spacing w:val="2"/>
          <w:kern w:val="0"/>
          <w:sz w:val="32"/>
          <w:szCs w:val="32"/>
          <w:lang w:val="en-US" w:eastAsia="zh-CN"/>
        </w:rPr>
        <w:t>局</w:t>
      </w:r>
      <w:r>
        <w:rPr>
          <w:rFonts w:hint="eastAsia" w:ascii="仿宋_GB2312" w:hAnsi="Times New Roman" w:eastAsia="仿宋_GB2312" w:cs="仿宋_GB2312"/>
          <w:spacing w:val="2"/>
          <w:kern w:val="0"/>
          <w:sz w:val="32"/>
          <w:szCs w:val="32"/>
        </w:rPr>
        <w:t>属</w:t>
      </w:r>
      <w:r>
        <w:rPr>
          <w:rFonts w:hint="eastAsia" w:ascii="仿宋_GB2312" w:hAnsi="Times New Roman" w:eastAsia="仿宋_GB2312" w:cs="仿宋_GB2312"/>
          <w:spacing w:val="-1"/>
          <w:kern w:val="0"/>
          <w:sz w:val="32"/>
          <w:szCs w:val="32"/>
        </w:rPr>
        <w:t>单位预算。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19" w:firstLine="636" w:firstLineChars="200"/>
        <w:jc w:val="left"/>
        <w:textAlignment w:val="auto"/>
        <w:rPr>
          <w:rFonts w:hint="eastAsia" w:ascii="仿宋_GB2312" w:eastAsia="仿宋_GB2312" w:cs="仿宋_GB2312"/>
          <w:spacing w:val="-1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pacing w:val="-1"/>
          <w:kern w:val="0"/>
          <w:sz w:val="32"/>
          <w:szCs w:val="32"/>
          <w:lang w:val="en-US" w:eastAsia="zh-CN"/>
        </w:rPr>
        <w:t>新乡市凤泉区统计局本级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19" w:firstLine="636" w:firstLineChars="200"/>
        <w:jc w:val="left"/>
        <w:textAlignment w:val="auto"/>
        <w:rPr>
          <w:rFonts w:hint="default" w:ascii="仿宋_GB2312" w:eastAsia="仿宋_GB2312" w:cs="仿宋_GB2312"/>
          <w:spacing w:val="-1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pacing w:val="-1"/>
          <w:kern w:val="0"/>
          <w:sz w:val="32"/>
          <w:szCs w:val="32"/>
          <w:lang w:val="en-US" w:eastAsia="zh-CN"/>
        </w:rPr>
        <w:t>行政政法科</w:t>
      </w:r>
    </w:p>
    <w:p>
      <w:pPr>
        <w:numPr>
          <w:ilvl w:val="0"/>
          <w:numId w:val="0"/>
        </w:numPr>
        <w:kinsoku w:val="0"/>
        <w:overflowPunct w:val="0"/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_GB2312" w:hAnsi="Times New Roman" w:eastAsia="仿宋_GB2312" w:cs="仿宋_GB2312"/>
          <w:spacing w:val="-1"/>
          <w:kern w:val="0"/>
          <w:sz w:val="32"/>
          <w:szCs w:val="32"/>
        </w:rPr>
      </w:pPr>
    </w:p>
    <w:p>
      <w:pPr>
        <w:numPr>
          <w:ilvl w:val="0"/>
          <w:numId w:val="0"/>
        </w:numPr>
        <w:kinsoku w:val="0"/>
        <w:overflowPunct w:val="0"/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_GB2312" w:hAnsi="Times New Roman" w:eastAsia="仿宋_GB2312" w:cs="仿宋_GB2312"/>
          <w:spacing w:val="-1"/>
          <w:kern w:val="0"/>
          <w:sz w:val="32"/>
          <w:szCs w:val="32"/>
        </w:rPr>
      </w:pPr>
    </w:p>
    <w:p>
      <w:pPr>
        <w:numPr>
          <w:ilvl w:val="0"/>
          <w:numId w:val="0"/>
        </w:numPr>
        <w:kinsoku w:val="0"/>
        <w:overflowPunct w:val="0"/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_GB2312" w:hAnsi="Times New Roman" w:eastAsia="仿宋_GB2312" w:cs="仿宋_GB2312"/>
          <w:spacing w:val="-1"/>
          <w:kern w:val="0"/>
          <w:sz w:val="32"/>
          <w:szCs w:val="32"/>
        </w:rPr>
      </w:pPr>
    </w:p>
    <w:p>
      <w:pPr>
        <w:numPr>
          <w:ilvl w:val="0"/>
          <w:numId w:val="0"/>
        </w:numPr>
        <w:kinsoku w:val="0"/>
        <w:overflowPunct w:val="0"/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_GB2312" w:hAnsi="Times New Roman" w:eastAsia="仿宋_GB2312" w:cs="仿宋_GB2312"/>
          <w:spacing w:val="-1"/>
          <w:kern w:val="0"/>
          <w:sz w:val="32"/>
          <w:szCs w:val="32"/>
        </w:rPr>
      </w:pPr>
    </w:p>
    <w:p>
      <w:pPr>
        <w:numPr>
          <w:ilvl w:val="0"/>
          <w:numId w:val="0"/>
        </w:numPr>
        <w:kinsoku w:val="0"/>
        <w:overflowPunct w:val="0"/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_GB2312" w:hAnsi="Times New Roman" w:eastAsia="仿宋_GB2312" w:cs="仿宋_GB2312"/>
          <w:spacing w:val="-1"/>
          <w:kern w:val="0"/>
          <w:sz w:val="32"/>
          <w:szCs w:val="32"/>
        </w:rPr>
      </w:pPr>
    </w:p>
    <w:p>
      <w:pPr>
        <w:numPr>
          <w:ilvl w:val="0"/>
          <w:numId w:val="0"/>
        </w:numPr>
        <w:kinsoku w:val="0"/>
        <w:overflowPunct w:val="0"/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_GB2312" w:hAnsi="Times New Roman" w:eastAsia="仿宋_GB2312" w:cs="仿宋_GB2312"/>
          <w:spacing w:val="-1"/>
          <w:kern w:val="0"/>
          <w:sz w:val="32"/>
          <w:szCs w:val="32"/>
        </w:rPr>
      </w:pPr>
    </w:p>
    <w:p>
      <w:pPr>
        <w:numPr>
          <w:ilvl w:val="0"/>
          <w:numId w:val="0"/>
        </w:numPr>
        <w:kinsoku w:val="0"/>
        <w:overflowPunct w:val="0"/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_GB2312" w:hAnsi="Times New Roman" w:eastAsia="仿宋_GB2312" w:cs="仿宋_GB2312"/>
          <w:spacing w:val="-1"/>
          <w:kern w:val="0"/>
          <w:sz w:val="32"/>
          <w:szCs w:val="32"/>
        </w:rPr>
      </w:pPr>
    </w:p>
    <w:p>
      <w:pPr>
        <w:numPr>
          <w:ilvl w:val="0"/>
          <w:numId w:val="0"/>
        </w:numPr>
        <w:kinsoku w:val="0"/>
        <w:overflowPunct w:val="0"/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_GB2312" w:hAnsi="Times New Roman" w:eastAsia="仿宋_GB2312" w:cs="仿宋_GB2312"/>
          <w:spacing w:val="-1"/>
          <w:kern w:val="0"/>
          <w:sz w:val="32"/>
          <w:szCs w:val="32"/>
        </w:rPr>
      </w:pPr>
    </w:p>
    <w:p>
      <w:pPr>
        <w:numPr>
          <w:ilvl w:val="0"/>
          <w:numId w:val="0"/>
        </w:numPr>
        <w:kinsoku w:val="0"/>
        <w:overflowPunct w:val="0"/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_GB2312" w:hAnsi="Times New Roman" w:eastAsia="仿宋_GB2312" w:cs="仿宋_GB2312"/>
          <w:spacing w:val="-1"/>
          <w:kern w:val="0"/>
          <w:sz w:val="32"/>
          <w:szCs w:val="32"/>
        </w:rPr>
      </w:pPr>
    </w:p>
    <w:p>
      <w:pPr>
        <w:numPr>
          <w:ilvl w:val="0"/>
          <w:numId w:val="0"/>
        </w:numPr>
        <w:kinsoku w:val="0"/>
        <w:overflowPunct w:val="0"/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_GB2312" w:hAnsi="Times New Roman" w:eastAsia="仿宋_GB2312" w:cs="仿宋_GB2312"/>
          <w:spacing w:val="-1"/>
          <w:kern w:val="0"/>
          <w:sz w:val="32"/>
          <w:szCs w:val="32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Times New Roman" w:eastAsia="黑体" w:cs="黑体"/>
          <w:spacing w:val="-38"/>
          <w:sz w:val="32"/>
          <w:szCs w:val="32"/>
        </w:rPr>
      </w:pPr>
      <w:r>
        <w:rPr>
          <w:rFonts w:hint="eastAsia" w:ascii="黑体" w:hAnsi="Times New Roman" w:eastAsia="黑体" w:cs="黑体"/>
          <w:sz w:val="32"/>
          <w:szCs w:val="32"/>
        </w:rPr>
        <w:t>第二部分</w:t>
      </w: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  <w:lang w:val="en-US" w:eastAsia="zh-CN"/>
        </w:rPr>
        <w:t>新乡市</w:t>
      </w:r>
      <w:r>
        <w:rPr>
          <w:rFonts w:hint="eastAsia" w:ascii="黑体" w:hAnsi="Times New Roman" w:eastAsia="黑体" w:cs="黑体"/>
          <w:sz w:val="32"/>
          <w:szCs w:val="32"/>
          <w:lang w:val="en-US" w:eastAsia="zh-CN"/>
        </w:rPr>
        <w:t>凤泉区</w:t>
      </w:r>
      <w:r>
        <w:rPr>
          <w:rFonts w:hint="eastAsia" w:ascii="黑体" w:eastAsia="黑体" w:cs="黑体"/>
          <w:sz w:val="32"/>
          <w:szCs w:val="32"/>
          <w:lang w:val="en-US" w:eastAsia="zh-CN"/>
        </w:rPr>
        <w:t>统计局</w:t>
      </w:r>
      <w:r>
        <w:rPr>
          <w:rFonts w:hint="eastAsia" w:ascii="黑体" w:eastAsia="黑体" w:cs="黑体"/>
          <w:sz w:val="32"/>
          <w:szCs w:val="32"/>
          <w:lang w:eastAsia="zh-CN"/>
        </w:rPr>
        <w:t>2021</w:t>
      </w:r>
      <w:r>
        <w:rPr>
          <w:rFonts w:hint="eastAsia" w:ascii="黑体" w:hAnsi="Times New Roman" w:eastAsia="黑体" w:cs="黑体"/>
          <w:sz w:val="32"/>
          <w:szCs w:val="32"/>
        </w:rPr>
        <w:t>年部门预算情况说明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黑体" w:hAnsi="黑体" w:eastAsia="黑体"/>
          <w:sz w:val="32"/>
          <w:szCs w:val="32"/>
        </w:rPr>
      </w:pPr>
    </w:p>
    <w:p>
      <w:pPr>
        <w:adjustRightInd w:val="0"/>
        <w:snapToGrid w:val="0"/>
        <w:spacing w:line="360" w:lineRule="auto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一、收入支出预算总体情况说明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444444"/>
          <w:sz w:val="32"/>
          <w:szCs w:val="32"/>
          <w:lang w:eastAsia="zh-CN"/>
        </w:rPr>
        <w:t>新乡市凤泉区统计局2021</w:t>
      </w:r>
      <w:r>
        <w:rPr>
          <w:rFonts w:hint="eastAsia" w:ascii="仿宋" w:hAnsi="仿宋" w:eastAsia="仿宋" w:cs="仿宋"/>
          <w:color w:val="444444"/>
          <w:sz w:val="32"/>
          <w:szCs w:val="32"/>
        </w:rPr>
        <w:t>年收入</w:t>
      </w:r>
      <w:r>
        <w:rPr>
          <w:rFonts w:hint="eastAsia" w:ascii="仿宋" w:hAnsi="仿宋" w:eastAsia="仿宋" w:cs="仿宋"/>
          <w:color w:val="444444"/>
          <w:sz w:val="32"/>
          <w:szCs w:val="32"/>
          <w:lang w:eastAsia="zh-CN"/>
        </w:rPr>
        <w:t>总计</w:t>
      </w:r>
      <w:r>
        <w:rPr>
          <w:rFonts w:hint="eastAsia" w:ascii="仿宋" w:hAnsi="仿宋" w:eastAsia="仿宋" w:cs="仿宋"/>
          <w:color w:val="444444"/>
          <w:sz w:val="32"/>
          <w:szCs w:val="32"/>
          <w:lang w:val="en-US" w:eastAsia="zh-CN"/>
        </w:rPr>
        <w:t>298.48</w:t>
      </w:r>
      <w:r>
        <w:rPr>
          <w:rFonts w:hint="eastAsia" w:ascii="仿宋" w:hAnsi="仿宋" w:eastAsia="仿宋" w:cs="仿宋"/>
          <w:color w:val="444444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</w:rPr>
        <w:t>支出总计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198.48</w:t>
      </w:r>
      <w:r>
        <w:rPr>
          <w:rFonts w:hint="eastAsia" w:ascii="仿宋" w:hAnsi="仿宋" w:eastAsia="仿宋" w:cs="仿宋"/>
          <w:sz w:val="32"/>
          <w:szCs w:val="32"/>
        </w:rPr>
        <w:t>万元，与20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年预算相比，收入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增加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68.71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增加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29</w:t>
      </w:r>
      <w:r>
        <w:rPr>
          <w:rFonts w:hint="eastAsia" w:ascii="仿宋" w:hAnsi="仿宋" w:eastAsia="仿宋" w:cs="仿宋"/>
          <w:sz w:val="32"/>
          <w:szCs w:val="32"/>
        </w:rPr>
        <w:t>%。主要原因：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机构改革，人员增加。</w:t>
      </w:r>
      <w:r>
        <w:rPr>
          <w:rFonts w:hint="eastAsia" w:ascii="仿宋" w:hAnsi="仿宋" w:eastAsia="仿宋" w:cs="仿宋"/>
          <w:sz w:val="32"/>
          <w:szCs w:val="32"/>
        </w:rPr>
        <w:t>支出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增加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68.71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增加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29</w:t>
      </w:r>
      <w:r>
        <w:rPr>
          <w:rFonts w:hint="eastAsia" w:ascii="仿宋" w:hAnsi="仿宋" w:eastAsia="仿宋" w:cs="仿宋"/>
          <w:sz w:val="32"/>
          <w:szCs w:val="32"/>
        </w:rPr>
        <w:t>%。主要原因：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机构改革，人员增加。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二、收入预算总体情况说明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新乡市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凤泉区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统计局</w:t>
      </w:r>
      <w:r>
        <w:rPr>
          <w:rFonts w:hint="eastAsia" w:ascii="仿宋_GB2312" w:eastAsia="仿宋_GB2312"/>
          <w:sz w:val="32"/>
          <w:szCs w:val="32"/>
          <w:lang w:eastAsia="zh-CN"/>
        </w:rPr>
        <w:t>2021</w:t>
      </w:r>
      <w:r>
        <w:rPr>
          <w:rFonts w:hint="eastAsia" w:ascii="仿宋_GB2312" w:hAnsi="Times New Roman" w:eastAsia="仿宋_GB2312"/>
          <w:sz w:val="32"/>
          <w:szCs w:val="32"/>
        </w:rPr>
        <w:t>年收入合计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298.48</w:t>
      </w:r>
      <w:r>
        <w:rPr>
          <w:rFonts w:hint="eastAsia" w:ascii="仿宋_GB2312" w:hAnsi="Times New Roman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</w:rPr>
        <w:t>其中：一般公共预算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298.48</w:t>
      </w:r>
      <w:r>
        <w:rPr>
          <w:rFonts w:hint="eastAsia" w:ascii="仿宋_GB2312" w:eastAsia="仿宋_GB2312"/>
          <w:sz w:val="32"/>
          <w:szCs w:val="32"/>
        </w:rPr>
        <w:t>万元;</w:t>
      </w:r>
      <w:r>
        <w:rPr>
          <w:rFonts w:ascii="仿宋_GB2312" w:hAnsi="Times New Roman" w:eastAsia="仿宋_GB2312"/>
          <w:sz w:val="32"/>
          <w:szCs w:val="32"/>
        </w:rPr>
        <w:t xml:space="preserve"> 政府性基金收入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0</w:t>
      </w:r>
      <w:r>
        <w:rPr>
          <w:rFonts w:ascii="仿宋_GB2312" w:hAnsi="Times New Roman" w:eastAsia="仿宋_GB2312"/>
          <w:sz w:val="32"/>
          <w:szCs w:val="32"/>
        </w:rPr>
        <w:t>万元；专户管理的教育收费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0</w:t>
      </w:r>
      <w:r>
        <w:rPr>
          <w:rFonts w:ascii="仿宋_GB2312" w:hAnsi="Times New Roman" w:eastAsia="仿宋_GB2312"/>
          <w:sz w:val="32"/>
          <w:szCs w:val="32"/>
        </w:rPr>
        <w:t>万元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三、支出预算总体情况说明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新乡市凤泉区统计局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2021</w:t>
      </w:r>
      <w:r>
        <w:rPr>
          <w:rFonts w:hint="eastAsia" w:ascii="仿宋_GB2312" w:hAnsi="宋体" w:eastAsia="仿宋_GB2312" w:cs="Courier New"/>
          <w:sz w:val="32"/>
          <w:szCs w:val="32"/>
        </w:rPr>
        <w:t>年支出合计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298.48</w:t>
      </w:r>
      <w:r>
        <w:rPr>
          <w:rFonts w:hint="eastAsia" w:ascii="仿宋_GB2312" w:hAnsi="宋体" w:eastAsia="仿宋_GB2312" w:cs="Courier New"/>
          <w:sz w:val="32"/>
          <w:szCs w:val="32"/>
        </w:rPr>
        <w:t>万元，其中：基本支出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14.77</w:t>
      </w:r>
      <w:r>
        <w:rPr>
          <w:rFonts w:hint="eastAsia" w:ascii="仿宋_GB2312" w:hAnsi="宋体" w:eastAsia="仿宋_GB2312" w:cs="Courier New"/>
          <w:sz w:val="32"/>
          <w:szCs w:val="32"/>
        </w:rPr>
        <w:t>万元，占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4</w:t>
      </w:r>
      <w:r>
        <w:rPr>
          <w:rFonts w:ascii="仿宋_GB2312" w:hAnsi="宋体" w:eastAsia="仿宋_GB2312" w:cs="Courier New"/>
          <w:sz w:val="32"/>
          <w:szCs w:val="32"/>
        </w:rPr>
        <w:t>%</w:t>
      </w:r>
      <w:r>
        <w:rPr>
          <w:rFonts w:hint="eastAsia" w:ascii="仿宋_GB2312" w:hAnsi="宋体" w:eastAsia="仿宋_GB2312" w:cs="Courier New"/>
          <w:sz w:val="32"/>
          <w:szCs w:val="32"/>
        </w:rPr>
        <w:t>；项目支出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91.5</w:t>
      </w:r>
      <w:r>
        <w:rPr>
          <w:rFonts w:hint="eastAsia" w:ascii="仿宋_GB2312" w:hAnsi="宋体" w:eastAsia="仿宋_GB2312" w:cs="Courier New"/>
          <w:sz w:val="32"/>
          <w:szCs w:val="32"/>
        </w:rPr>
        <w:t>万元，占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</w:t>
      </w:r>
      <w:r>
        <w:rPr>
          <w:rFonts w:ascii="仿宋_GB2312" w:hAnsi="宋体" w:eastAsia="仿宋_GB2312" w:cs="Courier New"/>
          <w:sz w:val="32"/>
          <w:szCs w:val="32"/>
        </w:rPr>
        <w:t>%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，人员支出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192.21万元，占64%</w:t>
      </w:r>
      <w:r>
        <w:rPr>
          <w:rFonts w:hint="eastAsia" w:ascii="仿宋_GB2312" w:hAnsi="宋体" w:eastAsia="仿宋_GB2312" w:cs="Courier New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四、财政拨款收入支出预算总体情况说明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新乡市凤泉区统计局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2021</w:t>
      </w:r>
      <w:r>
        <w:rPr>
          <w:rFonts w:ascii="仿宋_GB2312" w:hAnsi="宋体" w:eastAsia="仿宋_GB2312" w:cs="Courier New"/>
          <w:sz w:val="32"/>
          <w:szCs w:val="32"/>
        </w:rPr>
        <w:t>年</w:t>
      </w:r>
      <w:r>
        <w:rPr>
          <w:rFonts w:hint="eastAsia" w:ascii="仿宋_GB2312" w:hAnsi="宋体" w:eastAsia="仿宋_GB2312" w:cs="Courier New"/>
          <w:sz w:val="32"/>
          <w:szCs w:val="32"/>
        </w:rPr>
        <w:t>一般公共预算收支预算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298.48</w:t>
      </w:r>
      <w:r>
        <w:rPr>
          <w:rFonts w:hint="eastAsia" w:ascii="仿宋_GB2312" w:hAnsi="宋体" w:eastAsia="仿宋_GB2312" w:cs="Courier New"/>
          <w:sz w:val="32"/>
          <w:szCs w:val="32"/>
        </w:rPr>
        <w:t>万元，政府性基金收支预算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万元。与</w:t>
      </w:r>
      <w:r>
        <w:rPr>
          <w:rFonts w:ascii="仿宋_GB2312" w:hAnsi="宋体" w:eastAsia="仿宋_GB2312" w:cs="Courier New"/>
          <w:sz w:val="32"/>
          <w:szCs w:val="32"/>
        </w:rPr>
        <w:t xml:space="preserve"> 20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20</w:t>
      </w:r>
      <w:r>
        <w:rPr>
          <w:rFonts w:hint="eastAsia" w:ascii="仿宋_GB2312" w:hAnsi="宋体" w:eastAsia="仿宋_GB2312" w:cs="Courier New"/>
          <w:sz w:val="32"/>
          <w:szCs w:val="32"/>
        </w:rPr>
        <w:t>年相比，一般公共预算收支预算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增加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68.71</w:t>
      </w:r>
      <w:r>
        <w:rPr>
          <w:rFonts w:hint="eastAsia" w:ascii="仿宋_GB2312" w:hAnsi="宋体" w:eastAsia="仿宋_GB2312" w:cs="Courier New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增加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29</w:t>
      </w:r>
      <w:r>
        <w:rPr>
          <w:rFonts w:hint="eastAsia" w:ascii="仿宋" w:hAnsi="仿宋" w:eastAsia="仿宋" w:cs="仿宋"/>
          <w:sz w:val="32"/>
          <w:szCs w:val="32"/>
        </w:rPr>
        <w:t>%</w:t>
      </w:r>
      <w:r>
        <w:rPr>
          <w:rFonts w:hint="eastAsia" w:ascii="仿宋_GB2312" w:hAnsi="宋体" w:eastAsia="仿宋_GB2312" w:cs="Courier New"/>
          <w:sz w:val="32"/>
          <w:szCs w:val="32"/>
        </w:rPr>
        <w:t>，主要原因：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机构改革，人员增加，</w:t>
      </w:r>
      <w:r>
        <w:rPr>
          <w:rStyle w:val="4"/>
          <w:rFonts w:hint="eastAsia" w:ascii="仿宋" w:hAnsi="仿宋" w:eastAsia="仿宋" w:cs="仿宋"/>
          <w:b w:val="0"/>
          <w:color w:val="444444"/>
          <w:sz w:val="32"/>
          <w:szCs w:val="32"/>
        </w:rPr>
        <w:t>全国第四次经济普查使用大量的人力物力，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人员支出增加</w:t>
      </w:r>
      <w:r>
        <w:rPr>
          <w:rFonts w:hint="eastAsia" w:ascii="仿宋_GB2312" w:hAnsi="宋体" w:eastAsia="仿宋_GB2312" w:cs="Courier New"/>
          <w:sz w:val="32"/>
          <w:szCs w:val="32"/>
        </w:rPr>
        <w:t>；政府性基金收支预算增加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万元，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与上年持平</w:t>
      </w:r>
      <w:r>
        <w:rPr>
          <w:rFonts w:hint="eastAsia" w:ascii="仿宋_GB2312" w:hAnsi="宋体" w:eastAsia="仿宋_GB2312" w:cs="Courier New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五、一般公共预算支出预算情况说明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新乡市凤泉区统计局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2021</w:t>
      </w:r>
      <w:r>
        <w:rPr>
          <w:rFonts w:hint="eastAsia" w:ascii="仿宋_GB2312" w:hAnsi="宋体" w:eastAsia="仿宋_GB2312" w:cs="Courier New"/>
          <w:sz w:val="32"/>
          <w:szCs w:val="32"/>
        </w:rPr>
        <w:t>年一般公共预算支出年初预算为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298.48</w:t>
      </w:r>
      <w:r>
        <w:rPr>
          <w:rFonts w:hint="eastAsia" w:ascii="仿宋_GB2312" w:hAnsi="宋体" w:eastAsia="仿宋_GB2312" w:cs="Courier New"/>
          <w:sz w:val="32"/>
          <w:szCs w:val="32"/>
        </w:rPr>
        <w:t>万元。主要用于以下方面：一般公共服务（类）支出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162.07</w:t>
      </w:r>
      <w:r>
        <w:rPr>
          <w:rFonts w:hint="eastAsia" w:ascii="仿宋_GB2312" w:hAnsi="宋体" w:eastAsia="仿宋_GB2312" w:cs="Courier New"/>
          <w:sz w:val="32"/>
          <w:szCs w:val="32"/>
        </w:rPr>
        <w:t>万元，占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54</w:t>
      </w:r>
      <w:r>
        <w:rPr>
          <w:rFonts w:ascii="仿宋_GB2312" w:hAnsi="宋体" w:eastAsia="仿宋_GB2312" w:cs="Courier New"/>
          <w:sz w:val="32"/>
          <w:szCs w:val="32"/>
        </w:rPr>
        <w:t>%</w:t>
      </w:r>
      <w:r>
        <w:rPr>
          <w:rFonts w:hint="eastAsia" w:ascii="仿宋_GB2312" w:hAnsi="宋体" w:eastAsia="仿宋_GB2312" w:cs="Courier New"/>
          <w:sz w:val="32"/>
          <w:szCs w:val="32"/>
        </w:rPr>
        <w:t>；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统计专项业务支出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91.50万元，占30%；机关事业单位基本养老保险缴费支出17.24万元，</w:t>
      </w:r>
      <w:r>
        <w:rPr>
          <w:rFonts w:hint="eastAsia" w:ascii="仿宋_GB2312" w:hAnsi="宋体" w:eastAsia="仿宋_GB2312" w:cs="Courier New"/>
          <w:sz w:val="32"/>
          <w:szCs w:val="32"/>
        </w:rPr>
        <w:t>占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5</w:t>
      </w:r>
      <w:r>
        <w:rPr>
          <w:rFonts w:ascii="仿宋_GB2312" w:hAnsi="宋体" w:eastAsia="仿宋_GB2312" w:cs="Courier New"/>
          <w:sz w:val="32"/>
          <w:szCs w:val="32"/>
        </w:rPr>
        <w:t>%</w:t>
      </w:r>
      <w:r>
        <w:rPr>
          <w:rFonts w:hint="eastAsia" w:ascii="仿宋_GB2312" w:hAnsi="宋体" w:eastAsia="仿宋_GB2312" w:cs="Courier New"/>
          <w:sz w:val="32"/>
          <w:szCs w:val="32"/>
        </w:rPr>
        <w:t>；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行政单位医疗7.93万元，</w:t>
      </w:r>
      <w:r>
        <w:rPr>
          <w:rFonts w:hint="eastAsia" w:ascii="仿宋_GB2312" w:hAnsi="宋体" w:eastAsia="仿宋_GB2312" w:cs="Courier New"/>
          <w:sz w:val="32"/>
          <w:szCs w:val="32"/>
        </w:rPr>
        <w:t>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ascii="仿宋_GB2312" w:hAnsi="宋体" w:eastAsia="仿宋_GB2312" w:cs="Courier New"/>
          <w:sz w:val="32"/>
          <w:szCs w:val="32"/>
        </w:rPr>
        <w:t>%</w:t>
      </w:r>
      <w:r>
        <w:rPr>
          <w:rFonts w:hint="eastAsia" w:ascii="仿宋_GB2312" w:hAnsi="宋体" w:eastAsia="仿宋_GB2312" w:cs="Courier New"/>
          <w:sz w:val="32"/>
          <w:szCs w:val="32"/>
        </w:rPr>
        <w:t>；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其他社会保险和就业支出0.38万元，</w:t>
      </w:r>
      <w:r>
        <w:rPr>
          <w:rFonts w:hint="eastAsia" w:ascii="仿宋_GB2312" w:hAnsi="宋体" w:eastAsia="仿宋_GB2312" w:cs="Courier New"/>
          <w:sz w:val="32"/>
          <w:szCs w:val="32"/>
        </w:rPr>
        <w:t>占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0.1</w:t>
      </w:r>
      <w:r>
        <w:rPr>
          <w:rFonts w:ascii="仿宋_GB2312" w:hAnsi="宋体" w:eastAsia="仿宋_GB2312" w:cs="Courier New"/>
          <w:sz w:val="32"/>
          <w:szCs w:val="32"/>
        </w:rPr>
        <w:t>%</w:t>
      </w:r>
      <w:r>
        <w:rPr>
          <w:rFonts w:hint="eastAsia" w:ascii="仿宋_GB2312" w:hAnsi="宋体" w:eastAsia="仿宋_GB2312" w:cs="Courier New"/>
          <w:sz w:val="32"/>
          <w:szCs w:val="32"/>
        </w:rPr>
        <w:t>；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住房公积金15.15万元，</w:t>
      </w:r>
      <w:r>
        <w:rPr>
          <w:rFonts w:hint="eastAsia" w:ascii="仿宋_GB2312" w:hAnsi="宋体" w:eastAsia="仿宋_GB2312" w:cs="Courier New"/>
          <w:sz w:val="32"/>
          <w:szCs w:val="32"/>
        </w:rPr>
        <w:t>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ascii="仿宋_GB2312" w:hAnsi="宋体" w:eastAsia="仿宋_GB2312" w:cs="Courier New"/>
          <w:sz w:val="32"/>
          <w:szCs w:val="32"/>
        </w:rPr>
        <w:t>%</w:t>
      </w:r>
      <w:r>
        <w:rPr>
          <w:rFonts w:hint="eastAsia" w:ascii="仿宋_GB2312" w:hAnsi="宋体" w:eastAsia="仿宋_GB2312" w:cs="Courier New"/>
          <w:sz w:val="32"/>
          <w:szCs w:val="32"/>
        </w:rPr>
        <w:t>；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死亡抚恤0万元，</w:t>
      </w:r>
      <w:r>
        <w:rPr>
          <w:rFonts w:hint="eastAsia" w:ascii="仿宋_GB2312" w:hAnsi="宋体" w:eastAsia="仿宋_GB2312" w:cs="Courier New"/>
          <w:sz w:val="32"/>
          <w:szCs w:val="32"/>
        </w:rPr>
        <w:t>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ascii="仿宋_GB2312" w:hAnsi="宋体" w:eastAsia="仿宋_GB2312" w:cs="Courier New"/>
          <w:sz w:val="32"/>
          <w:szCs w:val="32"/>
        </w:rPr>
        <w:t>%</w:t>
      </w:r>
      <w:r>
        <w:rPr>
          <w:rFonts w:hint="eastAsia" w:ascii="仿宋_GB2312" w:hAnsi="宋体" w:eastAsia="仿宋_GB2312" w:cs="Courier New"/>
          <w:sz w:val="32"/>
          <w:szCs w:val="32"/>
        </w:rPr>
        <w:t>；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行政单位离退休4.21万元，</w:t>
      </w:r>
      <w:r>
        <w:rPr>
          <w:rFonts w:hint="eastAsia" w:ascii="仿宋_GB2312" w:hAnsi="宋体" w:eastAsia="仿宋_GB2312" w:cs="Courier New"/>
          <w:sz w:val="32"/>
          <w:szCs w:val="32"/>
        </w:rPr>
        <w:t>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ascii="仿宋_GB2312" w:hAnsi="宋体" w:eastAsia="仿宋_GB2312" w:cs="Courier New"/>
          <w:sz w:val="32"/>
          <w:szCs w:val="32"/>
        </w:rPr>
        <w:t>%</w:t>
      </w:r>
      <w:r>
        <w:rPr>
          <w:rFonts w:hint="eastAsia" w:ascii="仿宋_GB2312" w:hAnsi="宋体" w:eastAsia="仿宋_GB2312" w:cs="Courier New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黑体" w:hAnsi="Times New Roman" w:eastAsia="黑体" w:cs="黑体"/>
          <w:kern w:val="0"/>
          <w:sz w:val="32"/>
          <w:szCs w:val="32"/>
        </w:rPr>
      </w:pPr>
      <w:r>
        <w:rPr>
          <w:rFonts w:hint="eastAsia" w:ascii="黑体" w:hAnsi="Times New Roman" w:eastAsia="黑体" w:cs="黑体"/>
          <w:kern w:val="0"/>
          <w:sz w:val="32"/>
          <w:szCs w:val="32"/>
        </w:rPr>
        <w:t>六、支出预算经济分类情况说明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按照《财政部关于印发&lt;支出经济分类科目改革方案&gt;的通知》（财预〔2017〕98号）要求，从</w:t>
      </w:r>
      <w:r>
        <w:rPr>
          <w:rFonts w:hint="eastAsia" w:ascii="仿宋_GB2312" w:eastAsia="仿宋_GB2312"/>
          <w:sz w:val="32"/>
          <w:szCs w:val="32"/>
          <w:lang w:eastAsia="zh-CN"/>
        </w:rPr>
        <w:t>2020</w:t>
      </w:r>
      <w:r>
        <w:rPr>
          <w:rFonts w:hint="eastAsia" w:ascii="仿宋_GB2312" w:eastAsia="仿宋_GB2312"/>
          <w:sz w:val="32"/>
          <w:szCs w:val="32"/>
        </w:rPr>
        <w:t>年起全面实施支出经济分类科目改革，根据政府预算管理和部门预算管理的不同特点，分设部门预算支出经济分类科目和政府预算支出经济分类科目，两套科目之间保持对应关系。我局《支出经济分类汇总表》, 按两套经济分类科目分别反映不同资金来源的全部预算支出。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Times New Roman" w:eastAsia="黑体" w:cs="黑体"/>
          <w:kern w:val="0"/>
          <w:sz w:val="32"/>
          <w:szCs w:val="32"/>
        </w:rPr>
        <w:t>七、政府性基金预算支出决算情况说明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单位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2021</w:t>
      </w:r>
      <w:r>
        <w:rPr>
          <w:rFonts w:hint="eastAsia" w:ascii="仿宋_GB2312" w:hAnsi="宋体" w:eastAsia="仿宋_GB2312" w:cs="Courier New"/>
          <w:sz w:val="32"/>
          <w:szCs w:val="32"/>
        </w:rPr>
        <w:t>年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没有</w:t>
      </w:r>
      <w:r>
        <w:rPr>
          <w:rFonts w:hint="eastAsia" w:ascii="仿宋_GB2312" w:hAnsi="宋体" w:eastAsia="仿宋_GB2312" w:cs="Courier New"/>
          <w:sz w:val="32"/>
          <w:szCs w:val="32"/>
        </w:rPr>
        <w:t>使用政府性基金预算拨款安排的支出。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Times New Roman" w:eastAsia="黑体" w:cs="黑体"/>
          <w:kern w:val="0"/>
          <w:sz w:val="32"/>
          <w:szCs w:val="32"/>
        </w:rPr>
        <w:t>八、 “三公”经费支出预算情况说明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新乡市凤泉区统计局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2021</w:t>
      </w:r>
      <w:r>
        <w:rPr>
          <w:rFonts w:hint="eastAsia" w:ascii="仿宋_GB2312" w:hAnsi="宋体" w:eastAsia="仿宋_GB2312" w:cs="Courier New"/>
          <w:sz w:val="32"/>
          <w:szCs w:val="32"/>
        </w:rPr>
        <w:t>年“三公”经费预算为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万元。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2021</w:t>
      </w:r>
      <w:r>
        <w:rPr>
          <w:rFonts w:hint="eastAsia" w:ascii="仿宋_GB2312" w:hAnsi="宋体" w:eastAsia="仿宋_GB2312" w:cs="Courier New"/>
          <w:sz w:val="32"/>
          <w:szCs w:val="32"/>
        </w:rPr>
        <w:t xml:space="preserve">年“三公”经费支出预算数比 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2020</w:t>
      </w:r>
      <w:r>
        <w:rPr>
          <w:rFonts w:hint="eastAsia" w:ascii="仿宋_GB2312" w:hAnsi="宋体" w:eastAsia="仿宋_GB2312" w:cs="Courier New"/>
          <w:sz w:val="32"/>
          <w:szCs w:val="32"/>
        </w:rPr>
        <w:t>年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减少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0.6</w:t>
      </w:r>
      <w:r>
        <w:rPr>
          <w:rFonts w:hint="eastAsia" w:ascii="仿宋_GB2312" w:hAnsi="宋体" w:eastAsia="仿宋_GB2312" w:cs="Courier New"/>
          <w:sz w:val="32"/>
          <w:szCs w:val="32"/>
        </w:rPr>
        <w:t>万元。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具体支出情况如下：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39" w:firstLineChars="200"/>
        <w:rPr>
          <w:rFonts w:hint="eastAsia"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Times New Roman" w:eastAsia="仿宋_GB2312" w:cs="仿宋_GB2312"/>
          <w:b/>
          <w:spacing w:val="-1"/>
          <w:kern w:val="0"/>
          <w:sz w:val="32"/>
          <w:szCs w:val="32"/>
        </w:rPr>
        <w:t>（一）因公出国（境）费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Times New Roman" w:eastAsia="仿宋_GB2312" w:cs="仿宋_GB2312"/>
          <w:spacing w:val="-1"/>
          <w:kern w:val="0"/>
          <w:sz w:val="32"/>
          <w:szCs w:val="32"/>
        </w:rPr>
        <w:t>万元，</w:t>
      </w:r>
      <w:r>
        <w:rPr>
          <w:rFonts w:hint="eastAsia" w:ascii="仿宋_GB2312" w:hAnsi="宋体" w:eastAsia="仿宋_GB2312" w:cs="Courier New"/>
          <w:sz w:val="32"/>
          <w:szCs w:val="32"/>
        </w:rPr>
        <w:t>主要用于单位工作人员公务出国（境）的住宿费、旅费、伙食补助费、杂费、培训费等支出。预算数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与</w:t>
      </w:r>
      <w:r>
        <w:rPr>
          <w:rFonts w:hint="eastAsia" w:ascii="仿宋_GB2312" w:hAnsi="宋体" w:eastAsia="仿宋_GB2312" w:cs="Courier New"/>
          <w:sz w:val="32"/>
          <w:szCs w:val="32"/>
        </w:rPr>
        <w:t xml:space="preserve"> 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2020</w:t>
      </w:r>
      <w:r>
        <w:rPr>
          <w:rFonts w:hint="eastAsia" w:ascii="仿宋_GB2312" w:hAnsi="宋体" w:eastAsia="仿宋_GB2312" w:cs="Courier New"/>
          <w:sz w:val="32"/>
          <w:szCs w:val="32"/>
        </w:rPr>
        <w:t>年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持平，主要原因：我单位无因公出国费用</w:t>
      </w:r>
      <w:r>
        <w:rPr>
          <w:rFonts w:hint="eastAsia" w:ascii="仿宋_GB2312" w:hAnsi="宋体" w:eastAsia="仿宋_GB2312" w:cs="Courier New"/>
          <w:sz w:val="32"/>
          <w:szCs w:val="32"/>
        </w:rPr>
        <w:t>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39" w:firstLineChars="200"/>
        <w:rPr>
          <w:rFonts w:hint="eastAsia"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Times New Roman" w:eastAsia="仿宋_GB2312" w:cs="仿宋_GB2312"/>
          <w:b/>
          <w:spacing w:val="-1"/>
          <w:kern w:val="0"/>
          <w:sz w:val="32"/>
          <w:szCs w:val="32"/>
        </w:rPr>
        <w:t>（二）公务用车购置及运行费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Times New Roman" w:eastAsia="仿宋_GB2312" w:cs="仿宋_GB2312"/>
          <w:kern w:val="0"/>
          <w:sz w:val="32"/>
          <w:szCs w:val="32"/>
        </w:rPr>
        <w:t>万</w:t>
      </w:r>
      <w:r>
        <w:rPr>
          <w:rFonts w:hint="eastAsia" w:ascii="仿宋_GB2312" w:hAnsi="宋体" w:eastAsia="仿宋_GB2312" w:cs="Courier New"/>
          <w:sz w:val="32"/>
          <w:szCs w:val="32"/>
        </w:rPr>
        <w:t>元，其中，公务用车购置费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万元；公务用车运行维护费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万元，主要用于开展工作所需公务用车的燃料费、维修费、过路过桥费、保险费、安全奖励费用等支出。公务用车购置费预算数预算数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与</w:t>
      </w:r>
      <w:r>
        <w:rPr>
          <w:rFonts w:hint="eastAsia" w:ascii="仿宋_GB2312" w:hAnsi="宋体" w:eastAsia="仿宋_GB2312" w:cs="Courier New"/>
          <w:sz w:val="32"/>
          <w:szCs w:val="32"/>
        </w:rPr>
        <w:t xml:space="preserve"> 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2020</w:t>
      </w:r>
      <w:r>
        <w:rPr>
          <w:rFonts w:hint="eastAsia" w:ascii="仿宋_GB2312" w:hAnsi="宋体" w:eastAsia="仿宋_GB2312" w:cs="Courier New"/>
          <w:sz w:val="32"/>
          <w:szCs w:val="32"/>
        </w:rPr>
        <w:t>年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持平，主要原因：我单位无公务用车</w:t>
      </w:r>
      <w:r>
        <w:rPr>
          <w:rFonts w:hint="eastAsia" w:ascii="仿宋_GB2312" w:hAnsi="宋体" w:eastAsia="仿宋_GB2312" w:cs="Courier New"/>
          <w:sz w:val="32"/>
          <w:szCs w:val="32"/>
        </w:rPr>
        <w:t>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39" w:firstLineChars="200"/>
        <w:rPr>
          <w:rFonts w:hint="eastAsia"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Times New Roman" w:eastAsia="仿宋_GB2312" w:cs="仿宋_GB2312"/>
          <w:b/>
          <w:spacing w:val="-1"/>
          <w:kern w:val="0"/>
          <w:sz w:val="32"/>
          <w:szCs w:val="32"/>
        </w:rPr>
        <w:t>（三）公务接待费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 xml:space="preserve">万元，主要用于按规定开支的各类公务接待（含外宾接待）支出。预算数比 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2020</w:t>
      </w:r>
      <w:r>
        <w:rPr>
          <w:rFonts w:hint="eastAsia" w:ascii="仿宋_GB2312" w:hAnsi="宋体" w:eastAsia="仿宋_GB2312" w:cs="Courier New"/>
          <w:sz w:val="32"/>
          <w:szCs w:val="32"/>
        </w:rPr>
        <w:t>年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减少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0.6</w:t>
      </w:r>
      <w:r>
        <w:rPr>
          <w:rFonts w:hint="eastAsia" w:ascii="仿宋_GB2312" w:hAnsi="宋体" w:eastAsia="仿宋_GB2312" w:cs="Courier New"/>
          <w:sz w:val="32"/>
          <w:szCs w:val="32"/>
        </w:rPr>
        <w:t>万元。主要原因：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我单位没有因公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接待任务</w:t>
      </w:r>
      <w:r>
        <w:rPr>
          <w:rFonts w:hint="eastAsia" w:ascii="仿宋_GB2312" w:hAnsi="宋体" w:eastAsia="仿宋_GB2312" w:cs="Courier New"/>
          <w:sz w:val="32"/>
          <w:szCs w:val="32"/>
        </w:rPr>
        <w:t>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36" w:firstLineChars="200"/>
        <w:rPr>
          <w:rFonts w:hint="eastAsia" w:ascii="仿宋_GB2312" w:hAnsi="宋体" w:eastAsia="仿宋_GB2312" w:cs="Courier New"/>
          <w:sz w:val="32"/>
          <w:szCs w:val="32"/>
        </w:rPr>
      </w:pPr>
      <w:r>
        <w:rPr>
          <w:rFonts w:hint="eastAsia" w:ascii="黑体" w:hAnsi="Times New Roman" w:eastAsia="黑体" w:cs="黑体"/>
          <w:spacing w:val="-1"/>
          <w:kern w:val="0"/>
          <w:sz w:val="32"/>
          <w:szCs w:val="32"/>
        </w:rPr>
        <w:t>九、其他重要事项情况说明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3" w:firstLineChars="200"/>
        <w:rPr>
          <w:rFonts w:hint="eastAsia"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Times New Roman" w:eastAsia="仿宋_GB2312" w:cs="仿宋_GB2312"/>
          <w:b/>
          <w:kern w:val="0"/>
          <w:sz w:val="32"/>
          <w:szCs w:val="32"/>
        </w:rPr>
        <w:t>（一）机关运行经费支出情况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新乡市凤泉区统计局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2021</w:t>
      </w:r>
      <w:r>
        <w:rPr>
          <w:rFonts w:ascii="仿宋_GB2312" w:hAnsi="宋体" w:eastAsia="仿宋_GB2312" w:cs="Courier New"/>
          <w:sz w:val="32"/>
          <w:szCs w:val="32"/>
        </w:rPr>
        <w:t>年</w:t>
      </w:r>
      <w:r>
        <w:rPr>
          <w:rFonts w:hint="eastAsia" w:ascii="仿宋_GB2312" w:hAnsi="宋体" w:eastAsia="仿宋_GB2312" w:cs="Courier New"/>
          <w:sz w:val="32"/>
          <w:szCs w:val="32"/>
        </w:rPr>
        <w:t>机关运行经费支出预算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12.24</w:t>
      </w:r>
      <w:r>
        <w:rPr>
          <w:rFonts w:hint="eastAsia" w:ascii="仿宋_GB2312" w:hAnsi="宋体" w:eastAsia="仿宋_GB2312" w:cs="Courier New"/>
          <w:sz w:val="32"/>
          <w:szCs w:val="32"/>
        </w:rPr>
        <w:t>万元，其中办公费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9.12</w:t>
      </w:r>
      <w:r>
        <w:rPr>
          <w:rFonts w:hint="eastAsia" w:ascii="仿宋_GB2312" w:hAnsi="宋体" w:eastAsia="仿宋_GB2312" w:cs="Courier New"/>
          <w:sz w:val="32"/>
          <w:szCs w:val="32"/>
        </w:rPr>
        <w:t>万元，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邮电费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3.12</w:t>
      </w:r>
      <w:r>
        <w:rPr>
          <w:rFonts w:hint="eastAsia" w:ascii="仿宋_GB2312" w:hAnsi="宋体" w:eastAsia="仿宋_GB2312" w:cs="Courier New"/>
          <w:sz w:val="32"/>
          <w:szCs w:val="32"/>
        </w:rPr>
        <w:t>万元，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差旅费0万元，</w:t>
      </w:r>
      <w:r>
        <w:rPr>
          <w:rFonts w:hint="eastAsia" w:ascii="仿宋_GB2312" w:hAnsi="宋体" w:eastAsia="仿宋_GB2312" w:cs="Courier New"/>
          <w:sz w:val="32"/>
          <w:szCs w:val="32"/>
        </w:rPr>
        <w:t>公务用车运行维护费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万元，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公务接待费用0万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主要保障机构正常运转及正常履职需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要。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3" w:firstLineChars="200"/>
        <w:rPr>
          <w:rFonts w:hint="eastAsia" w:ascii="仿宋_GB2312" w:hAnsi="Times New Roman" w:eastAsia="仿宋_GB2312" w:cs="仿宋_GB2312"/>
          <w:b/>
          <w:kern w:val="0"/>
          <w:sz w:val="32"/>
          <w:szCs w:val="32"/>
        </w:rPr>
      </w:pPr>
      <w:r>
        <w:rPr>
          <w:rFonts w:hint="eastAsia" w:ascii="仿宋_GB2312" w:hAnsi="Times New Roman" w:eastAsia="仿宋_GB2312" w:cs="仿宋_GB2312"/>
          <w:b/>
          <w:kern w:val="0"/>
          <w:sz w:val="32"/>
          <w:szCs w:val="32"/>
        </w:rPr>
        <w:t>（二）政府采购支出情况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2021</w:t>
      </w:r>
      <w:r>
        <w:rPr>
          <w:rFonts w:hint="eastAsia" w:ascii="仿宋_GB2312" w:eastAsia="仿宋_GB2312"/>
          <w:sz w:val="32"/>
          <w:szCs w:val="32"/>
        </w:rPr>
        <w:t>年政府采购预算安排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万元，其中：政府采购货物预算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万元、政府采购工程预算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万元、政府采购服务预算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万元。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3" w:firstLineChars="200"/>
        <w:rPr>
          <w:rFonts w:hint="eastAsia" w:ascii="宋体" w:hAnsi="宋体" w:cs="仿宋_GB2312"/>
          <w:b/>
          <w:kern w:val="0"/>
          <w:sz w:val="30"/>
          <w:szCs w:val="30"/>
        </w:rPr>
      </w:pPr>
      <w:r>
        <w:rPr>
          <w:rFonts w:hint="eastAsia" w:ascii="仿宋_GB2312" w:hAnsi="Times New Roman" w:eastAsia="仿宋_GB2312" w:cs="仿宋_GB2312"/>
          <w:b/>
          <w:kern w:val="0"/>
          <w:sz w:val="32"/>
          <w:szCs w:val="32"/>
        </w:rPr>
        <w:t>（三）预算绩效管理工作开展情况说明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hint="eastAsia" w:ascii="仿宋_GB2312" w:hAnsi="宋体" w:eastAsia="仿宋_GB2312" w:cs="Courier New"/>
          <w:sz w:val="32"/>
          <w:szCs w:val="32"/>
          <w:lang w:eastAsia="zh-CN"/>
        </w:rPr>
      </w:pP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我部门2021年预算项目均按要求编制了绩效目标，从项目产出、项目效益、满意度等方面设置了绩效指标，综合反映项目预期完成的数量、实效、质量，预期达到的社会经济效益、可持续影响以及服务对象满意度等情况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hint="eastAsia" w:ascii="仿宋_GB2312" w:hAnsi="宋体" w:eastAsia="仿宋_GB2312" w:cs="Courier New"/>
          <w:sz w:val="32"/>
          <w:szCs w:val="32"/>
          <w:lang w:eastAsia="zh-CN"/>
        </w:rPr>
      </w:pP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2021年我部门重点项目预算资金91.5万元。其中：第七次全国人口普查85万元；大数据平台3.5万元；人口抽样1万元；住户调查2万元。2021年我部门预算绩效情况如下：</w:t>
      </w:r>
    </w:p>
    <w:p>
      <w:pPr>
        <w:numPr>
          <w:ilvl w:val="0"/>
          <w:numId w:val="4"/>
        </w:num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hint="eastAsia" w:ascii="仿宋_GB2312" w:hAnsi="宋体" w:eastAsia="仿宋_GB2312" w:cs="Courier New"/>
          <w:sz w:val="32"/>
          <w:szCs w:val="32"/>
          <w:lang w:eastAsia="zh-CN"/>
        </w:rPr>
      </w:pP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 xml:space="preserve">高质量完成第七次人口普查工作。  </w:t>
      </w:r>
    </w:p>
    <w:p>
      <w:pPr>
        <w:numPr>
          <w:ilvl w:val="0"/>
          <w:numId w:val="0"/>
        </w:num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ascii="仿宋_GB2312" w:hAnsi="Times New Roman" w:eastAsia="仿宋_GB2312" w:cs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2、圆满完成人口普查补助的发放工作。</w:t>
      </w:r>
    </w:p>
    <w:p>
      <w:pPr>
        <w:numPr>
          <w:ilvl w:val="0"/>
          <w:numId w:val="0"/>
        </w:num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3" w:firstLineChars="200"/>
        <w:rPr>
          <w:rFonts w:ascii="仿宋_GB2312" w:hAnsi="Times New Roman" w:eastAsia="仿宋_GB2312" w:cs="仿宋_GB2312"/>
          <w:b/>
          <w:kern w:val="0"/>
          <w:sz w:val="32"/>
          <w:szCs w:val="32"/>
        </w:rPr>
      </w:pPr>
      <w:r>
        <w:rPr>
          <w:rFonts w:hint="eastAsia" w:ascii="仿宋_GB2312" w:hAnsi="Times New Roman" w:eastAsia="仿宋_GB2312" w:cs="仿宋_GB2312"/>
          <w:b/>
          <w:kern w:val="0"/>
          <w:sz w:val="32"/>
          <w:szCs w:val="32"/>
        </w:rPr>
        <w:t>（四）国有资产占用情况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hint="default" w:ascii="仿宋_GB2312" w:hAnsi="宋体" w:eastAsia="仿宋_GB2312" w:cs="Courier New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2020年期末，我单位共计车辆0辆，其中，一般公务用车0辆；单价50万元以上通用设备0台（套），单位价值100万元以上专用设备0台（套）。我单位2021年没有使用国有资本经营预算拨款安排的支出。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3" w:firstLineChars="200"/>
        <w:rPr>
          <w:rFonts w:hint="eastAsia" w:ascii="仿宋_GB2312" w:hAnsi="宋体" w:eastAsia="仿宋_GB2312" w:cs="Courier New"/>
          <w:b/>
          <w:sz w:val="32"/>
          <w:szCs w:val="32"/>
        </w:rPr>
      </w:pPr>
      <w:r>
        <w:rPr>
          <w:rFonts w:hint="eastAsia" w:ascii="仿宋_GB2312" w:hAnsi="宋体" w:eastAsia="仿宋_GB2312" w:cs="Courier New"/>
          <w:b/>
          <w:sz w:val="32"/>
          <w:szCs w:val="32"/>
        </w:rPr>
        <w:t>（五）专项转移支付项目情况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hint="eastAsia"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我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部门</w:t>
      </w:r>
      <w:r>
        <w:rPr>
          <w:rFonts w:hint="eastAsia" w:ascii="仿宋_GB2312" w:hAnsi="宋体" w:eastAsia="仿宋_GB2312" w:cs="Courier New"/>
          <w:sz w:val="32"/>
          <w:szCs w:val="32"/>
        </w:rPr>
        <w:t>负责管理的专项转移支付项目共有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项，</w:t>
      </w:r>
      <w:r>
        <w:rPr>
          <w:rFonts w:hint="eastAsia" w:ascii="仿宋_GB2312" w:hAnsi="宋体" w:eastAsia="仿宋_GB2312" w:cs="Courier New"/>
          <w:sz w:val="32"/>
          <w:szCs w:val="32"/>
        </w:rPr>
        <w:t>我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部门</w:t>
      </w:r>
      <w:r>
        <w:rPr>
          <w:rFonts w:hint="eastAsia" w:ascii="仿宋_GB2312" w:hAnsi="宋体" w:eastAsia="仿宋_GB2312" w:cs="Courier New"/>
          <w:sz w:val="32"/>
          <w:szCs w:val="32"/>
        </w:rPr>
        <w:t>将按照《预算法》等有关规定，积极做好项目分配前期准备工作，在规定的时间内向财政部门提出资金分配意见，根据有关要求做好项目申报公开等相关工作。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hint="eastAsia" w:ascii="仿宋_GB2312" w:hAnsi="宋体" w:eastAsia="仿宋_GB2312" w:cs="Courier New"/>
          <w:sz w:val="32"/>
          <w:szCs w:val="32"/>
        </w:rPr>
      </w:pP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hint="eastAsia" w:ascii="仿宋_GB2312" w:hAnsi="宋体" w:eastAsia="仿宋_GB2312" w:cs="Courier New"/>
          <w:sz w:val="32"/>
          <w:szCs w:val="32"/>
        </w:rPr>
      </w:pPr>
      <w:bookmarkStart w:id="0" w:name="_GoBack"/>
      <w:bookmarkEnd w:id="0"/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hint="eastAsia" w:ascii="仿宋_GB2312" w:hAnsi="宋体" w:eastAsia="仿宋_GB2312" w:cs="Courier New"/>
          <w:sz w:val="32"/>
          <w:szCs w:val="32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第三部分</w:t>
      </w:r>
    </w:p>
    <w:p>
      <w:pPr>
        <w:adjustRightInd w:val="0"/>
        <w:snapToGrid w:val="0"/>
        <w:spacing w:line="360" w:lineRule="auto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名词解释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一、财政拨款收入：是指省级财政当年拨付的资金。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二、事业收入：是指事业单位开展专业活动及辅助活动所取 得的收入。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 xml:space="preserve">三、其他收入：是指部门取得的除“财政拨款”、“事业收入”、“事业单位经营收入”等以外的收入。 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四、用事业基金弥补收支差额：是指事业单位在当年的“财政拨款收入”、“事业收入”、“经营收入”和“其他收入”不足以安排当年支出的情况下，使用以前年度积累的事业基金（即事业单位以前各年度收支相抵后，按国家规定提取、用于弥补以后年度收 支差额的基金）弥补当年收支缺口的资金。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五、基本支出：是指为保障机构正常运转、完成日常工作任务所必需的开支，其内容包括人员经费和日常公用经费两部分。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六、项目支出：是指在基本支出之外，为完成特定的行政工作任务或事业发展目标所发生的支出。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hint="eastAsia"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七、“三公”经费：是指纳入省级财政预算管理，部门使用财政拨款安排的因公出国（境）费、公务用车购置及运行费和公务接待费。其中，因公出国（境）费反映单位公务出国（境）的住宿费、旅费、伙食补助费、杂费、培训费等支出；公务用车购置及运行费反映单位公务用车购置费及租用费、燃料费、维修费、过路过桥费、保险费、安全奖励费用等支出；公务接待费反映单位按规定开支的各类公务接待（含外宾接待）支出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hint="eastAsia"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八、机关运行经费：是指为保障行政单位（含参照公务员法管理的事业单位）运行用于购买货物和服务的各项资金，包括办公及印刷费、邮电费、差旅费、会议费、福利费、日常维修费及一般设备购置费、办公用房水电费、办公用房取暖费、办公用房物业管理费、公务用车运行维护费以及其他费用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hint="eastAsia" w:ascii="仿宋_GB2312" w:hAnsi="宋体" w:eastAsia="仿宋_GB2312" w:cs="Courier New"/>
          <w:sz w:val="32"/>
          <w:szCs w:val="32"/>
        </w:rPr>
      </w:pP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hint="eastAsia" w:ascii="仿宋_GB2312" w:hAnsi="宋体" w:eastAsia="仿宋_GB2312" w:cs="Courier New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default" w:ascii="仿宋_GB2312" w:hAnsi="宋体" w:eastAsia="仿宋_GB2312" w:cs="Courier New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附件：</w:t>
      </w:r>
      <w:r>
        <w:rPr>
          <w:rFonts w:hint="eastAsia" w:ascii="黑体" w:hAnsi="黑体" w:eastAsia="黑体"/>
          <w:sz w:val="32"/>
          <w:szCs w:val="32"/>
          <w:lang w:eastAsia="zh-CN"/>
        </w:rPr>
        <w:t>2021</w:t>
      </w:r>
      <w:r>
        <w:rPr>
          <w:rFonts w:hint="eastAsia"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  <w:lang w:eastAsia="zh-CN"/>
        </w:rPr>
        <w:t>新乡市</w:t>
      </w:r>
      <w:r>
        <w:rPr>
          <w:rFonts w:hint="eastAsia" w:ascii="黑体" w:hAnsi="Times New Roman" w:eastAsia="黑体" w:cs="黑体"/>
          <w:sz w:val="32"/>
          <w:szCs w:val="32"/>
          <w:lang w:val="en-US" w:eastAsia="zh-CN"/>
        </w:rPr>
        <w:t>凤泉区</w:t>
      </w:r>
      <w:r>
        <w:rPr>
          <w:rFonts w:hint="eastAsia" w:ascii="黑体" w:eastAsia="黑体" w:cs="黑体"/>
          <w:sz w:val="32"/>
          <w:szCs w:val="32"/>
          <w:lang w:val="en-US" w:eastAsia="zh-CN"/>
        </w:rPr>
        <w:t>统计局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部门</w:t>
      </w:r>
      <w:r>
        <w:rPr>
          <w:rFonts w:hint="eastAsia" w:ascii="黑体" w:hAnsi="黑体" w:eastAsia="黑体"/>
          <w:sz w:val="32"/>
          <w:szCs w:val="32"/>
        </w:rPr>
        <w:t>预算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公开</w:t>
      </w:r>
      <w:r>
        <w:rPr>
          <w:rFonts w:hint="eastAsia" w:ascii="黑体" w:hAnsi="黑体" w:eastAsia="黑体"/>
          <w:sz w:val="32"/>
          <w:szCs w:val="32"/>
        </w:rPr>
        <w:t>表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spacing w:line="560" w:lineRule="exact"/>
        <w:ind w:firstLine="640" w:firstLineChars="200"/>
        <w:rPr>
          <w:rFonts w:hint="eastAsia" w:ascii="仿宋_GB2312" w:hAnsi="宋体" w:eastAsia="仿宋_GB2312" w:cs="Courier New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_GB2312" w:hAnsi="宋体" w:eastAsia="仿宋_GB2312" w:cs="Courier New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spacing w:line="600" w:lineRule="exact"/>
        <w:ind w:firstLine="560"/>
        <w:rPr>
          <w:rFonts w:hint="eastAsia" w:ascii="仿宋" w:hAnsi="仿宋" w:eastAsia="仿宋" w:cs="宋体"/>
          <w:color w:val="444444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279CC7"/>
    <w:multiLevelType w:val="singleLevel"/>
    <w:tmpl w:val="9A279CC7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1D04DC5"/>
    <w:multiLevelType w:val="singleLevel"/>
    <w:tmpl w:val="E1D04DC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6CC49119"/>
    <w:multiLevelType w:val="singleLevel"/>
    <w:tmpl w:val="6CC4911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7AFBB990"/>
    <w:multiLevelType w:val="singleLevel"/>
    <w:tmpl w:val="7AFBB99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7001D9"/>
    <w:rsid w:val="03483C02"/>
    <w:rsid w:val="09AB5E5B"/>
    <w:rsid w:val="18510E63"/>
    <w:rsid w:val="26EE603D"/>
    <w:rsid w:val="35034028"/>
    <w:rsid w:val="36D00A02"/>
    <w:rsid w:val="37623005"/>
    <w:rsid w:val="38A22C1D"/>
    <w:rsid w:val="40FE524E"/>
    <w:rsid w:val="417001D9"/>
    <w:rsid w:val="45595B40"/>
    <w:rsid w:val="460731D4"/>
    <w:rsid w:val="47186366"/>
    <w:rsid w:val="4CCA067A"/>
    <w:rsid w:val="4D6775EE"/>
    <w:rsid w:val="53B506A4"/>
    <w:rsid w:val="54492AFA"/>
    <w:rsid w:val="56E00F40"/>
    <w:rsid w:val="622E2AEA"/>
    <w:rsid w:val="6DC43ADF"/>
    <w:rsid w:val="75ED6151"/>
    <w:rsid w:val="79636A10"/>
    <w:rsid w:val="7BF46072"/>
    <w:rsid w:val="7BFD5878"/>
    <w:rsid w:val="7C986F36"/>
    <w:rsid w:val="7FF53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2021-06-08T02:58:00Z</dcterms:created>
  <dc:creator>刚好</dc:creator>
  <cp:lastModifiedBy>FQCZ</cp:lastModifiedBy>
  <dcterms:modified xsi:type="dcterms:W3CDTF">2021-09-07T03:07:17Z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79887D16874745E881492AFB1C804F9E</vt:lpwstr>
  </property>
</Properties>
</file>