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黑体" w:cs="Times New Roman"/>
          <w:color w:val="auto"/>
          <w:sz w:val="30"/>
          <w:lang w:eastAsia="zh-CN"/>
        </w:rPr>
      </w:pPr>
      <w:r>
        <w:rPr>
          <w:rFonts w:hint="eastAsia" w:eastAsia="黑体" w:cs="Times New Roman"/>
          <w:color w:val="auto"/>
          <w:sz w:val="30"/>
          <w:lang w:eastAsia="zh-CN"/>
        </w:rPr>
        <w:drawing>
          <wp:anchor distT="0" distB="0" distL="114300" distR="114300" simplePos="0" relativeHeight="251637760" behindDoc="1" locked="0" layoutInCell="1" allowOverlap="1">
            <wp:simplePos x="0" y="0"/>
            <wp:positionH relativeFrom="column">
              <wp:posOffset>-904875</wp:posOffset>
            </wp:positionH>
            <wp:positionV relativeFrom="paragraph">
              <wp:posOffset>-788670</wp:posOffset>
            </wp:positionV>
            <wp:extent cx="7395210" cy="10166350"/>
            <wp:effectExtent l="0" t="0" r="15240" b="6350"/>
            <wp:wrapNone/>
            <wp:docPr id="3" name="图片 3" descr="3256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5650001"/>
                    <pic:cNvPicPr>
                      <a:picLocks noChangeAspect="1"/>
                    </pic:cNvPicPr>
                  </pic:nvPicPr>
                  <pic:blipFill>
                    <a:blip r:embed="rId5"/>
                    <a:stretch>
                      <a:fillRect/>
                    </a:stretch>
                  </pic:blipFill>
                  <pic:spPr>
                    <a:xfrm>
                      <a:off x="0" y="0"/>
                      <a:ext cx="7395210" cy="10166350"/>
                    </a:xfrm>
                    <a:prstGeom prst="rect">
                      <a:avLst/>
                    </a:prstGeom>
                  </pic:spPr>
                </pic:pic>
              </a:graphicData>
            </a:graphic>
          </wp:anchor>
        </w:drawing>
      </w: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hint="eastAsia" w:eastAsia="黑体" w:cs="Times New Roman"/>
          <w:color w:val="auto"/>
          <w:sz w:val="30"/>
          <w:lang w:eastAsia="zh-CN"/>
        </w:rPr>
      </w:pPr>
      <w:r>
        <w:rPr>
          <w:rFonts w:hint="eastAsia" w:eastAsia="黑体" w:cs="Times New Roman"/>
          <w:color w:val="auto"/>
          <w:sz w:val="30"/>
          <w:lang w:eastAsia="zh-CN"/>
        </w:rPr>
        <w:drawing>
          <wp:anchor distT="0" distB="0" distL="114300" distR="114300" simplePos="0" relativeHeight="251637760" behindDoc="1" locked="0" layoutInCell="1" allowOverlap="1">
            <wp:simplePos x="0" y="0"/>
            <wp:positionH relativeFrom="column">
              <wp:posOffset>-866775</wp:posOffset>
            </wp:positionH>
            <wp:positionV relativeFrom="paragraph">
              <wp:posOffset>-826770</wp:posOffset>
            </wp:positionV>
            <wp:extent cx="7381240" cy="10147300"/>
            <wp:effectExtent l="0" t="0" r="10160" b="6350"/>
            <wp:wrapNone/>
            <wp:docPr id="4" name="图片 4" descr="32565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5650003"/>
                    <pic:cNvPicPr>
                      <a:picLocks noChangeAspect="1"/>
                    </pic:cNvPicPr>
                  </pic:nvPicPr>
                  <pic:blipFill>
                    <a:blip r:embed="rId6"/>
                    <a:stretch>
                      <a:fillRect/>
                    </a:stretch>
                  </pic:blipFill>
                  <pic:spPr>
                    <a:xfrm>
                      <a:off x="0" y="0"/>
                      <a:ext cx="7381240" cy="10147300"/>
                    </a:xfrm>
                    <a:prstGeom prst="rect">
                      <a:avLst/>
                    </a:prstGeom>
                  </pic:spPr>
                </pic:pic>
              </a:graphicData>
            </a:graphic>
          </wp:anchor>
        </w:drawing>
      </w: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r>
        <w:rPr>
          <w:rFonts w:hint="eastAsia" w:eastAsia="黑体" w:cs="Times New Roman"/>
          <w:color w:val="auto"/>
          <w:sz w:val="30"/>
          <w:lang w:eastAsia="zh-CN"/>
        </w:rPr>
        <w:drawing>
          <wp:anchor distT="0" distB="0" distL="114300" distR="114300" simplePos="0" relativeHeight="251662336" behindDoc="0" locked="0" layoutInCell="1" allowOverlap="1">
            <wp:simplePos x="0" y="0"/>
            <wp:positionH relativeFrom="column">
              <wp:posOffset>-917575</wp:posOffset>
            </wp:positionH>
            <wp:positionV relativeFrom="paragraph">
              <wp:posOffset>-802005</wp:posOffset>
            </wp:positionV>
            <wp:extent cx="7500620" cy="10311765"/>
            <wp:effectExtent l="0" t="0" r="5080" b="13335"/>
            <wp:wrapNone/>
            <wp:docPr id="5" name="图片 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0002"/>
                    <pic:cNvPicPr>
                      <a:picLocks noChangeAspect="1"/>
                    </pic:cNvPicPr>
                  </pic:nvPicPr>
                  <pic:blipFill>
                    <a:blip r:embed="rId7"/>
                    <a:stretch>
                      <a:fillRect/>
                    </a:stretch>
                  </pic:blipFill>
                  <pic:spPr>
                    <a:xfrm>
                      <a:off x="0" y="0"/>
                      <a:ext cx="7500620" cy="10311765"/>
                    </a:xfrm>
                    <a:prstGeom prst="rect">
                      <a:avLst/>
                    </a:prstGeom>
                  </pic:spPr>
                </pic:pic>
              </a:graphicData>
            </a:graphic>
          </wp:anchor>
        </w:drawing>
      </w: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r>
        <w:rPr>
          <w:rFonts w:hint="eastAsia" w:eastAsia="黑体" w:cs="Times New Roman"/>
          <w:color w:val="auto"/>
          <w:sz w:val="30"/>
          <w:lang w:eastAsia="zh-CN"/>
        </w:rPr>
        <w:drawing>
          <wp:anchor distT="0" distB="0" distL="114300" distR="114300" simplePos="0" relativeHeight="251668480" behindDoc="0" locked="0" layoutInCell="1" allowOverlap="1">
            <wp:simplePos x="0" y="0"/>
            <wp:positionH relativeFrom="column">
              <wp:posOffset>-944245</wp:posOffset>
            </wp:positionH>
            <wp:positionV relativeFrom="paragraph">
              <wp:posOffset>-897890</wp:posOffset>
            </wp:positionV>
            <wp:extent cx="7646035" cy="10511790"/>
            <wp:effectExtent l="0" t="0" r="12065" b="3810"/>
            <wp:wrapNone/>
            <wp:docPr id="6" name="图片 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an0003"/>
                    <pic:cNvPicPr>
                      <a:picLocks noChangeAspect="1"/>
                    </pic:cNvPicPr>
                  </pic:nvPicPr>
                  <pic:blipFill>
                    <a:blip r:embed="rId8"/>
                    <a:stretch>
                      <a:fillRect/>
                    </a:stretch>
                  </pic:blipFill>
                  <pic:spPr>
                    <a:xfrm>
                      <a:off x="0" y="0"/>
                      <a:ext cx="7646035" cy="10511790"/>
                    </a:xfrm>
                    <a:prstGeom prst="rect">
                      <a:avLst/>
                    </a:prstGeom>
                  </pic:spPr>
                </pic:pic>
              </a:graphicData>
            </a:graphic>
          </wp:anchor>
        </w:drawing>
      </w: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sz w:val="30"/>
        </w:rPr>
      </w:pPr>
    </w:p>
    <w:p>
      <w:pPr>
        <w:spacing w:line="360" w:lineRule="auto"/>
        <w:rPr>
          <w:rFonts w:eastAsia="黑体" w:cs="Times New Roman"/>
          <w:color w:val="auto"/>
        </w:rPr>
      </w:pPr>
      <w:r>
        <w:rPr>
          <w:rFonts w:eastAsia="黑体" w:cs="Times New Roman"/>
          <w:color w:val="auto"/>
          <w:sz w:val="30"/>
        </w:rPr>
        <w:t>建设项目基本情况</w:t>
      </w:r>
    </w:p>
    <w:tbl>
      <w:tblPr>
        <w:tblStyle w:val="26"/>
        <w:tblW w:w="87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82"/>
        <w:gridCol w:w="1438"/>
        <w:gridCol w:w="502"/>
        <w:gridCol w:w="1103"/>
        <w:gridCol w:w="1307"/>
        <w:gridCol w:w="1241"/>
        <w:gridCol w:w="242"/>
        <w:gridCol w:w="14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项目名称</w:t>
            </w:r>
          </w:p>
        </w:tc>
        <w:tc>
          <w:tcPr>
            <w:tcW w:w="7274" w:type="dxa"/>
            <w:gridSpan w:val="7"/>
            <w:tcMar>
              <w:top w:w="57" w:type="dxa"/>
              <w:left w:w="85" w:type="dxa"/>
              <w:bottom w:w="57" w:type="dxa"/>
              <w:right w:w="85" w:type="dxa"/>
            </w:tcMar>
            <w:vAlign w:val="center"/>
          </w:tcPr>
          <w:p>
            <w:pPr>
              <w:jc w:val="center"/>
              <w:rPr>
                <w:rFonts w:cs="Times New Roman"/>
                <w:color w:val="auto"/>
                <w:sz w:val="24"/>
                <w:szCs w:val="24"/>
              </w:rPr>
            </w:pPr>
            <w:r>
              <w:rPr>
                <w:rFonts w:hint="eastAsia" w:cs="Times New Roman"/>
                <w:color w:val="auto"/>
                <w:sz w:val="24"/>
              </w:rPr>
              <w:t>年产柴油机尾气净化装置30万套项目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建设单位</w:t>
            </w:r>
          </w:p>
        </w:tc>
        <w:tc>
          <w:tcPr>
            <w:tcW w:w="7274" w:type="dxa"/>
            <w:gridSpan w:val="7"/>
            <w:tcMar>
              <w:top w:w="57" w:type="dxa"/>
              <w:left w:w="85" w:type="dxa"/>
              <w:bottom w:w="57" w:type="dxa"/>
              <w:right w:w="85" w:type="dxa"/>
            </w:tcMar>
            <w:vAlign w:val="center"/>
          </w:tcPr>
          <w:p>
            <w:pPr>
              <w:jc w:val="center"/>
              <w:rPr>
                <w:rFonts w:cs="Times New Roman"/>
                <w:color w:val="auto"/>
                <w:sz w:val="24"/>
                <w:szCs w:val="24"/>
              </w:rPr>
            </w:pPr>
            <w:r>
              <w:rPr>
                <w:rFonts w:hint="eastAsia" w:cs="Times New Roman"/>
                <w:color w:val="auto"/>
                <w:sz w:val="24"/>
              </w:rPr>
              <w:t>新乡市得润环保科技有限公司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法人代表</w:t>
            </w:r>
          </w:p>
        </w:tc>
        <w:tc>
          <w:tcPr>
            <w:tcW w:w="3043" w:type="dxa"/>
            <w:gridSpan w:val="3"/>
            <w:tcMar>
              <w:top w:w="57" w:type="dxa"/>
              <w:left w:w="85" w:type="dxa"/>
              <w:bottom w:w="57" w:type="dxa"/>
              <w:right w:w="85" w:type="dxa"/>
            </w:tcMar>
            <w:vAlign w:val="center"/>
          </w:tcPr>
          <w:p>
            <w:pPr>
              <w:spacing w:line="300" w:lineRule="exact"/>
              <w:jc w:val="center"/>
              <w:rPr>
                <w:rFonts w:cs="Times New Roman"/>
                <w:color w:val="auto"/>
                <w:sz w:val="24"/>
                <w:szCs w:val="24"/>
              </w:rPr>
            </w:pPr>
            <w:r>
              <w:rPr>
                <w:rFonts w:hint="eastAsia" w:cs="Times New Roman"/>
                <w:color w:val="auto"/>
                <w:sz w:val="24"/>
                <w:szCs w:val="24"/>
              </w:rPr>
              <w:t>耿守铁41070419730924003x</w:t>
            </w:r>
          </w:p>
        </w:tc>
        <w:tc>
          <w:tcPr>
            <w:tcW w:w="1307"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联系人</w:t>
            </w:r>
          </w:p>
        </w:tc>
        <w:tc>
          <w:tcPr>
            <w:tcW w:w="2924" w:type="dxa"/>
            <w:gridSpan w:val="3"/>
            <w:tcMar>
              <w:top w:w="57" w:type="dxa"/>
              <w:left w:w="85" w:type="dxa"/>
              <w:bottom w:w="57" w:type="dxa"/>
              <w:right w:w="85" w:type="dxa"/>
            </w:tcMar>
            <w:vAlign w:val="center"/>
          </w:tcPr>
          <w:p>
            <w:pPr>
              <w:spacing w:line="300" w:lineRule="exact"/>
              <w:jc w:val="center"/>
              <w:rPr>
                <w:rFonts w:cs="Times New Roman"/>
                <w:color w:val="auto"/>
                <w:sz w:val="24"/>
                <w:szCs w:val="24"/>
              </w:rPr>
            </w:pPr>
            <w:r>
              <w:rPr>
                <w:rFonts w:hint="eastAsia" w:cs="Times New Roman"/>
                <w:color w:val="auto"/>
                <w:sz w:val="24"/>
                <w:szCs w:val="24"/>
              </w:rPr>
              <w:t>耿守铁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通讯地址</w:t>
            </w:r>
          </w:p>
        </w:tc>
        <w:tc>
          <w:tcPr>
            <w:tcW w:w="7274" w:type="dxa"/>
            <w:gridSpan w:val="7"/>
            <w:tcMar>
              <w:top w:w="57" w:type="dxa"/>
              <w:left w:w="85" w:type="dxa"/>
              <w:bottom w:w="57" w:type="dxa"/>
              <w:right w:w="85" w:type="dxa"/>
            </w:tcMar>
            <w:vAlign w:val="center"/>
          </w:tcPr>
          <w:p>
            <w:pPr>
              <w:spacing w:line="300" w:lineRule="exact"/>
              <w:jc w:val="center"/>
              <w:rPr>
                <w:rFonts w:hint="eastAsia" w:cs="Times New Roman" w:eastAsiaTheme="minorEastAsia"/>
                <w:b/>
                <w:color w:val="auto"/>
                <w:sz w:val="24"/>
                <w:szCs w:val="24"/>
                <w:lang w:val="en-US" w:eastAsia="zh-CN"/>
              </w:rPr>
            </w:pPr>
            <w:r>
              <w:rPr>
                <w:rFonts w:hint="eastAsia" w:cs="Times New Roman"/>
                <w:bCs/>
                <w:color w:val="auto"/>
                <w:sz w:val="24"/>
                <w:szCs w:val="24"/>
                <w:lang w:eastAsia="zh-CN"/>
              </w:rPr>
              <w:t>新乡市动力电池专业园区</w:t>
            </w:r>
            <w:r>
              <w:rPr>
                <w:rFonts w:cs="Times New Roman" w:eastAsiaTheme="minorEastAsia"/>
                <w:color w:val="auto"/>
                <w:sz w:val="24"/>
              </w:rPr>
              <w:t>河南富拓光电科技有限公司</w:t>
            </w:r>
            <w:r>
              <w:rPr>
                <w:rFonts w:hint="eastAsia" w:cs="Times New Roman" w:eastAsiaTheme="minorEastAsia"/>
                <w:color w:val="auto"/>
                <w:sz w:val="24"/>
                <w:lang w:val="en-US" w:eastAsia="zh-CN"/>
              </w:rPr>
              <w:t>院内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联系电话</w:t>
            </w:r>
          </w:p>
        </w:tc>
        <w:tc>
          <w:tcPr>
            <w:tcW w:w="1940" w:type="dxa"/>
            <w:gridSpan w:val="2"/>
            <w:tcMar>
              <w:top w:w="57" w:type="dxa"/>
              <w:left w:w="85" w:type="dxa"/>
              <w:bottom w:w="57" w:type="dxa"/>
              <w:right w:w="85" w:type="dxa"/>
            </w:tcMar>
            <w:vAlign w:val="center"/>
          </w:tcPr>
          <w:p>
            <w:pPr>
              <w:spacing w:line="300" w:lineRule="exact"/>
              <w:rPr>
                <w:rFonts w:cs="Times New Roman"/>
                <w:color w:val="auto"/>
                <w:sz w:val="24"/>
                <w:szCs w:val="24"/>
              </w:rPr>
            </w:pPr>
            <w:r>
              <w:rPr>
                <w:rFonts w:cs="Times New Roman"/>
                <w:color w:val="auto"/>
                <w:kern w:val="0"/>
                <w:sz w:val="24"/>
                <w:szCs w:val="24"/>
              </w:rPr>
              <w:t xml:space="preserve"> </w:t>
            </w:r>
            <w:r>
              <w:rPr>
                <w:rFonts w:hint="eastAsia" w:cs="Times New Roman"/>
                <w:color w:val="auto"/>
                <w:kern w:val="0"/>
                <w:sz w:val="24"/>
                <w:szCs w:val="24"/>
              </w:rPr>
              <w:t>13569827659</w:t>
            </w:r>
          </w:p>
        </w:tc>
        <w:tc>
          <w:tcPr>
            <w:tcW w:w="1103"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传  真</w:t>
            </w:r>
          </w:p>
        </w:tc>
        <w:tc>
          <w:tcPr>
            <w:tcW w:w="1307" w:type="dxa"/>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w:t>
            </w:r>
          </w:p>
        </w:tc>
        <w:tc>
          <w:tcPr>
            <w:tcW w:w="1241"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邮政编码</w:t>
            </w:r>
          </w:p>
        </w:tc>
        <w:tc>
          <w:tcPr>
            <w:tcW w:w="1683" w:type="dxa"/>
            <w:gridSpan w:val="2"/>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453011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建设地点</w:t>
            </w:r>
          </w:p>
        </w:tc>
        <w:tc>
          <w:tcPr>
            <w:tcW w:w="7274" w:type="dxa"/>
            <w:gridSpan w:val="7"/>
            <w:tcMar>
              <w:top w:w="57" w:type="dxa"/>
              <w:left w:w="85" w:type="dxa"/>
              <w:bottom w:w="57" w:type="dxa"/>
              <w:right w:w="85" w:type="dxa"/>
            </w:tcMar>
            <w:vAlign w:val="center"/>
          </w:tcPr>
          <w:p>
            <w:pPr>
              <w:spacing w:line="300" w:lineRule="exact"/>
              <w:jc w:val="center"/>
              <w:rPr>
                <w:rFonts w:hint="eastAsia" w:cs="Times New Roman" w:eastAsiaTheme="minorEastAsia"/>
                <w:color w:val="auto"/>
                <w:sz w:val="24"/>
                <w:szCs w:val="24"/>
                <w:lang w:val="en-US" w:eastAsia="zh-CN"/>
              </w:rPr>
            </w:pPr>
            <w:r>
              <w:rPr>
                <w:rFonts w:hint="eastAsia" w:cs="Times New Roman"/>
                <w:bCs/>
                <w:color w:val="auto"/>
                <w:sz w:val="24"/>
                <w:szCs w:val="24"/>
                <w:lang w:eastAsia="zh-CN"/>
              </w:rPr>
              <w:t>新乡市动力电池专业园区</w:t>
            </w:r>
            <w:r>
              <w:rPr>
                <w:rFonts w:cs="Times New Roman" w:eastAsiaTheme="minorEastAsia"/>
                <w:color w:val="auto"/>
                <w:sz w:val="24"/>
              </w:rPr>
              <w:t>河南富拓光电科技有限公司</w:t>
            </w:r>
            <w:r>
              <w:rPr>
                <w:rFonts w:hint="eastAsia" w:cs="Times New Roman" w:eastAsiaTheme="minorEastAsia"/>
                <w:color w:val="auto"/>
                <w:sz w:val="24"/>
                <w:lang w:val="en-US" w:eastAsia="zh-CN"/>
              </w:rPr>
              <w:t>院内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482" w:type="dxa"/>
            <w:tcMar>
              <w:top w:w="57" w:type="dxa"/>
              <w:left w:w="85" w:type="dxa"/>
              <w:bottom w:w="57" w:type="dxa"/>
              <w:right w:w="85" w:type="dxa"/>
            </w:tcMar>
            <w:vAlign w:val="center"/>
          </w:tcPr>
          <w:p>
            <w:pPr>
              <w:spacing w:line="300" w:lineRule="exact"/>
              <w:jc w:val="center"/>
              <w:rPr>
                <w:rFonts w:cs="Times New Roman" w:eastAsiaTheme="minorEastAsia"/>
                <w:b/>
                <w:color w:val="auto"/>
                <w:sz w:val="24"/>
                <w:szCs w:val="24"/>
              </w:rPr>
            </w:pPr>
            <w:r>
              <w:rPr>
                <w:rFonts w:cs="Times New Roman"/>
                <w:b/>
                <w:color w:val="auto"/>
                <w:sz w:val="24"/>
                <w:szCs w:val="24"/>
              </w:rPr>
              <w:t>立项审批</w:t>
            </w:r>
          </w:p>
          <w:p>
            <w:pPr>
              <w:spacing w:line="300" w:lineRule="exact"/>
              <w:jc w:val="center"/>
              <w:rPr>
                <w:rFonts w:cs="Times New Roman"/>
                <w:b/>
                <w:color w:val="auto"/>
                <w:sz w:val="24"/>
                <w:szCs w:val="24"/>
              </w:rPr>
            </w:pPr>
            <w:r>
              <w:rPr>
                <w:rFonts w:cs="Times New Roman"/>
                <w:b/>
                <w:color w:val="auto"/>
                <w:sz w:val="24"/>
                <w:szCs w:val="24"/>
              </w:rPr>
              <w:t>部门</w:t>
            </w:r>
          </w:p>
        </w:tc>
        <w:tc>
          <w:tcPr>
            <w:tcW w:w="3043" w:type="dxa"/>
            <w:gridSpan w:val="3"/>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新乡市凤泉区发展和改革委员会</w:t>
            </w:r>
          </w:p>
        </w:tc>
        <w:tc>
          <w:tcPr>
            <w:tcW w:w="1307"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项目代码</w:t>
            </w:r>
          </w:p>
        </w:tc>
        <w:tc>
          <w:tcPr>
            <w:tcW w:w="2924" w:type="dxa"/>
            <w:gridSpan w:val="3"/>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2019-410704-3</w:t>
            </w:r>
            <w:r>
              <w:rPr>
                <w:rFonts w:hint="eastAsia" w:cs="Times New Roman"/>
                <w:color w:val="auto"/>
                <w:sz w:val="24"/>
                <w:szCs w:val="24"/>
              </w:rPr>
              <w:t>4</w:t>
            </w:r>
            <w:r>
              <w:rPr>
                <w:rFonts w:cs="Times New Roman"/>
                <w:color w:val="auto"/>
                <w:sz w:val="24"/>
                <w:szCs w:val="24"/>
              </w:rPr>
              <w:t>-03-</w:t>
            </w:r>
            <w:r>
              <w:rPr>
                <w:rFonts w:hint="eastAsia" w:cs="Times New Roman"/>
                <w:color w:val="auto"/>
                <w:sz w:val="24"/>
                <w:szCs w:val="24"/>
              </w:rPr>
              <w:t>051695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建设性质</w:t>
            </w:r>
          </w:p>
        </w:tc>
        <w:tc>
          <w:tcPr>
            <w:tcW w:w="3043" w:type="dxa"/>
            <w:gridSpan w:val="3"/>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Cs/>
                <w:color w:val="auto"/>
                <w:sz w:val="24"/>
                <w:szCs w:val="24"/>
              </w:rPr>
              <w:t>新建</w:t>
            </w:r>
            <w:r>
              <w:rPr>
                <w:rFonts w:cs="Times New Roman"/>
                <w:bCs/>
                <w:color w:val="auto"/>
                <w:sz w:val="24"/>
                <w:szCs w:val="24"/>
              </w:rPr>
              <w:sym w:font="Wingdings 2" w:char="0052"/>
            </w:r>
            <w:r>
              <w:rPr>
                <w:rFonts w:cs="Times New Roman"/>
                <w:bCs/>
                <w:color w:val="auto"/>
                <w:sz w:val="24"/>
                <w:szCs w:val="24"/>
              </w:rPr>
              <w:t>改扩建</w:t>
            </w:r>
            <w:r>
              <w:rPr>
                <w:rFonts w:cs="Times New Roman"/>
                <w:bCs/>
                <w:color w:val="auto"/>
                <w:sz w:val="24"/>
                <w:szCs w:val="24"/>
              </w:rPr>
              <w:sym w:font="Wingdings 2" w:char="00A3"/>
            </w:r>
            <w:r>
              <w:rPr>
                <w:rFonts w:cs="Times New Roman"/>
                <w:bCs/>
                <w:color w:val="auto"/>
                <w:sz w:val="24"/>
                <w:szCs w:val="24"/>
              </w:rPr>
              <w:t>技改</w:t>
            </w:r>
            <w:r>
              <w:rPr>
                <w:rFonts w:cs="Times New Roman"/>
                <w:bCs/>
                <w:color w:val="auto"/>
                <w:sz w:val="24"/>
                <w:szCs w:val="24"/>
              </w:rPr>
              <w:sym w:font="Wingdings 2" w:char="00A3"/>
            </w:r>
          </w:p>
        </w:tc>
        <w:tc>
          <w:tcPr>
            <w:tcW w:w="1307"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行业类别及代码</w:t>
            </w:r>
          </w:p>
        </w:tc>
        <w:tc>
          <w:tcPr>
            <w:tcW w:w="2924" w:type="dxa"/>
            <w:gridSpan w:val="3"/>
            <w:tcMar>
              <w:top w:w="57" w:type="dxa"/>
              <w:left w:w="85" w:type="dxa"/>
              <w:bottom w:w="57" w:type="dxa"/>
              <w:right w:w="85" w:type="dxa"/>
            </w:tcMar>
            <w:vAlign w:val="center"/>
          </w:tcPr>
          <w:p>
            <w:pPr>
              <w:widowControl/>
              <w:snapToGrid w:val="0"/>
              <w:spacing w:line="300" w:lineRule="exact"/>
              <w:jc w:val="center"/>
              <w:textAlignment w:val="top"/>
              <w:rPr>
                <w:rFonts w:cs="Times New Roman"/>
                <w:color w:val="auto"/>
                <w:sz w:val="24"/>
                <w:szCs w:val="24"/>
              </w:rPr>
            </w:pPr>
            <w:r>
              <w:rPr>
                <w:rFonts w:cs="Times New Roman"/>
                <w:color w:val="auto"/>
                <w:sz w:val="24"/>
                <w:szCs w:val="24"/>
              </w:rPr>
              <w:t>C</w:t>
            </w:r>
            <w:r>
              <w:rPr>
                <w:rFonts w:hint="eastAsia" w:cs="Times New Roman"/>
                <w:color w:val="auto"/>
                <w:sz w:val="24"/>
                <w:szCs w:val="24"/>
              </w:rPr>
              <w:t>3591环境保护专用设备制造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pacing w:val="-8"/>
                <w:sz w:val="24"/>
                <w:szCs w:val="24"/>
              </w:rPr>
            </w:pPr>
            <w:r>
              <w:rPr>
                <w:rFonts w:cs="Times New Roman"/>
                <w:b/>
                <w:color w:val="auto"/>
                <w:spacing w:val="-8"/>
                <w:sz w:val="24"/>
                <w:szCs w:val="24"/>
              </w:rPr>
              <w:t>占地面积</w:t>
            </w:r>
          </w:p>
          <w:p>
            <w:pPr>
              <w:spacing w:line="300" w:lineRule="exact"/>
              <w:jc w:val="center"/>
              <w:rPr>
                <w:rFonts w:cs="Times New Roman"/>
                <w:b/>
                <w:color w:val="auto"/>
                <w:spacing w:val="-8"/>
                <w:sz w:val="24"/>
                <w:szCs w:val="24"/>
              </w:rPr>
            </w:pPr>
            <w:r>
              <w:rPr>
                <w:rFonts w:cs="Times New Roman"/>
                <w:b/>
                <w:color w:val="auto"/>
                <w:spacing w:val="-8"/>
                <w:sz w:val="24"/>
                <w:szCs w:val="24"/>
              </w:rPr>
              <w:t>（平方米）</w:t>
            </w:r>
          </w:p>
        </w:tc>
        <w:tc>
          <w:tcPr>
            <w:tcW w:w="3043" w:type="dxa"/>
            <w:gridSpan w:val="3"/>
            <w:tcMar>
              <w:top w:w="57" w:type="dxa"/>
              <w:left w:w="85" w:type="dxa"/>
              <w:bottom w:w="57" w:type="dxa"/>
              <w:right w:w="85" w:type="dxa"/>
            </w:tcMar>
            <w:vAlign w:val="center"/>
          </w:tcPr>
          <w:p>
            <w:pPr>
              <w:spacing w:line="300" w:lineRule="exact"/>
              <w:jc w:val="center"/>
              <w:rPr>
                <w:rFonts w:cs="Times New Roman"/>
                <w:color w:val="auto"/>
                <w:sz w:val="24"/>
                <w:szCs w:val="24"/>
              </w:rPr>
            </w:pPr>
            <w:r>
              <w:rPr>
                <w:rFonts w:hint="eastAsia" w:cs="Times New Roman"/>
                <w:color w:val="auto"/>
                <w:sz w:val="24"/>
                <w:szCs w:val="24"/>
              </w:rPr>
              <w:t>720</w:t>
            </w:r>
          </w:p>
        </w:tc>
        <w:tc>
          <w:tcPr>
            <w:tcW w:w="1307" w:type="dxa"/>
            <w:tcMar>
              <w:top w:w="57" w:type="dxa"/>
              <w:left w:w="85" w:type="dxa"/>
              <w:bottom w:w="57" w:type="dxa"/>
              <w:right w:w="85" w:type="dxa"/>
            </w:tcMar>
            <w:vAlign w:val="center"/>
          </w:tcPr>
          <w:p>
            <w:pPr>
              <w:spacing w:line="300" w:lineRule="exact"/>
              <w:jc w:val="center"/>
              <w:rPr>
                <w:rFonts w:cs="Times New Roman"/>
                <w:b/>
                <w:color w:val="auto"/>
                <w:spacing w:val="-8"/>
                <w:sz w:val="24"/>
                <w:szCs w:val="24"/>
              </w:rPr>
            </w:pPr>
            <w:r>
              <w:rPr>
                <w:rFonts w:cs="Times New Roman"/>
                <w:b/>
                <w:color w:val="auto"/>
                <w:spacing w:val="-8"/>
                <w:sz w:val="24"/>
                <w:szCs w:val="24"/>
              </w:rPr>
              <w:t>绿化面积</w:t>
            </w:r>
          </w:p>
          <w:p>
            <w:pPr>
              <w:spacing w:line="300" w:lineRule="exact"/>
              <w:jc w:val="center"/>
              <w:rPr>
                <w:rFonts w:cs="Times New Roman"/>
                <w:b/>
                <w:color w:val="auto"/>
                <w:spacing w:val="-8"/>
                <w:sz w:val="24"/>
                <w:szCs w:val="24"/>
              </w:rPr>
            </w:pPr>
            <w:r>
              <w:rPr>
                <w:rFonts w:cs="Times New Roman"/>
                <w:b/>
                <w:color w:val="auto"/>
                <w:spacing w:val="-8"/>
                <w:sz w:val="24"/>
                <w:szCs w:val="24"/>
              </w:rPr>
              <w:t>(平方米)</w:t>
            </w:r>
          </w:p>
        </w:tc>
        <w:tc>
          <w:tcPr>
            <w:tcW w:w="2924" w:type="dxa"/>
            <w:gridSpan w:val="3"/>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482" w:type="dxa"/>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总投资</w:t>
            </w:r>
          </w:p>
          <w:p>
            <w:pPr>
              <w:spacing w:line="300" w:lineRule="exact"/>
              <w:jc w:val="center"/>
              <w:rPr>
                <w:rFonts w:cs="Times New Roman"/>
                <w:b/>
                <w:color w:val="auto"/>
                <w:sz w:val="24"/>
                <w:szCs w:val="24"/>
              </w:rPr>
            </w:pPr>
            <w:r>
              <w:rPr>
                <w:rFonts w:cs="Times New Roman"/>
                <w:b/>
                <w:color w:val="auto"/>
                <w:sz w:val="24"/>
                <w:szCs w:val="24"/>
              </w:rPr>
              <w:t>（万元）</w:t>
            </w:r>
          </w:p>
        </w:tc>
        <w:tc>
          <w:tcPr>
            <w:tcW w:w="1438" w:type="dxa"/>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1000</w:t>
            </w:r>
          </w:p>
        </w:tc>
        <w:tc>
          <w:tcPr>
            <w:tcW w:w="1605" w:type="dxa"/>
            <w:gridSpan w:val="2"/>
            <w:tcMar>
              <w:top w:w="57" w:type="dxa"/>
              <w:left w:w="85" w:type="dxa"/>
              <w:bottom w:w="57" w:type="dxa"/>
              <w:right w:w="85" w:type="dxa"/>
            </w:tcMar>
            <w:vAlign w:val="center"/>
          </w:tcPr>
          <w:p>
            <w:pPr>
              <w:spacing w:line="300" w:lineRule="exact"/>
              <w:jc w:val="center"/>
              <w:rPr>
                <w:rFonts w:cs="Times New Roman"/>
                <w:b/>
                <w:color w:val="auto"/>
                <w:spacing w:val="-12"/>
                <w:sz w:val="24"/>
                <w:szCs w:val="24"/>
              </w:rPr>
            </w:pPr>
            <w:r>
              <w:rPr>
                <w:rFonts w:cs="Times New Roman"/>
                <w:b/>
                <w:color w:val="auto"/>
                <w:spacing w:val="-12"/>
                <w:sz w:val="24"/>
                <w:szCs w:val="24"/>
              </w:rPr>
              <w:t>其中：环保</w:t>
            </w:r>
          </w:p>
          <w:p>
            <w:pPr>
              <w:spacing w:line="300" w:lineRule="exact"/>
              <w:jc w:val="center"/>
              <w:rPr>
                <w:rFonts w:cs="Times New Roman"/>
                <w:b/>
                <w:color w:val="auto"/>
                <w:spacing w:val="-12"/>
                <w:sz w:val="24"/>
                <w:szCs w:val="24"/>
              </w:rPr>
            </w:pPr>
            <w:r>
              <w:rPr>
                <w:rFonts w:cs="Times New Roman"/>
                <w:b/>
                <w:color w:val="auto"/>
                <w:spacing w:val="-12"/>
                <w:sz w:val="24"/>
                <w:szCs w:val="24"/>
              </w:rPr>
              <w:t>投资(万元)</w:t>
            </w:r>
          </w:p>
        </w:tc>
        <w:tc>
          <w:tcPr>
            <w:tcW w:w="1307" w:type="dxa"/>
            <w:tcMar>
              <w:top w:w="57" w:type="dxa"/>
              <w:left w:w="85" w:type="dxa"/>
              <w:bottom w:w="57" w:type="dxa"/>
              <w:right w:w="85" w:type="dxa"/>
            </w:tcMar>
            <w:vAlign w:val="center"/>
          </w:tcPr>
          <w:p>
            <w:pPr>
              <w:jc w:val="center"/>
              <w:rPr>
                <w:rFonts w:cs="Times New Roman"/>
                <w:color w:val="auto"/>
                <w:sz w:val="24"/>
                <w:szCs w:val="24"/>
              </w:rPr>
            </w:pPr>
            <w:r>
              <w:rPr>
                <w:rFonts w:hint="eastAsia" w:cs="Times New Roman"/>
                <w:color w:val="auto"/>
                <w:sz w:val="24"/>
                <w:szCs w:val="24"/>
              </w:rPr>
              <w:t>9.5</w:t>
            </w:r>
          </w:p>
        </w:tc>
        <w:tc>
          <w:tcPr>
            <w:tcW w:w="1483" w:type="dxa"/>
            <w:gridSpan w:val="2"/>
            <w:tcMar>
              <w:top w:w="57" w:type="dxa"/>
              <w:left w:w="85" w:type="dxa"/>
              <w:bottom w:w="57" w:type="dxa"/>
              <w:right w:w="85" w:type="dxa"/>
            </w:tcMar>
            <w:vAlign w:val="center"/>
          </w:tcPr>
          <w:p>
            <w:pPr>
              <w:jc w:val="center"/>
              <w:rPr>
                <w:rFonts w:cs="Times New Roman"/>
                <w:b/>
                <w:color w:val="auto"/>
                <w:sz w:val="24"/>
                <w:szCs w:val="24"/>
              </w:rPr>
            </w:pPr>
            <w:r>
              <w:rPr>
                <w:rFonts w:cs="Times New Roman"/>
                <w:b/>
                <w:bCs/>
                <w:color w:val="auto"/>
                <w:sz w:val="24"/>
                <w:szCs w:val="24"/>
              </w:rPr>
              <w:t>环保投资占总投资比例</w:t>
            </w:r>
          </w:p>
        </w:tc>
        <w:tc>
          <w:tcPr>
            <w:tcW w:w="1441" w:type="dxa"/>
            <w:tcMar>
              <w:top w:w="57" w:type="dxa"/>
              <w:left w:w="85" w:type="dxa"/>
              <w:bottom w:w="57" w:type="dxa"/>
              <w:right w:w="85" w:type="dxa"/>
            </w:tcMar>
            <w:vAlign w:val="center"/>
          </w:tcPr>
          <w:p>
            <w:pPr>
              <w:jc w:val="center"/>
              <w:rPr>
                <w:rFonts w:cs="Times New Roman"/>
                <w:color w:val="auto"/>
                <w:sz w:val="24"/>
                <w:szCs w:val="24"/>
              </w:rPr>
            </w:pPr>
            <w:r>
              <w:rPr>
                <w:rFonts w:hint="eastAsia" w:cs="Times New Roman"/>
                <w:color w:val="auto"/>
                <w:sz w:val="24"/>
                <w:szCs w:val="24"/>
              </w:rPr>
              <w:t>0.95</w:t>
            </w:r>
            <w:r>
              <w:rPr>
                <w:rFonts w:cs="Times New Roman"/>
                <w:color w:val="auto"/>
                <w:sz w:val="24"/>
                <w:szCs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482" w:type="dxa"/>
            <w:tcMar>
              <w:top w:w="57" w:type="dxa"/>
              <w:left w:w="85" w:type="dxa"/>
              <w:bottom w:w="57" w:type="dxa"/>
              <w:right w:w="85" w:type="dxa"/>
            </w:tcMar>
            <w:vAlign w:val="center"/>
          </w:tcPr>
          <w:p>
            <w:pPr>
              <w:spacing w:line="300" w:lineRule="exact"/>
              <w:jc w:val="center"/>
              <w:rPr>
                <w:rFonts w:cs="Times New Roman" w:eastAsiaTheme="minorEastAsia"/>
                <w:b/>
                <w:color w:val="auto"/>
                <w:spacing w:val="-8"/>
                <w:sz w:val="24"/>
                <w:szCs w:val="24"/>
              </w:rPr>
            </w:pPr>
            <w:r>
              <w:rPr>
                <w:rFonts w:cs="Times New Roman"/>
                <w:b/>
                <w:color w:val="auto"/>
                <w:spacing w:val="-8"/>
                <w:sz w:val="24"/>
                <w:szCs w:val="24"/>
              </w:rPr>
              <w:t>评价经费</w:t>
            </w:r>
          </w:p>
          <w:p>
            <w:pPr>
              <w:spacing w:line="300" w:lineRule="exact"/>
              <w:jc w:val="center"/>
              <w:rPr>
                <w:rFonts w:cs="Times New Roman"/>
                <w:b/>
                <w:color w:val="auto"/>
                <w:spacing w:val="-8"/>
                <w:sz w:val="24"/>
                <w:szCs w:val="24"/>
              </w:rPr>
            </w:pPr>
            <w:r>
              <w:rPr>
                <w:rFonts w:cs="Times New Roman"/>
                <w:b/>
                <w:color w:val="auto"/>
                <w:sz w:val="24"/>
                <w:szCs w:val="24"/>
              </w:rPr>
              <w:t>（万元）</w:t>
            </w:r>
          </w:p>
        </w:tc>
        <w:tc>
          <w:tcPr>
            <w:tcW w:w="1438" w:type="dxa"/>
            <w:tcMar>
              <w:top w:w="57" w:type="dxa"/>
              <w:left w:w="85" w:type="dxa"/>
              <w:bottom w:w="57" w:type="dxa"/>
              <w:right w:w="85" w:type="dxa"/>
            </w:tcMar>
            <w:vAlign w:val="center"/>
          </w:tcPr>
          <w:p>
            <w:pPr>
              <w:spacing w:line="300" w:lineRule="exact"/>
              <w:jc w:val="center"/>
              <w:rPr>
                <w:rFonts w:cs="Times New Roman"/>
                <w:color w:val="auto"/>
                <w:sz w:val="24"/>
                <w:szCs w:val="24"/>
              </w:rPr>
            </w:pPr>
            <w:r>
              <w:rPr>
                <w:rFonts w:cs="Times New Roman"/>
                <w:color w:val="auto"/>
                <w:sz w:val="24"/>
                <w:szCs w:val="24"/>
              </w:rPr>
              <w:t>/</w:t>
            </w:r>
          </w:p>
        </w:tc>
        <w:tc>
          <w:tcPr>
            <w:tcW w:w="1605" w:type="dxa"/>
            <w:gridSpan w:val="2"/>
            <w:tcMar>
              <w:top w:w="57" w:type="dxa"/>
              <w:left w:w="85" w:type="dxa"/>
              <w:bottom w:w="57" w:type="dxa"/>
              <w:right w:w="85" w:type="dxa"/>
            </w:tcMar>
            <w:vAlign w:val="center"/>
          </w:tcPr>
          <w:p>
            <w:pPr>
              <w:spacing w:line="300" w:lineRule="exact"/>
              <w:jc w:val="center"/>
              <w:rPr>
                <w:rFonts w:cs="Times New Roman"/>
                <w:b/>
                <w:color w:val="auto"/>
                <w:sz w:val="24"/>
                <w:szCs w:val="24"/>
              </w:rPr>
            </w:pPr>
            <w:r>
              <w:rPr>
                <w:rFonts w:cs="Times New Roman"/>
                <w:b/>
                <w:color w:val="auto"/>
                <w:sz w:val="24"/>
                <w:szCs w:val="24"/>
              </w:rPr>
              <w:t>预期投产</w:t>
            </w:r>
          </w:p>
          <w:p>
            <w:pPr>
              <w:spacing w:line="300" w:lineRule="exact"/>
              <w:jc w:val="center"/>
              <w:rPr>
                <w:rFonts w:cs="Times New Roman"/>
                <w:b/>
                <w:color w:val="auto"/>
                <w:spacing w:val="-12"/>
                <w:sz w:val="24"/>
                <w:szCs w:val="24"/>
              </w:rPr>
            </w:pPr>
            <w:r>
              <w:rPr>
                <w:rFonts w:cs="Times New Roman"/>
                <w:b/>
                <w:color w:val="auto"/>
                <w:sz w:val="24"/>
                <w:szCs w:val="24"/>
              </w:rPr>
              <w:t>日    期</w:t>
            </w:r>
          </w:p>
        </w:tc>
        <w:tc>
          <w:tcPr>
            <w:tcW w:w="4231" w:type="dxa"/>
            <w:gridSpan w:val="4"/>
            <w:tcMar>
              <w:top w:w="57" w:type="dxa"/>
              <w:left w:w="85" w:type="dxa"/>
              <w:bottom w:w="57" w:type="dxa"/>
              <w:right w:w="85" w:type="dxa"/>
            </w:tcMar>
            <w:vAlign w:val="center"/>
          </w:tcPr>
          <w:p>
            <w:pPr>
              <w:spacing w:line="300" w:lineRule="exact"/>
              <w:jc w:val="center"/>
              <w:rPr>
                <w:rFonts w:hint="default" w:eastAsia="宋体" w:cs="Times New Roman"/>
                <w:color w:val="auto"/>
                <w:sz w:val="24"/>
                <w:szCs w:val="24"/>
                <w:lang w:val="en-US" w:eastAsia="zh-CN"/>
              </w:rPr>
            </w:pPr>
            <w:r>
              <w:rPr>
                <w:rFonts w:hint="eastAsia" w:cs="Times New Roman"/>
                <w:color w:val="auto"/>
                <w:sz w:val="24"/>
                <w:szCs w:val="24"/>
                <w:lang w:val="en-US" w:eastAsia="zh-CN"/>
              </w:rPr>
              <w:t>2020年5月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6" w:hRule="atLeast"/>
          <w:jc w:val="center"/>
        </w:trPr>
        <w:tc>
          <w:tcPr>
            <w:tcW w:w="8756" w:type="dxa"/>
            <w:gridSpan w:val="8"/>
          </w:tcPr>
          <w:p>
            <w:pPr>
              <w:adjustRightInd w:val="0"/>
              <w:spacing w:line="480" w:lineRule="exact"/>
              <w:rPr>
                <w:rFonts w:eastAsia="黑体" w:cs="Times New Roman"/>
                <w:color w:val="auto"/>
                <w:szCs w:val="28"/>
              </w:rPr>
            </w:pPr>
            <w:r>
              <w:rPr>
                <w:rFonts w:eastAsia="黑体" w:cs="Times New Roman"/>
                <w:color w:val="auto"/>
                <w:szCs w:val="28"/>
              </w:rPr>
              <w:t>一、项目由来</w:t>
            </w:r>
          </w:p>
          <w:p>
            <w:pPr>
              <w:spacing w:line="360" w:lineRule="auto"/>
              <w:ind w:firstLine="480" w:firstLineChars="200"/>
              <w:rPr>
                <w:rFonts w:cs="Times New Roman"/>
                <w:color w:val="auto"/>
                <w:sz w:val="24"/>
                <w:szCs w:val="24"/>
              </w:rPr>
            </w:pPr>
            <w:r>
              <w:rPr>
                <w:rFonts w:cs="Times New Roman"/>
                <w:color w:val="auto"/>
                <w:sz w:val="24"/>
              </w:rPr>
              <w:t>随着我国汽车保有量不断增加，汽车尾气排放已成为环境空气主要污染源之一</w:t>
            </w:r>
            <w:r>
              <w:rPr>
                <w:rFonts w:hint="eastAsia" w:cs="Times New Roman"/>
                <w:color w:val="auto"/>
                <w:sz w:val="24"/>
              </w:rPr>
              <w:t>，</w:t>
            </w:r>
            <w:r>
              <w:rPr>
                <w:rFonts w:cs="Times New Roman"/>
                <w:color w:val="auto"/>
                <w:sz w:val="24"/>
              </w:rPr>
              <w:t>因此，汽车尾气的治理显得尤为紧迫。车用柴油机加装氧化型催化器</w:t>
            </w:r>
            <w:r>
              <w:rPr>
                <w:rFonts w:hint="eastAsia" w:cs="Times New Roman"/>
                <w:color w:val="auto"/>
                <w:sz w:val="24"/>
              </w:rPr>
              <w:t>，</w:t>
            </w:r>
            <w:r>
              <w:rPr>
                <w:rFonts w:cs="Times New Roman"/>
                <w:color w:val="auto"/>
                <w:sz w:val="24"/>
              </w:rPr>
              <w:t>以铂( Pt) 、钯( Pd)等贵金属作为催化剂</w:t>
            </w:r>
            <w:r>
              <w:rPr>
                <w:rFonts w:hint="eastAsia" w:cs="Times New Roman"/>
                <w:color w:val="auto"/>
                <w:sz w:val="24"/>
              </w:rPr>
              <w:t>，</w:t>
            </w:r>
            <w:r>
              <w:rPr>
                <w:rFonts w:cs="Times New Roman"/>
                <w:color w:val="auto"/>
                <w:sz w:val="24"/>
              </w:rPr>
              <w:t>主要降低微粒排放中的SOF的含量从而降低PM的排放。同时可以有效减少排气中的HC</w:t>
            </w:r>
            <w:r>
              <w:rPr>
                <w:rFonts w:hint="eastAsia" w:cs="Times New Roman"/>
                <w:color w:val="auto"/>
                <w:sz w:val="24"/>
              </w:rPr>
              <w:t>、</w:t>
            </w:r>
            <w:r>
              <w:rPr>
                <w:rFonts w:cs="Times New Roman"/>
                <w:color w:val="auto"/>
                <w:sz w:val="24"/>
              </w:rPr>
              <w:t>CO。氧化催化器可以除去90%的SOF</w:t>
            </w:r>
            <w:r>
              <w:rPr>
                <w:rFonts w:hint="eastAsia" w:cs="Times New Roman"/>
                <w:color w:val="auto"/>
                <w:sz w:val="24"/>
              </w:rPr>
              <w:t>，</w:t>
            </w:r>
            <w:r>
              <w:rPr>
                <w:rFonts w:cs="Times New Roman"/>
                <w:color w:val="auto"/>
                <w:sz w:val="24"/>
              </w:rPr>
              <w:t>从而使PM放减少40%</w:t>
            </w:r>
            <w:r>
              <w:rPr>
                <w:rFonts w:hint="eastAsia" w:cs="Times New Roman"/>
                <w:color w:val="auto"/>
                <w:sz w:val="24"/>
              </w:rPr>
              <w:t>~</w:t>
            </w:r>
            <w:r>
              <w:rPr>
                <w:rFonts w:cs="Times New Roman"/>
                <w:color w:val="auto"/>
                <w:sz w:val="24"/>
              </w:rPr>
              <w:t xml:space="preserve">50%。其对HC和CO的处理效率可以分别达到88% </w:t>
            </w:r>
            <w:r>
              <w:rPr>
                <w:rFonts w:hint="eastAsia" w:cs="Times New Roman"/>
                <w:color w:val="auto"/>
                <w:sz w:val="24"/>
              </w:rPr>
              <w:t>、</w:t>
            </w:r>
            <w:r>
              <w:rPr>
                <w:rFonts w:cs="Times New Roman"/>
                <w:color w:val="auto"/>
                <w:sz w:val="24"/>
              </w:rPr>
              <w:t>68%。</w:t>
            </w:r>
            <w:r>
              <w:rPr>
                <w:rFonts w:hint="eastAsia" w:cs="Times New Roman"/>
                <w:color w:val="auto"/>
                <w:sz w:val="24"/>
              </w:rPr>
              <w:t>能够有效降低柴油车尾气污染物排放。</w:t>
            </w:r>
            <w:r>
              <w:rPr>
                <w:rFonts w:cs="Times New Roman"/>
                <w:color w:val="auto"/>
                <w:sz w:val="24"/>
                <w:szCs w:val="24"/>
              </w:rPr>
              <w:t>在此背景下，</w:t>
            </w:r>
            <w:r>
              <w:rPr>
                <w:rFonts w:hint="eastAsia" w:cs="Times New Roman"/>
                <w:color w:val="auto"/>
                <w:sz w:val="24"/>
                <w:szCs w:val="24"/>
              </w:rPr>
              <w:t>新乡市得润环保科技有限公司</w:t>
            </w:r>
            <w:r>
              <w:rPr>
                <w:rFonts w:cs="Times New Roman"/>
                <w:color w:val="auto"/>
                <w:sz w:val="24"/>
                <w:szCs w:val="24"/>
              </w:rPr>
              <w:t>拟投资1000万元建设</w:t>
            </w:r>
            <w:r>
              <w:rPr>
                <w:rFonts w:hint="eastAsia" w:cs="Times New Roman"/>
                <w:color w:val="auto"/>
                <w:sz w:val="24"/>
                <w:szCs w:val="24"/>
              </w:rPr>
              <w:t>年产柴油机尾气净化装置30万套项目</w:t>
            </w:r>
            <w:r>
              <w:rPr>
                <w:rFonts w:cs="Times New Roman"/>
                <w:color w:val="auto"/>
                <w:sz w:val="24"/>
                <w:szCs w:val="24"/>
              </w:rPr>
              <w:t>，该项目位于</w:t>
            </w:r>
            <w:r>
              <w:rPr>
                <w:rFonts w:hint="eastAsia" w:cs="Times New Roman"/>
                <w:color w:val="auto"/>
                <w:sz w:val="24"/>
                <w:szCs w:val="24"/>
                <w:lang w:eastAsia="zh-CN"/>
              </w:rPr>
              <w:t>新乡市动力电池专业园区</w:t>
            </w:r>
            <w:r>
              <w:rPr>
                <w:rFonts w:cs="Times New Roman"/>
                <w:color w:val="auto"/>
                <w:sz w:val="24"/>
                <w:szCs w:val="24"/>
              </w:rPr>
              <w:t>河南富拓光电科技有限公司</w:t>
            </w:r>
            <w:r>
              <w:rPr>
                <w:rFonts w:hint="eastAsia" w:cs="Times New Roman"/>
                <w:color w:val="auto"/>
                <w:sz w:val="24"/>
                <w:szCs w:val="24"/>
                <w:lang w:val="en-US" w:eastAsia="zh-CN"/>
              </w:rPr>
              <w:t>院内</w:t>
            </w:r>
            <w:r>
              <w:rPr>
                <w:rFonts w:cs="Times New Roman"/>
                <w:color w:val="auto"/>
                <w:sz w:val="24"/>
                <w:szCs w:val="24"/>
              </w:rPr>
              <w:t>，租赁现有厂房进行建设。根据现场勘查，项目车间内设备未安装，不具备生产条件。</w:t>
            </w:r>
          </w:p>
          <w:p>
            <w:pPr>
              <w:pStyle w:val="23"/>
              <w:spacing w:before="0" w:beforeAutospacing="0" w:after="0" w:afterAutospacing="0"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对照《产业结构调整指导目录（2011年本）（2013修正）》，本项目</w:t>
            </w:r>
            <w:r>
              <w:rPr>
                <w:rFonts w:hint="eastAsia" w:ascii="Times New Roman" w:hAnsi="Times New Roman" w:cs="Times New Roman"/>
                <w:color w:val="auto"/>
              </w:rPr>
              <w:t>不属于限制类和淘汰类项目，属于允许类，同时</w:t>
            </w:r>
            <w:r>
              <w:rPr>
                <w:rFonts w:ascii="Times New Roman" w:hAnsi="Times New Roman" w:cs="Times New Roman"/>
                <w:color w:val="auto"/>
              </w:rPr>
              <w:t>新乡市凤泉区发展和改革委员会同意该项目备案，项目代码为</w:t>
            </w:r>
            <w:r>
              <w:rPr>
                <w:rFonts w:hint="eastAsia" w:ascii="Times New Roman" w:hAnsi="Times New Roman" w:cs="Times New Roman"/>
                <w:color w:val="auto"/>
              </w:rPr>
              <w:t>2019-410704-34-03-051695</w:t>
            </w:r>
            <w:r>
              <w:rPr>
                <w:rFonts w:ascii="Times New Roman" w:hAnsi="Times New Roman" w:cs="Times New Roman"/>
                <w:color w:val="auto"/>
              </w:rPr>
              <w:t>，本项目符合国家有关产业政策。</w:t>
            </w:r>
          </w:p>
          <w:p>
            <w:pPr>
              <w:spacing w:line="360" w:lineRule="auto"/>
              <w:ind w:firstLine="480" w:firstLineChars="200"/>
              <w:rPr>
                <w:rFonts w:cs="Times New Roman"/>
                <w:color w:val="auto"/>
                <w:sz w:val="24"/>
                <w:szCs w:val="24"/>
              </w:rPr>
            </w:pPr>
            <w:r>
              <w:rPr>
                <w:rFonts w:cs="Times New Roman"/>
                <w:color w:val="auto"/>
                <w:sz w:val="24"/>
                <w:szCs w:val="24"/>
              </w:rPr>
              <w:t>对照《国民经济行业分类》（GB/T 4754-2017），本项目属于“</w:t>
            </w:r>
            <w:r>
              <w:rPr>
                <w:rFonts w:hint="eastAsia" w:cs="Times New Roman"/>
                <w:color w:val="auto"/>
                <w:sz w:val="24"/>
                <w:szCs w:val="24"/>
              </w:rPr>
              <w:t>C3591环境保护专用设备制造</w:t>
            </w:r>
            <w:r>
              <w:rPr>
                <w:rFonts w:cs="Times New Roman"/>
                <w:color w:val="auto"/>
                <w:sz w:val="24"/>
                <w:szCs w:val="24"/>
              </w:rPr>
              <w:t>”。根据《建设项目环境影响评价分类管理名录》（环保部令第44号）及“关于修改《建设项目环境影响评价分类管理名录》部分内容的决定”（生态环境部令）第1号，本项目属于</w:t>
            </w:r>
            <w:r>
              <w:rPr>
                <w:rFonts w:hint="eastAsia" w:cs="Times New Roman"/>
                <w:color w:val="auto"/>
                <w:sz w:val="24"/>
                <w:szCs w:val="24"/>
              </w:rPr>
              <w:t>第二十四项专用设备制造业</w:t>
            </w:r>
            <w:r>
              <w:rPr>
                <w:rFonts w:cs="Times New Roman"/>
                <w:color w:val="auto"/>
                <w:sz w:val="24"/>
                <w:szCs w:val="24"/>
              </w:rPr>
              <w:t>第</w:t>
            </w:r>
            <w:r>
              <w:rPr>
                <w:rFonts w:hint="eastAsia" w:cs="Times New Roman"/>
                <w:color w:val="auto"/>
                <w:sz w:val="24"/>
                <w:szCs w:val="24"/>
              </w:rPr>
              <w:t>70</w:t>
            </w:r>
            <w:r>
              <w:rPr>
                <w:rFonts w:cs="Times New Roman"/>
                <w:color w:val="auto"/>
                <w:sz w:val="24"/>
                <w:szCs w:val="24"/>
              </w:rPr>
              <w:t>条</w:t>
            </w:r>
            <w:r>
              <w:rPr>
                <w:rFonts w:hint="eastAsia" w:cs="Times New Roman"/>
                <w:color w:val="auto"/>
                <w:sz w:val="24"/>
                <w:szCs w:val="24"/>
              </w:rPr>
              <w:t>专用设备制造及维修</w:t>
            </w:r>
            <w:r>
              <w:rPr>
                <w:rFonts w:cs="Times New Roman"/>
                <w:color w:val="auto"/>
                <w:sz w:val="24"/>
                <w:szCs w:val="24"/>
              </w:rPr>
              <w:t>，</w:t>
            </w:r>
            <w:r>
              <w:rPr>
                <w:rFonts w:hint="eastAsia" w:cs="Times New Roman"/>
                <w:color w:val="auto"/>
                <w:sz w:val="24"/>
                <w:szCs w:val="24"/>
              </w:rPr>
              <w:t>中不含电镀或喷漆工艺且不属于仅组装的“其他”类项目，应</w:t>
            </w:r>
            <w:r>
              <w:rPr>
                <w:rFonts w:cs="Times New Roman"/>
                <w:color w:val="auto"/>
                <w:sz w:val="24"/>
                <w:szCs w:val="24"/>
              </w:rPr>
              <w:t>编制环境影响报告表。</w:t>
            </w:r>
          </w:p>
          <w:p>
            <w:pPr>
              <w:spacing w:line="360" w:lineRule="auto"/>
              <w:ind w:firstLine="480" w:firstLineChars="200"/>
              <w:rPr>
                <w:rFonts w:cs="Times New Roman"/>
                <w:color w:val="auto"/>
                <w:sz w:val="24"/>
                <w:szCs w:val="24"/>
              </w:rPr>
            </w:pPr>
            <w:r>
              <w:rPr>
                <w:rFonts w:cs="Times New Roman"/>
                <w:color w:val="auto"/>
                <w:sz w:val="24"/>
                <w:szCs w:val="24"/>
              </w:rPr>
              <w:t>受</w:t>
            </w:r>
            <w:r>
              <w:rPr>
                <w:rFonts w:hint="eastAsia" w:cs="Times New Roman"/>
                <w:color w:val="auto"/>
                <w:sz w:val="24"/>
                <w:szCs w:val="24"/>
              </w:rPr>
              <w:t>新乡市得润环保科技有限公司</w:t>
            </w:r>
            <w:r>
              <w:rPr>
                <w:rFonts w:cs="Times New Roman"/>
                <w:color w:val="auto"/>
                <w:sz w:val="24"/>
                <w:szCs w:val="24"/>
              </w:rPr>
              <w:t>委托，河南昊威环保科技有限公司承担了该项目的环境影响评价工作，在现场踏勘和收集资料的基础上，本着“科学、公正、客观”的态度，编制完成了本项目环境影响报告表。</w:t>
            </w:r>
          </w:p>
          <w:p>
            <w:pPr>
              <w:adjustRightInd w:val="0"/>
              <w:spacing w:line="460" w:lineRule="exact"/>
              <w:rPr>
                <w:rFonts w:eastAsia="黑体" w:cs="Times New Roman"/>
                <w:color w:val="auto"/>
                <w:szCs w:val="28"/>
              </w:rPr>
            </w:pPr>
            <w:r>
              <w:rPr>
                <w:rFonts w:eastAsia="黑体" w:cs="Times New Roman"/>
                <w:bCs/>
                <w:color w:val="auto"/>
                <w:kern w:val="0"/>
                <w:szCs w:val="28"/>
              </w:rPr>
              <w:t>二、工程概况</w:t>
            </w:r>
          </w:p>
          <w:p>
            <w:pPr>
              <w:adjustRightInd w:val="0"/>
              <w:snapToGrid w:val="0"/>
              <w:spacing w:line="460" w:lineRule="exact"/>
              <w:ind w:firstLine="480" w:firstLineChars="200"/>
              <w:rPr>
                <w:rFonts w:eastAsia="黑体" w:cs="Times New Roman"/>
                <w:color w:val="auto"/>
                <w:sz w:val="24"/>
              </w:rPr>
            </w:pPr>
            <w:r>
              <w:rPr>
                <w:rFonts w:eastAsia="黑体" w:cs="Times New Roman"/>
                <w:color w:val="auto"/>
                <w:sz w:val="24"/>
              </w:rPr>
              <w:t>1、项目地理位置及周边环境特征</w:t>
            </w:r>
          </w:p>
          <w:p>
            <w:pPr>
              <w:adjustRightInd w:val="0"/>
              <w:snapToGrid w:val="0"/>
              <w:spacing w:line="460" w:lineRule="exact"/>
              <w:ind w:firstLine="480" w:firstLineChars="200"/>
              <w:rPr>
                <w:rFonts w:cs="Times New Roman" w:eastAsiaTheme="minorEastAsia"/>
                <w:color w:val="auto"/>
                <w:sz w:val="24"/>
              </w:rPr>
            </w:pPr>
            <w:r>
              <w:rPr>
                <w:rFonts w:cs="Times New Roman" w:eastAsiaTheme="minorEastAsia"/>
                <w:color w:val="auto"/>
                <w:sz w:val="24"/>
              </w:rPr>
              <w:t>项目位于</w:t>
            </w:r>
            <w:r>
              <w:rPr>
                <w:rFonts w:hint="eastAsia" w:cs="Times New Roman" w:eastAsiaTheme="minorEastAsia"/>
                <w:color w:val="auto"/>
                <w:sz w:val="24"/>
                <w:lang w:eastAsia="zh-CN"/>
              </w:rPr>
              <w:t>新乡市动力电池专业园区</w:t>
            </w:r>
            <w:r>
              <w:rPr>
                <w:rFonts w:cs="Times New Roman" w:eastAsiaTheme="minorEastAsia"/>
                <w:color w:val="auto"/>
                <w:sz w:val="24"/>
              </w:rPr>
              <w:t>，属于新乡市动力电池专用园区规划范围。项目租赁河南富拓光电科技有限公司现有厂房进行生产，项目东侧和西侧均为空地，南侧和北侧均为河南富拓光电科技有限公司厂房，距离项目最近敏感点为项目北侧650米处的陈堡村。</w:t>
            </w:r>
          </w:p>
          <w:p>
            <w:pPr>
              <w:adjustRightInd w:val="0"/>
              <w:snapToGrid w:val="0"/>
              <w:spacing w:line="460" w:lineRule="exact"/>
              <w:ind w:firstLine="480" w:firstLineChars="200"/>
              <w:rPr>
                <w:rFonts w:cs="Times New Roman" w:eastAsiaTheme="minorEastAsia"/>
                <w:color w:val="auto"/>
                <w:sz w:val="24"/>
              </w:rPr>
            </w:pPr>
            <w:r>
              <w:rPr>
                <w:rFonts w:cs="Times New Roman" w:eastAsiaTheme="minorEastAsia"/>
                <w:color w:val="auto"/>
                <w:sz w:val="24"/>
              </w:rPr>
              <w:t>项目地理位置见附图一，周围环境情况见附图二。</w:t>
            </w:r>
          </w:p>
          <w:p>
            <w:pPr>
              <w:adjustRightInd w:val="0"/>
              <w:snapToGrid w:val="0"/>
              <w:spacing w:line="460" w:lineRule="exact"/>
              <w:ind w:firstLine="480" w:firstLineChars="200"/>
              <w:rPr>
                <w:rFonts w:eastAsia="黑体" w:cs="Times New Roman"/>
                <w:color w:val="auto"/>
                <w:sz w:val="24"/>
              </w:rPr>
            </w:pPr>
            <w:r>
              <w:rPr>
                <w:rFonts w:eastAsia="黑体" w:cs="Times New Roman"/>
                <w:color w:val="auto"/>
                <w:sz w:val="24"/>
              </w:rPr>
              <w:t>2、项目基本情况</w:t>
            </w:r>
          </w:p>
          <w:p>
            <w:pPr>
              <w:adjustRightInd w:val="0"/>
              <w:snapToGrid w:val="0"/>
              <w:spacing w:line="460" w:lineRule="exact"/>
              <w:ind w:firstLine="480" w:firstLineChars="200"/>
              <w:jc w:val="left"/>
              <w:rPr>
                <w:rFonts w:cs="Times New Roman"/>
                <w:bCs/>
                <w:snapToGrid w:val="0"/>
                <w:color w:val="auto"/>
                <w:kern w:val="0"/>
                <w:sz w:val="24"/>
              </w:rPr>
            </w:pPr>
            <w:r>
              <w:rPr>
                <w:rFonts w:cs="Times New Roman"/>
                <w:bCs/>
                <w:snapToGrid w:val="0"/>
                <w:color w:val="auto"/>
                <w:kern w:val="0"/>
                <w:sz w:val="24"/>
              </w:rPr>
              <w:t>项目基本情况见表1所示。</w:t>
            </w:r>
          </w:p>
          <w:p>
            <w:pPr>
              <w:pStyle w:val="21"/>
              <w:ind w:firstLine="420"/>
              <w:rPr>
                <w:color w:val="auto"/>
              </w:rPr>
            </w:pPr>
            <w:r>
              <w:rPr>
                <w:rFonts w:hint="eastAsia"/>
                <w:color w:val="auto"/>
              </w:rPr>
              <w:t xml:space="preserve">                 </w:t>
            </w:r>
            <w:r>
              <w:rPr>
                <w:color w:val="auto"/>
              </w:rPr>
              <w:t>项目基本情况一览表</w:t>
            </w:r>
          </w:p>
          <w:tbl>
            <w:tblPr>
              <w:tblStyle w:val="27"/>
              <w:tblW w:w="853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499"/>
              <w:gridCol w:w="62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snapToGrid w:val="0"/>
                      <w:color w:val="auto"/>
                      <w:kern w:val="0"/>
                      <w:sz w:val="18"/>
                      <w:szCs w:val="18"/>
                    </w:rPr>
                    <w:t>序号</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snapToGrid w:val="0"/>
                      <w:color w:val="auto"/>
                      <w:kern w:val="0"/>
                      <w:sz w:val="18"/>
                      <w:szCs w:val="18"/>
                    </w:rPr>
                    <w:t>项目情况</w:t>
                  </w:r>
                </w:p>
              </w:tc>
              <w:tc>
                <w:tcPr>
                  <w:tcW w:w="6250"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snapToGrid w:val="0"/>
                      <w:color w:val="auto"/>
                      <w:kern w:val="0"/>
                      <w:sz w:val="18"/>
                      <w:szCs w:val="18"/>
                    </w:rPr>
                    <w:t>内    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1</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项目名称</w:t>
                  </w:r>
                </w:p>
              </w:tc>
              <w:tc>
                <w:tcPr>
                  <w:tcW w:w="6250" w:type="dxa"/>
                  <w:tcBorders>
                    <w:tl2br w:val="nil"/>
                    <w:tr2bl w:val="nil"/>
                  </w:tcBorders>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年产柴油机尾气净化装置30万套项目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2</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项目位置</w:t>
                  </w:r>
                </w:p>
              </w:tc>
              <w:tc>
                <w:tcPr>
                  <w:tcW w:w="6250" w:type="dxa"/>
                  <w:tcBorders>
                    <w:tl2br w:val="nil"/>
                    <w:tr2bl w:val="nil"/>
                  </w:tcBorders>
                  <w:vAlign w:val="center"/>
                </w:tcPr>
                <w:p>
                  <w:pPr>
                    <w:jc w:val="center"/>
                    <w:rPr>
                      <w:rFonts w:hint="eastAsia" w:cs="Times New Roman" w:eastAsiaTheme="minorEastAsia"/>
                      <w:color w:val="auto"/>
                      <w:sz w:val="18"/>
                      <w:szCs w:val="18"/>
                      <w:lang w:eastAsia="zh-CN"/>
                    </w:rPr>
                  </w:pPr>
                  <w:r>
                    <w:rPr>
                      <w:rFonts w:hint="eastAsia" w:cs="Times New Roman" w:eastAsiaTheme="minorEastAsia"/>
                      <w:color w:val="auto"/>
                      <w:sz w:val="18"/>
                      <w:szCs w:val="18"/>
                      <w:lang w:eastAsia="zh-CN"/>
                    </w:rPr>
                    <w:t>新乡市动力电池专业园区河南富拓光电科技有限公司</w:t>
                  </w:r>
                  <w:r>
                    <w:rPr>
                      <w:rFonts w:hint="eastAsia" w:cs="Times New Roman" w:eastAsiaTheme="minorEastAsia"/>
                      <w:color w:val="auto"/>
                      <w:sz w:val="18"/>
                      <w:szCs w:val="18"/>
                      <w:lang w:val="en-US" w:eastAsia="zh-CN"/>
                    </w:rPr>
                    <w:t>院内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3</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建设单位</w:t>
                  </w:r>
                </w:p>
              </w:tc>
              <w:tc>
                <w:tcPr>
                  <w:tcW w:w="6250" w:type="dxa"/>
                  <w:tcBorders>
                    <w:tl2br w:val="nil"/>
                    <w:tr2bl w:val="nil"/>
                  </w:tcBorders>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新乡市得润环保科技有限公司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4</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占地面积</w:t>
                  </w:r>
                </w:p>
              </w:tc>
              <w:tc>
                <w:tcPr>
                  <w:tcW w:w="6250" w:type="dxa"/>
                  <w:tcBorders>
                    <w:tl2br w:val="nil"/>
                    <w:tr2bl w:val="nil"/>
                  </w:tcBorders>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720</w:t>
                  </w:r>
                  <w:r>
                    <w:rPr>
                      <w:rFonts w:cs="Times New Roman" w:eastAsiaTheme="minorEastAsia"/>
                      <w:color w:val="auto"/>
                      <w:sz w:val="18"/>
                      <w:szCs w:val="18"/>
                    </w:rPr>
                    <w:t>m</w:t>
                  </w:r>
                  <w:r>
                    <w:rPr>
                      <w:rFonts w:cs="Times New Roman" w:eastAsiaTheme="minorEastAsia"/>
                      <w:color w:val="auto"/>
                      <w:sz w:val="18"/>
                      <w:szCs w:val="18"/>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5</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产品方案</w:t>
                  </w:r>
                </w:p>
              </w:tc>
              <w:tc>
                <w:tcPr>
                  <w:tcW w:w="6250" w:type="dxa"/>
                  <w:tcBorders>
                    <w:tl2br w:val="nil"/>
                    <w:tr2bl w:val="nil"/>
                  </w:tcBorders>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年产</w:t>
                  </w:r>
                  <w:r>
                    <w:rPr>
                      <w:rFonts w:cs="Times New Roman" w:eastAsiaTheme="minorEastAsia"/>
                      <w:color w:val="auto"/>
                      <w:sz w:val="18"/>
                      <w:szCs w:val="18"/>
                    </w:rPr>
                    <w:t>柴油机尾气净化装置30万套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6</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总投资</w:t>
                  </w:r>
                </w:p>
              </w:tc>
              <w:tc>
                <w:tcPr>
                  <w:tcW w:w="6250"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1000万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7</w:t>
                  </w:r>
                </w:p>
              </w:tc>
              <w:tc>
                <w:tcPr>
                  <w:tcW w:w="1499"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劳动定员与制度</w:t>
                  </w:r>
                </w:p>
              </w:tc>
              <w:tc>
                <w:tcPr>
                  <w:tcW w:w="6250"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项目劳动定员10人，年工作300天，每天8h</w:t>
                  </w:r>
                </w:p>
              </w:tc>
            </w:tr>
          </w:tbl>
          <w:p>
            <w:pPr>
              <w:adjustRightInd w:val="0"/>
              <w:snapToGrid w:val="0"/>
              <w:spacing w:line="360" w:lineRule="auto"/>
              <w:ind w:firstLine="480" w:firstLineChars="200"/>
              <w:rPr>
                <w:rFonts w:eastAsia="黑体" w:cs="Times New Roman"/>
                <w:color w:val="auto"/>
                <w:kern w:val="0"/>
                <w:sz w:val="24"/>
              </w:rPr>
            </w:pPr>
            <w:r>
              <w:rPr>
                <w:rFonts w:eastAsia="黑体" w:cs="Times New Roman"/>
                <w:color w:val="auto"/>
                <w:kern w:val="0"/>
                <w:sz w:val="24"/>
              </w:rPr>
              <w:t>3、产品方案及生产规模</w:t>
            </w:r>
          </w:p>
          <w:p>
            <w:pPr>
              <w:adjustRightInd w:val="0"/>
              <w:snapToGrid w:val="0"/>
              <w:spacing w:line="360" w:lineRule="auto"/>
              <w:ind w:firstLine="480" w:firstLineChars="200"/>
              <w:rPr>
                <w:rFonts w:cs="Times New Roman"/>
                <w:color w:val="auto"/>
                <w:sz w:val="24"/>
              </w:rPr>
            </w:pPr>
            <w:r>
              <w:rPr>
                <w:rFonts w:cs="Times New Roman"/>
                <w:color w:val="auto"/>
                <w:sz w:val="24"/>
              </w:rPr>
              <w:t>项目产品</w:t>
            </w:r>
            <w:r>
              <w:rPr>
                <w:rFonts w:hint="eastAsia"/>
                <w:color w:val="auto"/>
                <w:sz w:val="24"/>
              </w:rPr>
              <w:t>柴油尾气净化装置为</w:t>
            </w:r>
            <w:r>
              <w:rPr>
                <w:rFonts w:cs="Times New Roman"/>
                <w:color w:val="auto"/>
                <w:sz w:val="24"/>
              </w:rPr>
              <w:t>氧化型催化器</w:t>
            </w:r>
            <w:r>
              <w:rPr>
                <w:rFonts w:hint="eastAsia" w:cs="Times New Roman"/>
                <w:color w:val="auto"/>
                <w:sz w:val="24"/>
              </w:rPr>
              <w:t>DOC</w:t>
            </w:r>
            <w:r>
              <w:rPr>
                <w:rFonts w:cs="Times New Roman"/>
                <w:color w:val="auto"/>
                <w:sz w:val="24"/>
              </w:rPr>
              <w:t>，生产规模为</w:t>
            </w:r>
            <w:r>
              <w:rPr>
                <w:rFonts w:hint="eastAsia" w:cs="Times New Roman"/>
                <w:color w:val="auto"/>
                <w:sz w:val="24"/>
              </w:rPr>
              <w:t>30万套/年</w:t>
            </w:r>
            <w:r>
              <w:rPr>
                <w:rFonts w:cs="Times New Roman"/>
                <w:color w:val="auto"/>
                <w:sz w:val="24"/>
              </w:rPr>
              <w:t>。</w:t>
            </w:r>
            <w:r>
              <w:rPr>
                <w:rFonts w:hint="eastAsia" w:cs="Times New Roman"/>
                <w:color w:val="auto"/>
                <w:sz w:val="24"/>
              </w:rPr>
              <w:t>项目产品示意图见图1，</w:t>
            </w:r>
            <w:r>
              <w:rPr>
                <w:rFonts w:cs="Times New Roman"/>
                <w:color w:val="auto"/>
                <w:sz w:val="24"/>
              </w:rPr>
              <w:t>项目产品规格及生产规模详见表2。</w:t>
            </w:r>
          </w:p>
          <w:p>
            <w:pPr>
              <w:pStyle w:val="25"/>
              <w:ind w:left="560" w:firstLine="480"/>
              <w:rPr>
                <w:rFonts w:cs="Times New Roman"/>
                <w:color w:val="auto"/>
                <w:sz w:val="24"/>
              </w:rPr>
            </w:pPr>
          </w:p>
          <w:p>
            <w:pPr>
              <w:rPr>
                <w:rFonts w:cs="Times New Roman"/>
                <w:color w:val="auto"/>
                <w:sz w:val="24"/>
              </w:rPr>
            </w:pPr>
          </w:p>
          <w:p>
            <w:pPr>
              <w:pStyle w:val="25"/>
              <w:ind w:left="560" w:firstLine="480"/>
              <w:rPr>
                <w:rFonts w:cs="Times New Roman"/>
                <w:color w:val="auto"/>
                <w:sz w:val="24"/>
              </w:rPr>
            </w:pPr>
          </w:p>
          <w:p>
            <w:pPr>
              <w:rPr>
                <w:rFonts w:cs="Times New Roman"/>
                <w:color w:val="auto"/>
                <w:sz w:val="24"/>
              </w:rPr>
            </w:pPr>
          </w:p>
          <w:p>
            <w:pPr>
              <w:pStyle w:val="25"/>
              <w:ind w:left="560" w:firstLine="560"/>
              <w:rPr>
                <w:rFonts w:cs="Times New Roman"/>
                <w:color w:val="auto"/>
                <w:sz w:val="24"/>
              </w:rPr>
            </w:pPr>
            <w:r>
              <w:rPr>
                <w:rFonts w:hint="eastAsia"/>
                <w:color w:val="auto"/>
              </w:rPr>
              <w:drawing>
                <wp:anchor distT="0" distB="0" distL="114300" distR="114300" simplePos="0" relativeHeight="251635712" behindDoc="0" locked="0" layoutInCell="1" allowOverlap="1">
                  <wp:simplePos x="0" y="0"/>
                  <wp:positionH relativeFrom="column">
                    <wp:posOffset>25400</wp:posOffset>
                  </wp:positionH>
                  <wp:positionV relativeFrom="paragraph">
                    <wp:posOffset>34290</wp:posOffset>
                  </wp:positionV>
                  <wp:extent cx="2381250" cy="2343785"/>
                  <wp:effectExtent l="0" t="0" r="0" b="18415"/>
                  <wp:wrapNone/>
                  <wp:docPr id="1" name="图片 1" descr="产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产品2"/>
                          <pic:cNvPicPr>
                            <a:picLocks noChangeAspect="1"/>
                          </pic:cNvPicPr>
                        </pic:nvPicPr>
                        <pic:blipFill>
                          <a:blip r:embed="rId9"/>
                          <a:stretch>
                            <a:fillRect/>
                          </a:stretch>
                        </pic:blipFill>
                        <pic:spPr>
                          <a:xfrm>
                            <a:off x="0" y="0"/>
                            <a:ext cx="2381250" cy="2343785"/>
                          </a:xfrm>
                          <a:prstGeom prst="rect">
                            <a:avLst/>
                          </a:prstGeom>
                          <a:noFill/>
                          <a:ln>
                            <a:noFill/>
                          </a:ln>
                        </pic:spPr>
                      </pic:pic>
                    </a:graphicData>
                  </a:graphic>
                </wp:anchor>
              </w:drawing>
            </w:r>
            <w:r>
              <w:rPr>
                <w:rFonts w:hint="eastAsia"/>
                <w:color w:val="auto"/>
              </w:rPr>
              <w:drawing>
                <wp:anchor distT="0" distB="0" distL="114300" distR="114300" simplePos="0" relativeHeight="251636736" behindDoc="0" locked="0" layoutInCell="1" allowOverlap="1">
                  <wp:simplePos x="0" y="0"/>
                  <wp:positionH relativeFrom="column">
                    <wp:posOffset>2587625</wp:posOffset>
                  </wp:positionH>
                  <wp:positionV relativeFrom="paragraph">
                    <wp:posOffset>68580</wp:posOffset>
                  </wp:positionV>
                  <wp:extent cx="2741295" cy="2284730"/>
                  <wp:effectExtent l="0" t="0" r="1905" b="1270"/>
                  <wp:wrapNone/>
                  <wp:docPr id="2" name="图片 2" descr="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产品"/>
                          <pic:cNvPicPr>
                            <a:picLocks noChangeAspect="1"/>
                          </pic:cNvPicPr>
                        </pic:nvPicPr>
                        <pic:blipFill>
                          <a:blip r:embed="rId10"/>
                          <a:stretch>
                            <a:fillRect/>
                          </a:stretch>
                        </pic:blipFill>
                        <pic:spPr>
                          <a:xfrm>
                            <a:off x="0" y="0"/>
                            <a:ext cx="2741295" cy="2284730"/>
                          </a:xfrm>
                          <a:prstGeom prst="rect">
                            <a:avLst/>
                          </a:prstGeom>
                          <a:noFill/>
                          <a:ln>
                            <a:noFill/>
                          </a:ln>
                        </pic:spPr>
                      </pic:pic>
                    </a:graphicData>
                  </a:graphic>
                </wp:anchor>
              </w:drawing>
            </w:r>
          </w:p>
          <w:p>
            <w:pPr>
              <w:rPr>
                <w:rFonts w:cs="Times New Roman"/>
                <w:color w:val="auto"/>
                <w:sz w:val="24"/>
              </w:rPr>
            </w:pPr>
          </w:p>
          <w:p>
            <w:pPr>
              <w:pStyle w:val="25"/>
              <w:ind w:left="560" w:firstLine="480"/>
              <w:rPr>
                <w:rFonts w:cs="Times New Roman"/>
                <w:color w:val="auto"/>
                <w:sz w:val="24"/>
              </w:rPr>
            </w:pPr>
          </w:p>
          <w:p>
            <w:pPr>
              <w:rPr>
                <w:rFonts w:cs="Times New Roman"/>
                <w:color w:val="auto"/>
                <w:sz w:val="24"/>
              </w:rPr>
            </w:pPr>
          </w:p>
          <w:p>
            <w:pPr>
              <w:pStyle w:val="25"/>
              <w:ind w:left="560" w:firstLine="480"/>
              <w:rPr>
                <w:rFonts w:cs="Times New Roman"/>
                <w:color w:val="auto"/>
                <w:sz w:val="24"/>
              </w:rPr>
            </w:pPr>
          </w:p>
          <w:p>
            <w:pPr>
              <w:rPr>
                <w:rFonts w:cs="Times New Roman"/>
                <w:color w:val="auto"/>
                <w:sz w:val="24"/>
              </w:rPr>
            </w:pPr>
          </w:p>
          <w:p>
            <w:pPr>
              <w:pStyle w:val="25"/>
              <w:ind w:left="560" w:firstLine="480"/>
              <w:rPr>
                <w:rFonts w:cs="Times New Roman"/>
                <w:color w:val="auto"/>
                <w:sz w:val="24"/>
              </w:rPr>
            </w:pPr>
          </w:p>
          <w:p>
            <w:pPr>
              <w:rPr>
                <w:rFonts w:cs="Times New Roman"/>
                <w:color w:val="auto"/>
                <w:sz w:val="24"/>
              </w:rPr>
            </w:pPr>
          </w:p>
          <w:p>
            <w:pPr>
              <w:pStyle w:val="25"/>
              <w:ind w:left="560" w:firstLine="480"/>
              <w:rPr>
                <w:rFonts w:cs="Times New Roman"/>
                <w:color w:val="auto"/>
                <w:sz w:val="24"/>
              </w:rPr>
            </w:pPr>
          </w:p>
          <w:p>
            <w:pPr>
              <w:rPr>
                <w:rFonts w:cs="Times New Roman"/>
                <w:color w:val="auto"/>
                <w:sz w:val="24"/>
              </w:rPr>
            </w:pPr>
          </w:p>
          <w:p>
            <w:pPr>
              <w:pStyle w:val="25"/>
              <w:ind w:left="560" w:firstLine="480"/>
              <w:rPr>
                <w:rFonts w:cs="Times New Roman"/>
                <w:color w:val="auto"/>
                <w:sz w:val="24"/>
              </w:rPr>
            </w:pPr>
            <w:r>
              <w:rPr>
                <w:rFonts w:hint="eastAsia" w:cs="Times New Roman"/>
                <w:color w:val="auto"/>
                <w:sz w:val="24"/>
              </w:rPr>
              <w:t xml:space="preserve">产品内置催化装置                  </w:t>
            </w:r>
            <w:r>
              <w:rPr>
                <w:rStyle w:val="32"/>
                <w:rFonts w:hint="eastAsia"/>
                <w:b w:val="0"/>
                <w:color w:val="auto"/>
                <w:lang w:eastAsia="zh-CN"/>
              </w:rPr>
              <w:t xml:space="preserve">    </w:t>
            </w:r>
            <w:r>
              <w:rPr>
                <w:rFonts w:hint="eastAsia" w:cs="Times New Roman"/>
                <w:color w:val="auto"/>
                <w:sz w:val="24"/>
              </w:rPr>
              <w:t>成品</w:t>
            </w:r>
          </w:p>
          <w:p>
            <w:pPr>
              <w:ind w:firstLine="2400" w:firstLineChars="1000"/>
              <w:rPr>
                <w:rFonts w:eastAsia="黑体" w:cs="Times New Roman"/>
                <w:color w:val="auto"/>
              </w:rPr>
            </w:pPr>
            <w:r>
              <w:rPr>
                <w:rFonts w:eastAsia="黑体" w:cs="Times New Roman"/>
                <w:color w:val="auto"/>
                <w:sz w:val="24"/>
              </w:rPr>
              <w:t>图1   项目产品示意图</w:t>
            </w:r>
          </w:p>
          <w:p>
            <w:pPr>
              <w:pStyle w:val="21"/>
              <w:ind w:firstLine="420"/>
              <w:rPr>
                <w:color w:val="auto"/>
              </w:rPr>
            </w:pPr>
            <w:r>
              <w:rPr>
                <w:rFonts w:hint="eastAsia"/>
                <w:color w:val="auto"/>
              </w:rPr>
              <w:t xml:space="preserve">                      </w:t>
            </w:r>
            <w:r>
              <w:rPr>
                <w:color w:val="auto"/>
              </w:rPr>
              <w:t>项目产品方案一览表</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1727"/>
              <w:gridCol w:w="47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pct"/>
                  <w:vAlign w:val="center"/>
                </w:tcPr>
                <w:p>
                  <w:pPr>
                    <w:jc w:val="center"/>
                    <w:rPr>
                      <w:rFonts w:cs="Times New Roman"/>
                      <w:color w:val="auto"/>
                      <w:sz w:val="18"/>
                      <w:szCs w:val="18"/>
                    </w:rPr>
                  </w:pPr>
                  <w:r>
                    <w:rPr>
                      <w:rFonts w:cs="Times New Roman"/>
                      <w:color w:val="auto"/>
                      <w:sz w:val="18"/>
                      <w:szCs w:val="18"/>
                    </w:rPr>
                    <w:t>产品名称</w:t>
                  </w:r>
                </w:p>
              </w:tc>
              <w:tc>
                <w:tcPr>
                  <w:tcW w:w="1011" w:type="pct"/>
                  <w:vAlign w:val="center"/>
                </w:tcPr>
                <w:p>
                  <w:pPr>
                    <w:jc w:val="center"/>
                    <w:rPr>
                      <w:rFonts w:cs="Times New Roman"/>
                      <w:color w:val="auto"/>
                      <w:sz w:val="18"/>
                      <w:szCs w:val="18"/>
                    </w:rPr>
                  </w:pPr>
                  <w:r>
                    <w:rPr>
                      <w:rFonts w:cs="Times New Roman"/>
                      <w:color w:val="auto"/>
                      <w:sz w:val="18"/>
                      <w:szCs w:val="18"/>
                    </w:rPr>
                    <w:t>生产规模</w:t>
                  </w:r>
                </w:p>
              </w:tc>
              <w:tc>
                <w:tcPr>
                  <w:tcW w:w="2778" w:type="pct"/>
                  <w:vAlign w:val="center"/>
                </w:tcPr>
                <w:p>
                  <w:pPr>
                    <w:jc w:val="center"/>
                    <w:rPr>
                      <w:rFonts w:cs="Times New Roman"/>
                      <w:color w:val="auto"/>
                      <w:sz w:val="18"/>
                      <w:szCs w:val="18"/>
                    </w:rPr>
                  </w:pPr>
                  <w:r>
                    <w:rPr>
                      <w:rFonts w:cs="Times New Roman"/>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pct"/>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氧化性催化器DOC</w:t>
                  </w:r>
                </w:p>
              </w:tc>
              <w:tc>
                <w:tcPr>
                  <w:tcW w:w="1011" w:type="pct"/>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30</w:t>
                  </w:r>
                  <w:r>
                    <w:rPr>
                      <w:rFonts w:cs="Times New Roman" w:eastAsiaTheme="minorEastAsia"/>
                      <w:color w:val="auto"/>
                      <w:sz w:val="18"/>
                      <w:szCs w:val="18"/>
                    </w:rPr>
                    <w:t>万</w:t>
                  </w:r>
                  <w:r>
                    <w:rPr>
                      <w:rFonts w:hint="eastAsia" w:cs="Times New Roman" w:eastAsiaTheme="minorEastAsia"/>
                      <w:color w:val="auto"/>
                      <w:sz w:val="18"/>
                      <w:szCs w:val="18"/>
                    </w:rPr>
                    <w:t>套</w:t>
                  </w:r>
                  <w:r>
                    <w:rPr>
                      <w:rFonts w:cs="Times New Roman" w:eastAsiaTheme="minorEastAsia"/>
                      <w:color w:val="auto"/>
                      <w:sz w:val="18"/>
                      <w:szCs w:val="18"/>
                    </w:rPr>
                    <w:t>/年</w:t>
                  </w:r>
                </w:p>
              </w:tc>
              <w:tc>
                <w:tcPr>
                  <w:tcW w:w="2778" w:type="pct"/>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产品满足《柴油机 氧化催化器DOC技术规范》（JB/T12330-2015）</w:t>
                  </w:r>
                </w:p>
              </w:tc>
            </w:tr>
          </w:tbl>
          <w:p>
            <w:pPr>
              <w:adjustRightInd w:val="0"/>
              <w:snapToGrid w:val="0"/>
              <w:spacing w:line="360" w:lineRule="auto"/>
              <w:ind w:firstLine="480" w:firstLineChars="200"/>
              <w:rPr>
                <w:rFonts w:eastAsia="黑体" w:cs="Times New Roman"/>
                <w:color w:val="auto"/>
                <w:kern w:val="0"/>
                <w:sz w:val="24"/>
              </w:rPr>
            </w:pPr>
            <w:r>
              <w:rPr>
                <w:rFonts w:eastAsia="黑体" w:cs="Times New Roman"/>
                <w:color w:val="auto"/>
                <w:kern w:val="0"/>
                <w:sz w:val="24"/>
              </w:rPr>
              <w:t>4、工程</w:t>
            </w:r>
            <w:r>
              <w:rPr>
                <w:rFonts w:hint="eastAsia" w:eastAsia="黑体" w:cs="Times New Roman"/>
                <w:color w:val="auto"/>
                <w:kern w:val="0"/>
                <w:sz w:val="24"/>
              </w:rPr>
              <w:t>建设</w:t>
            </w:r>
            <w:r>
              <w:rPr>
                <w:rFonts w:eastAsia="黑体" w:cs="Times New Roman"/>
                <w:color w:val="auto"/>
                <w:kern w:val="0"/>
                <w:sz w:val="24"/>
              </w:rPr>
              <w:t>内容</w:t>
            </w:r>
            <w:r>
              <w:rPr>
                <w:rFonts w:hint="eastAsia" w:eastAsia="黑体" w:cs="Times New Roman"/>
                <w:color w:val="auto"/>
                <w:kern w:val="0"/>
                <w:sz w:val="24"/>
              </w:rPr>
              <w:t>及平面布置</w:t>
            </w:r>
          </w:p>
          <w:p>
            <w:pPr>
              <w:spacing w:line="360" w:lineRule="auto"/>
              <w:ind w:firstLine="480" w:firstLineChars="200"/>
              <w:rPr>
                <w:rFonts w:cs="Times New Roman"/>
                <w:color w:val="auto"/>
                <w:sz w:val="24"/>
              </w:rPr>
            </w:pPr>
            <w:r>
              <w:rPr>
                <w:rFonts w:hint="eastAsia" w:cs="Times New Roman"/>
                <w:color w:val="auto"/>
                <w:sz w:val="24"/>
              </w:rPr>
              <w:t>项目租用现有车间进行生产，</w:t>
            </w:r>
            <w:r>
              <w:rPr>
                <w:rFonts w:cs="Times New Roman"/>
                <w:color w:val="auto"/>
                <w:sz w:val="24"/>
              </w:rPr>
              <w:t>建设内容主要包括主体工程、公用工程</w:t>
            </w:r>
            <w:r>
              <w:rPr>
                <w:rFonts w:hint="eastAsia" w:cs="Times New Roman"/>
                <w:color w:val="auto"/>
                <w:sz w:val="24"/>
              </w:rPr>
              <w:t>及</w:t>
            </w:r>
            <w:r>
              <w:rPr>
                <w:rFonts w:cs="Times New Roman"/>
                <w:color w:val="auto"/>
                <w:sz w:val="24"/>
              </w:rPr>
              <w:t>环保工程。主体工程为</w:t>
            </w:r>
            <w:r>
              <w:rPr>
                <w:rFonts w:hint="eastAsia" w:cs="Times New Roman"/>
                <w:color w:val="auto"/>
                <w:sz w:val="24"/>
              </w:rPr>
              <w:t>生产车间，车间按照生产工艺要求布置为原料区、涂覆区、烘干、烧焙区和产品暂存区</w:t>
            </w:r>
            <w:r>
              <w:rPr>
                <w:rFonts w:cs="Times New Roman"/>
                <w:color w:val="auto"/>
                <w:sz w:val="24"/>
              </w:rPr>
              <w:t>。</w:t>
            </w:r>
            <w:r>
              <w:rPr>
                <w:rFonts w:hint="eastAsia" w:cs="Times New Roman"/>
                <w:color w:val="auto"/>
                <w:sz w:val="24"/>
              </w:rPr>
              <w:t>另租赁办公室两间位于厂区北侧。</w:t>
            </w:r>
            <w:r>
              <w:rPr>
                <w:rFonts w:cs="Times New Roman"/>
                <w:color w:val="auto"/>
                <w:sz w:val="24"/>
              </w:rPr>
              <w:t>项目厂区人流、物流畅通，平面布置合理。主要建设内容见表3，厂区平面布置情况详见附图三。</w:t>
            </w:r>
          </w:p>
          <w:p>
            <w:pPr>
              <w:pStyle w:val="21"/>
              <w:ind w:firstLine="420"/>
              <w:rPr>
                <w:color w:val="auto"/>
              </w:rPr>
            </w:pPr>
            <w:r>
              <w:rPr>
                <w:rFonts w:hint="eastAsia"/>
                <w:color w:val="auto"/>
              </w:rPr>
              <w:t xml:space="preserve">                      </w:t>
            </w:r>
            <w:r>
              <w:rPr>
                <w:color w:val="auto"/>
              </w:rPr>
              <w:t xml:space="preserve">  项目建设内容一览表</w:t>
            </w:r>
          </w:p>
          <w:tbl>
            <w:tblPr>
              <w:tblStyle w:val="27"/>
              <w:tblW w:w="85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8"/>
              <w:gridCol w:w="5477"/>
              <w:gridCol w:w="8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项目</w:t>
                  </w:r>
                </w:p>
              </w:tc>
              <w:tc>
                <w:tcPr>
                  <w:tcW w:w="1528"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建设内容</w:t>
                  </w:r>
                </w:p>
              </w:tc>
              <w:tc>
                <w:tcPr>
                  <w:tcW w:w="5477"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建设内容</w:t>
                  </w:r>
                </w:p>
              </w:tc>
              <w:tc>
                <w:tcPr>
                  <w:tcW w:w="855"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主体工程</w:t>
                  </w:r>
                </w:p>
              </w:tc>
              <w:tc>
                <w:tcPr>
                  <w:tcW w:w="1528"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rPr>
                    <w:t>生产车间</w:t>
                  </w:r>
                </w:p>
              </w:tc>
              <w:tc>
                <w:tcPr>
                  <w:tcW w:w="5477" w:type="dxa"/>
                  <w:tcBorders>
                    <w:tl2br w:val="nil"/>
                    <w:tr2bl w:val="nil"/>
                  </w:tcBorders>
                  <w:vAlign w:val="center"/>
                </w:tcPr>
                <w:p>
                  <w:pPr>
                    <w:adjustRightInd w:val="0"/>
                    <w:snapToGrid w:val="0"/>
                    <w:jc w:val="center"/>
                    <w:rPr>
                      <w:rFonts w:cs="Times New Roman" w:eastAsiaTheme="minorEastAsia"/>
                      <w:color w:val="auto"/>
                      <w:sz w:val="18"/>
                      <w:szCs w:val="18"/>
                    </w:rPr>
                  </w:pPr>
                  <w:r>
                    <w:rPr>
                      <w:rFonts w:hint="eastAsia" w:cs="Times New Roman" w:eastAsiaTheme="minorEastAsia"/>
                      <w:snapToGrid w:val="0"/>
                      <w:color w:val="auto"/>
                      <w:kern w:val="0"/>
                      <w:sz w:val="18"/>
                      <w:szCs w:val="18"/>
                    </w:rPr>
                    <w:t>1栋1层</w:t>
                  </w:r>
                  <w:r>
                    <w:rPr>
                      <w:rFonts w:cs="Times New Roman" w:eastAsiaTheme="minorEastAsia"/>
                      <w:snapToGrid w:val="0"/>
                      <w:color w:val="auto"/>
                      <w:kern w:val="0"/>
                      <w:sz w:val="18"/>
                      <w:szCs w:val="18"/>
                    </w:rPr>
                    <w:t>，</w:t>
                  </w:r>
                  <w:r>
                    <w:rPr>
                      <w:rFonts w:cs="Times New Roman" w:eastAsiaTheme="minorEastAsia"/>
                      <w:snapToGrid w:val="0"/>
                      <w:color w:val="auto"/>
                      <w:kern w:val="0"/>
                      <w:sz w:val="18"/>
                      <w:szCs w:val="18"/>
                      <w:lang w:val="zh-CN"/>
                    </w:rPr>
                    <w:t>建筑面积</w:t>
                  </w:r>
                  <w:r>
                    <w:rPr>
                      <w:rFonts w:hint="eastAsia" w:cs="Times New Roman" w:eastAsiaTheme="minorEastAsia"/>
                      <w:snapToGrid w:val="0"/>
                      <w:color w:val="auto"/>
                      <w:kern w:val="0"/>
                      <w:sz w:val="18"/>
                      <w:szCs w:val="18"/>
                    </w:rPr>
                    <w:t>720</w:t>
                  </w:r>
                  <w:r>
                    <w:rPr>
                      <w:rFonts w:cs="Times New Roman" w:eastAsiaTheme="minorEastAsia"/>
                      <w:snapToGrid w:val="0"/>
                      <w:color w:val="auto"/>
                      <w:kern w:val="0"/>
                      <w:sz w:val="18"/>
                      <w:szCs w:val="18"/>
                      <w:lang w:val="zh-CN"/>
                    </w:rPr>
                    <w:t>m</w:t>
                  </w:r>
                  <w:r>
                    <w:rPr>
                      <w:rFonts w:cs="Times New Roman" w:eastAsiaTheme="minorEastAsia"/>
                      <w:snapToGrid w:val="0"/>
                      <w:color w:val="auto"/>
                      <w:kern w:val="0"/>
                      <w:sz w:val="18"/>
                      <w:szCs w:val="18"/>
                      <w:vertAlign w:val="superscript"/>
                      <w:lang w:val="zh-CN"/>
                    </w:rPr>
                    <w:t>2</w:t>
                  </w:r>
                  <w:r>
                    <w:rPr>
                      <w:rFonts w:cs="Times New Roman" w:eastAsiaTheme="minorEastAsia"/>
                      <w:snapToGrid w:val="0"/>
                      <w:color w:val="auto"/>
                      <w:kern w:val="0"/>
                      <w:sz w:val="18"/>
                      <w:szCs w:val="18"/>
                      <w:lang w:val="zh-CN"/>
                    </w:rPr>
                    <w:t>，</w:t>
                  </w:r>
                  <w:r>
                    <w:rPr>
                      <w:rFonts w:hint="eastAsia" w:cs="Times New Roman" w:eastAsiaTheme="minorEastAsia"/>
                      <w:snapToGrid w:val="0"/>
                      <w:color w:val="auto"/>
                      <w:kern w:val="0"/>
                      <w:sz w:val="18"/>
                      <w:szCs w:val="18"/>
                    </w:rPr>
                    <w:t>含原料区、涂覆区、烘干、烧焙区和产品暂存区</w:t>
                  </w:r>
                  <w:r>
                    <w:rPr>
                      <w:rFonts w:cs="Times New Roman" w:eastAsiaTheme="minorEastAsia"/>
                      <w:snapToGrid w:val="0"/>
                      <w:color w:val="auto"/>
                      <w:kern w:val="0"/>
                      <w:sz w:val="18"/>
                      <w:szCs w:val="18"/>
                      <w:lang w:val="zh-CN"/>
                    </w:rPr>
                    <w:t>；</w:t>
                  </w:r>
                </w:p>
              </w:tc>
              <w:tc>
                <w:tcPr>
                  <w:tcW w:w="855"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租赁现有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公用工程</w:t>
                  </w:r>
                </w:p>
              </w:tc>
              <w:tc>
                <w:tcPr>
                  <w:tcW w:w="1528"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给水</w:t>
                  </w:r>
                </w:p>
              </w:tc>
              <w:tc>
                <w:tcPr>
                  <w:tcW w:w="5477"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由市政管网统一供水</w:t>
                  </w:r>
                </w:p>
              </w:tc>
              <w:tc>
                <w:tcPr>
                  <w:tcW w:w="855"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vAlign w:val="center"/>
                </w:tcPr>
                <w:p>
                  <w:pPr>
                    <w:adjustRightInd w:val="0"/>
                    <w:snapToGrid w:val="0"/>
                    <w:jc w:val="center"/>
                    <w:rPr>
                      <w:rFonts w:cs="Times New Roman" w:eastAsiaTheme="minorEastAsia"/>
                      <w:color w:val="auto"/>
                      <w:sz w:val="18"/>
                      <w:szCs w:val="18"/>
                    </w:rPr>
                  </w:pPr>
                </w:p>
              </w:tc>
              <w:tc>
                <w:tcPr>
                  <w:tcW w:w="1528"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供电</w:t>
                  </w:r>
                </w:p>
              </w:tc>
              <w:tc>
                <w:tcPr>
                  <w:tcW w:w="5477"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由市政电网供给</w:t>
                  </w:r>
                </w:p>
              </w:tc>
              <w:tc>
                <w:tcPr>
                  <w:tcW w:w="855" w:type="dxa"/>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restart"/>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环保工程</w:t>
                  </w:r>
                </w:p>
              </w:tc>
              <w:tc>
                <w:tcPr>
                  <w:tcW w:w="1528"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废气治理设施</w:t>
                  </w:r>
                </w:p>
              </w:tc>
              <w:tc>
                <w:tcPr>
                  <w:tcW w:w="5477" w:type="dxa"/>
                  <w:tcBorders>
                    <w:tl2br w:val="nil"/>
                    <w:tr2bl w:val="nil"/>
                  </w:tcBorders>
                  <w:vAlign w:val="center"/>
                </w:tcPr>
                <w:p>
                  <w:pPr>
                    <w:adjustRightInd w:val="0"/>
                    <w:snapToGrid w:val="0"/>
                    <w:jc w:val="left"/>
                    <w:rPr>
                      <w:rFonts w:cs="Times New Roman" w:eastAsiaTheme="minorEastAsia"/>
                      <w:color w:val="auto"/>
                      <w:sz w:val="18"/>
                      <w:szCs w:val="18"/>
                    </w:rPr>
                  </w:pPr>
                  <w:r>
                    <w:rPr>
                      <w:rFonts w:hint="eastAsia" w:cs="Times New Roman" w:eastAsiaTheme="minorEastAsia"/>
                      <w:color w:val="auto"/>
                      <w:sz w:val="18"/>
                      <w:szCs w:val="18"/>
                    </w:rPr>
                    <w:t>配料工序设置独立密闭配料间+袋式除尘器+15m高排气筒排放；烘干、烧焙尾气经</w:t>
                  </w:r>
                  <w:r>
                    <w:rPr>
                      <w:rFonts w:hint="eastAsia" w:cs="Times New Roman" w:eastAsiaTheme="minorEastAsia"/>
                      <w:color w:val="auto"/>
                      <w:sz w:val="18"/>
                      <w:szCs w:val="18"/>
                      <w:lang w:eastAsia="zh-CN"/>
                    </w:rPr>
                    <w:t>碱液喷淋</w:t>
                  </w:r>
                  <w:r>
                    <w:rPr>
                      <w:rFonts w:hint="eastAsia" w:cs="Times New Roman" w:eastAsiaTheme="minorEastAsia"/>
                      <w:color w:val="auto"/>
                      <w:sz w:val="18"/>
                      <w:szCs w:val="18"/>
                    </w:rPr>
                    <w:t>塔喷淋处理后排放。</w:t>
                  </w:r>
                </w:p>
              </w:tc>
              <w:tc>
                <w:tcPr>
                  <w:tcW w:w="855"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vAlign w:val="center"/>
                </w:tcPr>
                <w:p>
                  <w:pPr>
                    <w:adjustRightInd w:val="0"/>
                    <w:snapToGrid w:val="0"/>
                    <w:jc w:val="center"/>
                    <w:rPr>
                      <w:rFonts w:cs="Times New Roman" w:eastAsiaTheme="minorEastAsia"/>
                      <w:color w:val="auto"/>
                      <w:sz w:val="18"/>
                      <w:szCs w:val="18"/>
                    </w:rPr>
                  </w:pPr>
                </w:p>
              </w:tc>
              <w:tc>
                <w:tcPr>
                  <w:tcW w:w="1528"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废水治理设施</w:t>
                  </w:r>
                </w:p>
              </w:tc>
              <w:tc>
                <w:tcPr>
                  <w:tcW w:w="5477" w:type="dxa"/>
                  <w:tcBorders>
                    <w:tl2br w:val="nil"/>
                    <w:tr2bl w:val="nil"/>
                  </w:tcBorders>
                  <w:vAlign w:val="center"/>
                </w:tcPr>
                <w:p>
                  <w:pPr>
                    <w:pStyle w:val="33"/>
                    <w:spacing w:line="240" w:lineRule="auto"/>
                    <w:jc w:val="left"/>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rPr>
                    <w:t>项目</w:t>
                  </w:r>
                  <w:r>
                    <w:rPr>
                      <w:rFonts w:hint="eastAsia" w:ascii="Times New Roman" w:hAnsi="Times New Roman" w:cs="Times New Roman" w:eastAsiaTheme="minorEastAsia"/>
                      <w:color w:val="auto"/>
                      <w:sz w:val="18"/>
                      <w:szCs w:val="18"/>
                    </w:rPr>
                    <w:t>纯水制备废水作为清净下水，用作厂区洒水降尘；喷淋塔</w:t>
                  </w:r>
                  <w:r>
                    <w:rPr>
                      <w:rFonts w:hint="eastAsia" w:ascii="Times New Roman" w:hAnsi="Times New Roman" w:cs="Times New Roman" w:eastAsiaTheme="minorEastAsia"/>
                      <w:color w:val="auto"/>
                      <w:sz w:val="18"/>
                      <w:szCs w:val="18"/>
                      <w:lang w:val="en-US" w:eastAsia="zh-CN"/>
                    </w:rPr>
                    <w:t>喷淋废水经絮凝沉淀后，循环使用</w:t>
                  </w:r>
                  <w:r>
                    <w:rPr>
                      <w:rFonts w:hint="eastAsia" w:ascii="Times New Roman" w:hAnsi="Times New Roman" w:cs="Times New Roman" w:eastAsiaTheme="minorEastAsia"/>
                      <w:color w:val="auto"/>
                      <w:sz w:val="18"/>
                      <w:szCs w:val="18"/>
                    </w:rPr>
                    <w:t>；生活污水经化粪池处理后定期清运，待大块镇污水处理厂建成运行后，排入大块镇污水处理厂进一步处理。</w:t>
                  </w:r>
                </w:p>
              </w:tc>
              <w:tc>
                <w:tcPr>
                  <w:tcW w:w="855"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vAlign w:val="center"/>
                </w:tcPr>
                <w:p>
                  <w:pPr>
                    <w:adjustRightInd w:val="0"/>
                    <w:snapToGrid w:val="0"/>
                    <w:jc w:val="center"/>
                    <w:rPr>
                      <w:rFonts w:cs="Times New Roman" w:eastAsiaTheme="minorEastAsia"/>
                      <w:color w:val="auto"/>
                      <w:sz w:val="18"/>
                      <w:szCs w:val="18"/>
                    </w:rPr>
                  </w:pPr>
                </w:p>
              </w:tc>
              <w:tc>
                <w:tcPr>
                  <w:tcW w:w="1528"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固废治理设施</w:t>
                  </w:r>
                </w:p>
              </w:tc>
              <w:tc>
                <w:tcPr>
                  <w:tcW w:w="5477"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一般固废暂存间</w:t>
                  </w:r>
                  <w:r>
                    <w:rPr>
                      <w:rFonts w:hint="eastAsia" w:cs="Times New Roman" w:eastAsiaTheme="minorEastAsia"/>
                      <w:snapToGrid w:val="0"/>
                      <w:color w:val="auto"/>
                      <w:kern w:val="0"/>
                      <w:sz w:val="18"/>
                      <w:szCs w:val="18"/>
                    </w:rPr>
                    <w:t>5</w:t>
                  </w:r>
                  <w:r>
                    <w:rPr>
                      <w:rFonts w:cs="Times New Roman" w:eastAsiaTheme="minorEastAsia"/>
                      <w:snapToGrid w:val="0"/>
                      <w:color w:val="auto"/>
                      <w:kern w:val="0"/>
                      <w:sz w:val="18"/>
                      <w:szCs w:val="18"/>
                      <w:lang w:val="zh-CN"/>
                    </w:rPr>
                    <w:t>m</w:t>
                  </w:r>
                  <w:r>
                    <w:rPr>
                      <w:rFonts w:cs="Times New Roman" w:eastAsiaTheme="minorEastAsia"/>
                      <w:snapToGrid w:val="0"/>
                      <w:color w:val="auto"/>
                      <w:kern w:val="0"/>
                      <w:sz w:val="18"/>
                      <w:szCs w:val="18"/>
                      <w:vertAlign w:val="superscript"/>
                      <w:lang w:val="zh-CN"/>
                    </w:rPr>
                    <w:t>2</w:t>
                  </w:r>
                </w:p>
              </w:tc>
              <w:tc>
                <w:tcPr>
                  <w:tcW w:w="855"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vAlign w:val="center"/>
                </w:tcPr>
                <w:p>
                  <w:pPr>
                    <w:adjustRightInd w:val="0"/>
                    <w:snapToGrid w:val="0"/>
                    <w:jc w:val="center"/>
                    <w:rPr>
                      <w:rFonts w:cs="Times New Roman" w:eastAsiaTheme="minorEastAsia"/>
                      <w:color w:val="auto"/>
                      <w:sz w:val="18"/>
                      <w:szCs w:val="18"/>
                    </w:rPr>
                  </w:pPr>
                </w:p>
              </w:tc>
              <w:tc>
                <w:tcPr>
                  <w:tcW w:w="1528"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噪声治理设施</w:t>
                  </w:r>
                </w:p>
              </w:tc>
              <w:tc>
                <w:tcPr>
                  <w:tcW w:w="5477"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室内布置、减振基础</w:t>
                  </w:r>
                </w:p>
              </w:tc>
              <w:tc>
                <w:tcPr>
                  <w:tcW w:w="855" w:type="dxa"/>
                  <w:tcBorders>
                    <w:tl2br w:val="nil"/>
                    <w:tr2bl w:val="nil"/>
                  </w:tcBorders>
                  <w:vAlign w:val="center"/>
                </w:tcPr>
                <w:p>
                  <w:pPr>
                    <w:adjustRightInd w:val="0"/>
                    <w:snapToGrid w:val="0"/>
                    <w:jc w:val="center"/>
                    <w:rPr>
                      <w:rFonts w:cs="Times New Roman" w:eastAsiaTheme="minorEastAsia"/>
                      <w:color w:val="auto"/>
                      <w:sz w:val="18"/>
                      <w:szCs w:val="18"/>
                    </w:rPr>
                  </w:pPr>
                  <w:r>
                    <w:rPr>
                      <w:rFonts w:cs="Times New Roman" w:eastAsiaTheme="minorEastAsia"/>
                      <w:snapToGrid w:val="0"/>
                      <w:color w:val="auto"/>
                      <w:kern w:val="0"/>
                      <w:sz w:val="18"/>
                      <w:szCs w:val="18"/>
                      <w:lang w:val="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dxa"/>
                  <w:vMerge w:val="continue"/>
                  <w:tcBorders>
                    <w:tl2br w:val="nil"/>
                    <w:tr2bl w:val="nil"/>
                  </w:tcBorders>
                  <w:vAlign w:val="center"/>
                </w:tcPr>
                <w:p>
                  <w:pPr>
                    <w:adjustRightInd w:val="0"/>
                    <w:snapToGrid w:val="0"/>
                    <w:jc w:val="center"/>
                    <w:rPr>
                      <w:rFonts w:cs="Times New Roman" w:eastAsiaTheme="minorEastAsia"/>
                      <w:color w:val="auto"/>
                      <w:sz w:val="18"/>
                      <w:szCs w:val="18"/>
                    </w:rPr>
                  </w:pPr>
                </w:p>
              </w:tc>
              <w:tc>
                <w:tcPr>
                  <w:tcW w:w="1528" w:type="dxa"/>
                  <w:tcBorders>
                    <w:tl2br w:val="nil"/>
                    <w:tr2bl w:val="nil"/>
                  </w:tcBorders>
                  <w:vAlign w:val="center"/>
                </w:tcPr>
                <w:p>
                  <w:pPr>
                    <w:pStyle w:val="75"/>
                    <w:snapToGrid w:val="0"/>
                    <w:jc w:val="center"/>
                    <w:rPr>
                      <w:rFonts w:ascii="Times New Roman" w:cs="Times New Roman" w:eastAsiaTheme="minorEastAsia"/>
                      <w:snapToGrid w:val="0"/>
                      <w:color w:val="auto"/>
                      <w:kern w:val="0"/>
                      <w:sz w:val="18"/>
                      <w:szCs w:val="18"/>
                      <w:lang w:val="zh-CN"/>
                    </w:rPr>
                  </w:pPr>
                  <w:r>
                    <w:rPr>
                      <w:rFonts w:ascii="Times New Roman" w:cs="Times New Roman" w:eastAsiaTheme="minorEastAsia"/>
                      <w:color w:val="auto"/>
                      <w:sz w:val="18"/>
                      <w:szCs w:val="18"/>
                    </w:rPr>
                    <w:t>环境管理</w:t>
                  </w:r>
                </w:p>
              </w:tc>
              <w:tc>
                <w:tcPr>
                  <w:tcW w:w="5477" w:type="dxa"/>
                  <w:tcBorders>
                    <w:tl2br w:val="nil"/>
                    <w:tr2bl w:val="nil"/>
                  </w:tcBorders>
                  <w:vAlign w:val="center"/>
                </w:tcPr>
                <w:p>
                  <w:pPr>
                    <w:pStyle w:val="75"/>
                    <w:snapToGrid w:val="0"/>
                    <w:jc w:val="center"/>
                    <w:rPr>
                      <w:rFonts w:ascii="Times New Roman" w:cs="Times New Roman" w:eastAsiaTheme="minorEastAsia"/>
                      <w:snapToGrid w:val="0"/>
                      <w:color w:val="auto"/>
                      <w:kern w:val="0"/>
                      <w:sz w:val="18"/>
                      <w:szCs w:val="18"/>
                      <w:lang w:val="zh-CN"/>
                    </w:rPr>
                  </w:pPr>
                  <w:r>
                    <w:rPr>
                      <w:rFonts w:ascii="Times New Roman" w:cs="Times New Roman" w:eastAsiaTheme="minorEastAsia"/>
                      <w:color w:val="auto"/>
                      <w:sz w:val="18"/>
                      <w:szCs w:val="18"/>
                    </w:rPr>
                    <w:t>安装部署用电量监控系统</w:t>
                  </w:r>
                </w:p>
              </w:tc>
              <w:tc>
                <w:tcPr>
                  <w:tcW w:w="855" w:type="dxa"/>
                  <w:tcBorders>
                    <w:tl2br w:val="nil"/>
                    <w:tr2bl w:val="nil"/>
                  </w:tcBorders>
                  <w:vAlign w:val="center"/>
                </w:tcPr>
                <w:p>
                  <w:pPr>
                    <w:adjustRightInd w:val="0"/>
                    <w:snapToGrid w:val="0"/>
                    <w:jc w:val="center"/>
                    <w:rPr>
                      <w:rFonts w:cs="Times New Roman" w:eastAsiaTheme="minorEastAsia"/>
                      <w:snapToGrid w:val="0"/>
                      <w:color w:val="auto"/>
                      <w:kern w:val="0"/>
                      <w:sz w:val="18"/>
                      <w:szCs w:val="18"/>
                      <w:lang w:val="zh-CN"/>
                    </w:rPr>
                  </w:pPr>
                  <w:r>
                    <w:rPr>
                      <w:rFonts w:cs="Times New Roman" w:eastAsiaTheme="minorEastAsia"/>
                      <w:snapToGrid w:val="0"/>
                      <w:color w:val="auto"/>
                      <w:kern w:val="0"/>
                      <w:sz w:val="18"/>
                      <w:szCs w:val="18"/>
                      <w:lang w:val="zh-CN"/>
                    </w:rPr>
                    <w:t>新建</w:t>
                  </w:r>
                </w:p>
              </w:tc>
            </w:tr>
          </w:tbl>
          <w:p>
            <w:pPr>
              <w:adjustRightInd w:val="0"/>
              <w:snapToGrid w:val="0"/>
              <w:spacing w:line="360" w:lineRule="auto"/>
              <w:ind w:firstLine="480" w:firstLineChars="200"/>
              <w:rPr>
                <w:rFonts w:eastAsia="黑体" w:cs="Times New Roman"/>
                <w:color w:val="auto"/>
                <w:sz w:val="24"/>
              </w:rPr>
            </w:pPr>
            <w:r>
              <w:rPr>
                <w:rFonts w:eastAsia="黑体" w:cs="Times New Roman"/>
                <w:color w:val="auto"/>
                <w:sz w:val="24"/>
              </w:rPr>
              <w:t>5、主要生产设备</w:t>
            </w:r>
          </w:p>
          <w:p>
            <w:pPr>
              <w:adjustRightInd w:val="0"/>
              <w:snapToGrid w:val="0"/>
              <w:spacing w:line="360" w:lineRule="auto"/>
              <w:ind w:firstLine="480" w:firstLineChars="200"/>
              <w:rPr>
                <w:rFonts w:cs="Times New Roman"/>
                <w:color w:val="auto"/>
                <w:sz w:val="24"/>
              </w:rPr>
            </w:pPr>
            <w:r>
              <w:rPr>
                <w:rFonts w:cs="Times New Roman"/>
                <w:color w:val="auto"/>
                <w:sz w:val="24"/>
              </w:rPr>
              <w:t>项目主要设备详见表4。</w:t>
            </w:r>
          </w:p>
          <w:p>
            <w:pPr>
              <w:pStyle w:val="21"/>
              <w:ind w:firstLine="420"/>
              <w:rPr>
                <w:rFonts w:cs="Times New Roman"/>
                <w:color w:val="auto"/>
                <w:szCs w:val="21"/>
              </w:rPr>
            </w:pPr>
            <w:r>
              <w:rPr>
                <w:rFonts w:hint="eastAsia"/>
                <w:color w:val="auto"/>
              </w:rPr>
              <w:t xml:space="preserve">                 </w:t>
            </w:r>
            <w:r>
              <w:rPr>
                <w:color w:val="auto"/>
              </w:rPr>
              <w:t xml:space="preserve">  项目建设主要设备一览表</w:t>
            </w:r>
          </w:p>
          <w:tbl>
            <w:tblPr>
              <w:tblStyle w:val="26"/>
              <w:tblW w:w="8540" w:type="dxa"/>
              <w:jc w:val="center"/>
              <w:tblLayout w:type="autofit"/>
              <w:tblCellMar>
                <w:top w:w="0" w:type="dxa"/>
                <w:left w:w="108" w:type="dxa"/>
                <w:bottom w:w="0" w:type="dxa"/>
                <w:right w:w="108" w:type="dxa"/>
              </w:tblCellMar>
            </w:tblPr>
            <w:tblGrid>
              <w:gridCol w:w="673"/>
              <w:gridCol w:w="2052"/>
              <w:gridCol w:w="2238"/>
              <w:gridCol w:w="940"/>
              <w:gridCol w:w="846"/>
              <w:gridCol w:w="1791"/>
            </w:tblGrid>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eastAsiaTheme="minorEastAsia"/>
                      <w:color w:val="auto"/>
                      <w:sz w:val="18"/>
                      <w:szCs w:val="18"/>
                    </w:rPr>
                  </w:pPr>
                  <w:bookmarkStart w:id="0" w:name="_Toc20409"/>
                  <w:r>
                    <w:rPr>
                      <w:rFonts w:cs="Times New Roman" w:eastAsiaTheme="minorEastAsia"/>
                      <w:color w:val="auto"/>
                      <w:sz w:val="18"/>
                      <w:szCs w:val="18"/>
                    </w:rPr>
                    <w:t>序号</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名称</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规格</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单位</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数量</w:t>
                  </w:r>
                </w:p>
              </w:tc>
              <w:tc>
                <w:tcPr>
                  <w:tcW w:w="1791" w:type="dxa"/>
                  <w:tcBorders>
                    <w:top w:val="single" w:color="auto" w:sz="8" w:space="0"/>
                    <w:left w:val="single" w:color="auto" w:sz="8" w:space="0"/>
                    <w:bottom w:val="single" w:color="auto" w:sz="8" w:space="0"/>
                    <w:right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备注</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1</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纯水机</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500L/h</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kern w:val="0"/>
                      <w:sz w:val="18"/>
                      <w:szCs w:val="18"/>
                    </w:rPr>
                  </w:pPr>
                  <w:r>
                    <w:rPr>
                      <w:rFonts w:cs="Times New Roman"/>
                      <w:color w:val="auto"/>
                      <w:kern w:val="0"/>
                      <w:sz w:val="18"/>
                      <w:szCs w:val="18"/>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1</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color w:val="auto"/>
                      <w:kern w:val="0"/>
                      <w:sz w:val="18"/>
                      <w:szCs w:val="18"/>
                    </w:rPr>
                  </w:pPr>
                  <w:r>
                    <w:rPr>
                      <w:rFonts w:hint="eastAsia" w:cs="Times New Roman"/>
                      <w:color w:val="auto"/>
                      <w:kern w:val="0"/>
                      <w:sz w:val="18"/>
                      <w:szCs w:val="18"/>
                    </w:rPr>
                    <w:t>生产纯净水</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2</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气动升降乳化机</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200L</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cs="Times New Roman"/>
                      <w:color w:val="auto"/>
                      <w:kern w:val="0"/>
                      <w:sz w:val="18"/>
                      <w:szCs w:val="18"/>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1</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color w:val="auto"/>
                      <w:kern w:val="0"/>
                      <w:sz w:val="18"/>
                      <w:szCs w:val="18"/>
                    </w:rPr>
                  </w:pPr>
                  <w:r>
                    <w:rPr>
                      <w:rFonts w:hint="eastAsia" w:cs="Times New Roman"/>
                      <w:color w:val="auto"/>
                      <w:kern w:val="0"/>
                      <w:sz w:val="18"/>
                      <w:szCs w:val="18"/>
                    </w:rPr>
                    <w:t>生产浆料</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3</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半自动涂覆机</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hint="eastAsia"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kern w:val="0"/>
                      <w:sz w:val="18"/>
                      <w:szCs w:val="18"/>
                      <w:u w:val="single"/>
                    </w:rPr>
                  </w:pPr>
                  <w:r>
                    <w:rPr>
                      <w:rFonts w:cs="Times New Roman"/>
                      <w:b/>
                      <w:bCs/>
                      <w:color w:val="auto"/>
                      <w:kern w:val="0"/>
                      <w:sz w:val="18"/>
                      <w:szCs w:val="18"/>
                      <w:u w:val="single"/>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2</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b/>
                      <w:bCs/>
                      <w:color w:val="auto"/>
                      <w:kern w:val="0"/>
                      <w:sz w:val="18"/>
                      <w:szCs w:val="18"/>
                      <w:u w:val="single"/>
                    </w:rPr>
                  </w:pPr>
                  <w:r>
                    <w:rPr>
                      <w:rFonts w:hint="eastAsia" w:cs="Times New Roman"/>
                      <w:b/>
                      <w:bCs/>
                      <w:color w:val="auto"/>
                      <w:kern w:val="0"/>
                      <w:sz w:val="18"/>
                      <w:szCs w:val="18"/>
                      <w:u w:val="single"/>
                    </w:rPr>
                    <w:t>催化剂涂覆</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4</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快速烘干机</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hint="eastAsia"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kern w:val="0"/>
                      <w:sz w:val="18"/>
                      <w:szCs w:val="18"/>
                      <w:u w:val="single"/>
                    </w:rPr>
                  </w:pPr>
                  <w:r>
                    <w:rPr>
                      <w:rFonts w:cs="Times New Roman"/>
                      <w:b/>
                      <w:bCs/>
                      <w:color w:val="auto"/>
                      <w:kern w:val="0"/>
                      <w:sz w:val="18"/>
                      <w:szCs w:val="18"/>
                      <w:u w:val="single"/>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2</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b/>
                      <w:bCs/>
                      <w:color w:val="auto"/>
                      <w:kern w:val="0"/>
                      <w:sz w:val="18"/>
                      <w:szCs w:val="18"/>
                      <w:u w:val="single"/>
                    </w:rPr>
                  </w:pPr>
                  <w:r>
                    <w:rPr>
                      <w:rFonts w:hint="eastAsia" w:cs="Times New Roman"/>
                      <w:b/>
                      <w:bCs/>
                      <w:color w:val="auto"/>
                      <w:kern w:val="0"/>
                      <w:sz w:val="18"/>
                      <w:szCs w:val="18"/>
                      <w:u w:val="single"/>
                    </w:rPr>
                    <w:t>快速烘干</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5</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程序升温台车炉</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TR-120-7</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kern w:val="0"/>
                      <w:sz w:val="18"/>
                      <w:szCs w:val="18"/>
                      <w:u w:val="single"/>
                    </w:rPr>
                  </w:pPr>
                  <w:r>
                    <w:rPr>
                      <w:rFonts w:cs="Times New Roman"/>
                      <w:b/>
                      <w:bCs/>
                      <w:color w:val="auto"/>
                      <w:kern w:val="0"/>
                      <w:sz w:val="18"/>
                      <w:szCs w:val="18"/>
                      <w:u w:val="single"/>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4</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b/>
                      <w:bCs/>
                      <w:color w:val="auto"/>
                      <w:kern w:val="0"/>
                      <w:sz w:val="18"/>
                      <w:szCs w:val="18"/>
                      <w:u w:val="single"/>
                    </w:rPr>
                  </w:pPr>
                  <w:r>
                    <w:rPr>
                      <w:rFonts w:hint="eastAsia" w:cs="Times New Roman"/>
                      <w:b/>
                      <w:bCs/>
                      <w:color w:val="auto"/>
                      <w:kern w:val="0"/>
                      <w:sz w:val="18"/>
                      <w:szCs w:val="18"/>
                      <w:u w:val="single"/>
                    </w:rPr>
                    <w:t>催化剂烧焙</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6</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电子天平</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JS10-01</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kern w:val="0"/>
                      <w:sz w:val="18"/>
                      <w:szCs w:val="18"/>
                      <w:u w:val="single"/>
                    </w:rPr>
                  </w:pPr>
                  <w:r>
                    <w:rPr>
                      <w:rFonts w:cs="Times New Roman"/>
                      <w:b/>
                      <w:bCs/>
                      <w:color w:val="auto"/>
                      <w:kern w:val="0"/>
                      <w:sz w:val="18"/>
                      <w:szCs w:val="18"/>
                      <w:u w:val="single"/>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b/>
                      <w:bCs/>
                      <w:color w:val="auto"/>
                      <w:sz w:val="18"/>
                      <w:szCs w:val="18"/>
                      <w:u w:val="single"/>
                    </w:rPr>
                  </w:pPr>
                  <w:r>
                    <w:rPr>
                      <w:rFonts w:hint="eastAsia" w:cs="Times New Roman"/>
                      <w:b/>
                      <w:bCs/>
                      <w:color w:val="auto"/>
                      <w:sz w:val="18"/>
                      <w:szCs w:val="18"/>
                      <w:u w:val="single"/>
                    </w:rPr>
                    <w:t>2</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b/>
                      <w:bCs/>
                      <w:color w:val="auto"/>
                      <w:kern w:val="0"/>
                      <w:sz w:val="18"/>
                      <w:szCs w:val="18"/>
                      <w:u w:val="single"/>
                    </w:rPr>
                  </w:pPr>
                  <w:r>
                    <w:rPr>
                      <w:rFonts w:hint="eastAsia" w:cs="Times New Roman"/>
                      <w:b/>
                      <w:bCs/>
                      <w:color w:val="auto"/>
                      <w:kern w:val="0"/>
                      <w:sz w:val="18"/>
                      <w:szCs w:val="18"/>
                      <w:u w:val="single"/>
                    </w:rPr>
                    <w:t>物料称量</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7</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电子秤</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TCS-300</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kern w:val="0"/>
                      <w:sz w:val="18"/>
                      <w:szCs w:val="18"/>
                    </w:rPr>
                  </w:pPr>
                  <w:r>
                    <w:rPr>
                      <w:rFonts w:cs="Times New Roman"/>
                      <w:color w:val="auto"/>
                      <w:kern w:val="0"/>
                      <w:sz w:val="18"/>
                      <w:szCs w:val="18"/>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1</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color w:val="auto"/>
                      <w:kern w:val="0"/>
                      <w:sz w:val="18"/>
                      <w:szCs w:val="18"/>
                    </w:rPr>
                  </w:pPr>
                  <w:r>
                    <w:rPr>
                      <w:rFonts w:hint="eastAsia" w:cs="Times New Roman"/>
                      <w:color w:val="auto"/>
                      <w:kern w:val="0"/>
                      <w:sz w:val="18"/>
                      <w:szCs w:val="18"/>
                    </w:rPr>
                    <w:t>物料称量</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8</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通气率及积灰试验机</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hint="eastAsia" w:eastAsia="宋体" w:cs="Times New Roman"/>
                      <w:color w:val="auto"/>
                      <w:sz w:val="18"/>
                      <w:szCs w:val="18"/>
                      <w:lang w:eastAsia="zh-CN"/>
                    </w:rPr>
                  </w:pPr>
                  <w:r>
                    <w:rPr>
                      <w:rFonts w:hint="eastAsia" w:cs="Times New Roman"/>
                      <w:color w:val="auto"/>
                      <w:sz w:val="18"/>
                      <w:szCs w:val="18"/>
                      <w:lang w:val="en-US" w:eastAsia="zh-CN"/>
                    </w:rPr>
                    <w:t>-</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kern w:val="0"/>
                      <w:sz w:val="18"/>
                      <w:szCs w:val="18"/>
                    </w:rPr>
                  </w:pPr>
                  <w:r>
                    <w:rPr>
                      <w:rFonts w:cs="Times New Roman"/>
                      <w:color w:val="auto"/>
                      <w:kern w:val="0"/>
                      <w:sz w:val="18"/>
                      <w:szCs w:val="18"/>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1</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color w:val="auto"/>
                      <w:kern w:val="0"/>
                      <w:sz w:val="18"/>
                      <w:szCs w:val="18"/>
                    </w:rPr>
                  </w:pPr>
                  <w:r>
                    <w:rPr>
                      <w:rFonts w:hint="eastAsia" w:cs="Times New Roman"/>
                      <w:color w:val="auto"/>
                      <w:kern w:val="0"/>
                      <w:sz w:val="18"/>
                      <w:szCs w:val="18"/>
                    </w:rPr>
                    <w:t>产品试验</w:t>
                  </w:r>
                </w:p>
              </w:tc>
            </w:tr>
            <w:tr>
              <w:tblPrEx>
                <w:tblCellMar>
                  <w:top w:w="0" w:type="dxa"/>
                  <w:left w:w="108" w:type="dxa"/>
                  <w:bottom w:w="0" w:type="dxa"/>
                  <w:right w:w="108" w:type="dxa"/>
                </w:tblCellMar>
              </w:tblPrEx>
              <w:trPr>
                <w:trHeight w:val="397" w:hRule="atLeast"/>
                <w:jc w:val="center"/>
              </w:trPr>
              <w:tc>
                <w:tcPr>
                  <w:tcW w:w="673" w:type="dxa"/>
                  <w:tcBorders>
                    <w:top w:val="single" w:color="auto" w:sz="8" w:space="0"/>
                    <w:left w:val="nil"/>
                    <w:bottom w:val="single" w:color="auto" w:sz="8" w:space="0"/>
                    <w:right w:val="single" w:color="auto" w:sz="8" w:space="0"/>
                  </w:tcBorders>
                  <w:vAlign w:val="center"/>
                </w:tcPr>
                <w:p>
                  <w:pPr>
                    <w:jc w:val="center"/>
                    <w:rPr>
                      <w:rFonts w:cs="Times New Roman"/>
                      <w:color w:val="auto"/>
                      <w:sz w:val="18"/>
                      <w:szCs w:val="18"/>
                    </w:rPr>
                  </w:pPr>
                  <w:r>
                    <w:rPr>
                      <w:rFonts w:cs="Times New Roman"/>
                      <w:color w:val="auto"/>
                      <w:sz w:val="18"/>
                      <w:szCs w:val="18"/>
                    </w:rPr>
                    <w:t>9</w:t>
                  </w:r>
                </w:p>
              </w:tc>
              <w:tc>
                <w:tcPr>
                  <w:tcW w:w="2052"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尾气喷淋塔</w:t>
                  </w:r>
                </w:p>
              </w:tc>
              <w:tc>
                <w:tcPr>
                  <w:tcW w:w="2238"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1420*920*760</w:t>
                  </w:r>
                </w:p>
              </w:tc>
              <w:tc>
                <w:tcPr>
                  <w:tcW w:w="940"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kern w:val="0"/>
                      <w:sz w:val="18"/>
                      <w:szCs w:val="18"/>
                    </w:rPr>
                  </w:pPr>
                  <w:r>
                    <w:rPr>
                      <w:rFonts w:cs="Times New Roman"/>
                      <w:color w:val="auto"/>
                      <w:kern w:val="0"/>
                      <w:sz w:val="18"/>
                      <w:szCs w:val="18"/>
                    </w:rPr>
                    <w:t>台</w:t>
                  </w:r>
                </w:p>
              </w:tc>
              <w:tc>
                <w:tcPr>
                  <w:tcW w:w="846" w:type="dxa"/>
                  <w:tcBorders>
                    <w:top w:val="single" w:color="auto" w:sz="8" w:space="0"/>
                    <w:left w:val="single" w:color="auto" w:sz="8" w:space="0"/>
                    <w:bottom w:val="single" w:color="auto" w:sz="8" w:space="0"/>
                    <w:right w:val="single" w:color="auto" w:sz="8" w:space="0"/>
                  </w:tcBorders>
                  <w:vAlign w:val="center"/>
                </w:tcPr>
                <w:p>
                  <w:pPr>
                    <w:jc w:val="center"/>
                    <w:rPr>
                      <w:rFonts w:cs="Times New Roman"/>
                      <w:color w:val="auto"/>
                      <w:sz w:val="18"/>
                      <w:szCs w:val="18"/>
                    </w:rPr>
                  </w:pPr>
                  <w:r>
                    <w:rPr>
                      <w:rFonts w:hint="eastAsia" w:cs="Times New Roman"/>
                      <w:color w:val="auto"/>
                      <w:sz w:val="18"/>
                      <w:szCs w:val="18"/>
                    </w:rPr>
                    <w:t>1</w:t>
                  </w:r>
                </w:p>
              </w:tc>
              <w:tc>
                <w:tcPr>
                  <w:tcW w:w="1791" w:type="dxa"/>
                  <w:tcBorders>
                    <w:top w:val="single" w:color="auto" w:sz="8" w:space="0"/>
                    <w:left w:val="single" w:color="auto" w:sz="8" w:space="0"/>
                    <w:bottom w:val="single" w:color="auto" w:sz="8" w:space="0"/>
                    <w:right w:val="nil"/>
                  </w:tcBorders>
                  <w:vAlign w:val="center"/>
                </w:tcPr>
                <w:p>
                  <w:pPr>
                    <w:widowControl/>
                    <w:jc w:val="center"/>
                    <w:textAlignment w:val="bottom"/>
                    <w:rPr>
                      <w:rFonts w:cs="Times New Roman"/>
                      <w:color w:val="auto"/>
                      <w:kern w:val="0"/>
                      <w:sz w:val="18"/>
                      <w:szCs w:val="18"/>
                    </w:rPr>
                  </w:pPr>
                  <w:r>
                    <w:rPr>
                      <w:rFonts w:hint="eastAsia" w:cs="Times New Roman"/>
                      <w:color w:val="auto"/>
                      <w:kern w:val="0"/>
                      <w:sz w:val="18"/>
                      <w:szCs w:val="18"/>
                    </w:rPr>
                    <w:t>尾气处理</w:t>
                  </w:r>
                </w:p>
              </w:tc>
            </w:tr>
          </w:tbl>
          <w:p>
            <w:pPr>
              <w:pStyle w:val="6"/>
              <w:ind w:firstLine="480"/>
              <w:rPr>
                <w:rFonts w:eastAsia="黑体"/>
                <w:b w:val="0"/>
                <w:bCs/>
                <w:color w:val="auto"/>
              </w:rPr>
            </w:pPr>
            <w:r>
              <w:rPr>
                <w:rFonts w:eastAsia="黑体"/>
                <w:b w:val="0"/>
                <w:bCs/>
                <w:color w:val="auto"/>
              </w:rPr>
              <w:t>6、主要原辅材料及能耗用量</w:t>
            </w:r>
          </w:p>
          <w:p>
            <w:pPr>
              <w:pStyle w:val="6"/>
              <w:ind w:firstLine="480"/>
              <w:rPr>
                <w:rFonts w:eastAsia="黑体"/>
                <w:color w:val="auto"/>
                <w:sz w:val="21"/>
                <w:szCs w:val="21"/>
              </w:rPr>
            </w:pPr>
            <w:r>
              <w:rPr>
                <w:rFonts w:eastAsia="宋体"/>
                <w:b w:val="0"/>
                <w:color w:val="auto"/>
              </w:rPr>
              <w:t>本项目原辅料</w:t>
            </w:r>
            <w:r>
              <w:rPr>
                <w:rFonts w:hint="eastAsia" w:eastAsia="宋体"/>
                <w:b w:val="0"/>
                <w:color w:val="auto"/>
              </w:rPr>
              <w:t>主要为铈锆氧化物粉体、铝胶、活性氧化铝、贵金属铂钯铑等，</w:t>
            </w:r>
            <w:r>
              <w:rPr>
                <w:rFonts w:eastAsia="宋体"/>
                <w:b w:val="0"/>
                <w:color w:val="auto"/>
              </w:rPr>
              <w:t>本项目主要原辅材料及能耗用量见表5，主要原辅材料理化性质详见表6。</w:t>
            </w:r>
          </w:p>
          <w:p>
            <w:pPr>
              <w:pStyle w:val="21"/>
              <w:ind w:firstLine="420"/>
              <w:rPr>
                <w:rStyle w:val="105"/>
                <w:color w:val="auto"/>
              </w:rPr>
            </w:pPr>
            <w:r>
              <w:rPr>
                <w:rFonts w:hint="eastAsia"/>
                <w:color w:val="auto"/>
              </w:rPr>
              <w:t xml:space="preserve">                     </w:t>
            </w:r>
            <w:r>
              <w:rPr>
                <w:color w:val="auto"/>
              </w:rPr>
              <w:t>本项目原辅材料及能耗用量</w:t>
            </w:r>
          </w:p>
          <w:tbl>
            <w:tblPr>
              <w:tblStyle w:val="26"/>
              <w:tblW w:w="85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2463"/>
              <w:gridCol w:w="1337"/>
              <w:gridCol w:w="1538"/>
              <w:gridCol w:w="2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17" w:type="dxa"/>
                  <w:vAlign w:val="center"/>
                </w:tcPr>
                <w:p>
                  <w:pPr>
                    <w:jc w:val="center"/>
                    <w:rPr>
                      <w:rFonts w:cs="Times New Roman"/>
                      <w:color w:val="auto"/>
                      <w:sz w:val="18"/>
                      <w:szCs w:val="18"/>
                    </w:rPr>
                  </w:pPr>
                  <w:r>
                    <w:rPr>
                      <w:rFonts w:cs="Times New Roman"/>
                      <w:color w:val="auto"/>
                      <w:sz w:val="18"/>
                      <w:szCs w:val="18"/>
                    </w:rPr>
                    <w:t>项目</w:t>
                  </w:r>
                </w:p>
              </w:tc>
              <w:tc>
                <w:tcPr>
                  <w:tcW w:w="2463" w:type="dxa"/>
                  <w:vAlign w:val="center"/>
                </w:tcPr>
                <w:p>
                  <w:pPr>
                    <w:jc w:val="center"/>
                    <w:rPr>
                      <w:rFonts w:cs="Times New Roman"/>
                      <w:color w:val="auto"/>
                      <w:sz w:val="18"/>
                      <w:szCs w:val="18"/>
                    </w:rPr>
                  </w:pPr>
                  <w:r>
                    <w:rPr>
                      <w:rFonts w:cs="Times New Roman"/>
                      <w:color w:val="auto"/>
                      <w:sz w:val="18"/>
                      <w:szCs w:val="18"/>
                    </w:rPr>
                    <w:t>原辅料名称</w:t>
                  </w:r>
                </w:p>
              </w:tc>
              <w:tc>
                <w:tcPr>
                  <w:tcW w:w="1337" w:type="dxa"/>
                  <w:vAlign w:val="center"/>
                </w:tcPr>
                <w:p>
                  <w:pPr>
                    <w:jc w:val="center"/>
                    <w:rPr>
                      <w:rFonts w:cs="Times New Roman"/>
                      <w:color w:val="auto"/>
                      <w:sz w:val="18"/>
                      <w:szCs w:val="18"/>
                    </w:rPr>
                  </w:pPr>
                  <w:r>
                    <w:rPr>
                      <w:rFonts w:hint="eastAsia" w:cs="Times New Roman"/>
                      <w:color w:val="auto"/>
                      <w:sz w:val="18"/>
                      <w:szCs w:val="18"/>
                    </w:rPr>
                    <w:t>单位</w:t>
                  </w:r>
                </w:p>
              </w:tc>
              <w:tc>
                <w:tcPr>
                  <w:tcW w:w="1538" w:type="dxa"/>
                  <w:vAlign w:val="center"/>
                </w:tcPr>
                <w:p>
                  <w:pPr>
                    <w:jc w:val="center"/>
                    <w:rPr>
                      <w:rFonts w:cs="Times New Roman"/>
                      <w:color w:val="auto"/>
                      <w:sz w:val="18"/>
                      <w:szCs w:val="18"/>
                    </w:rPr>
                  </w:pPr>
                  <w:r>
                    <w:rPr>
                      <w:rFonts w:hint="eastAsia" w:cs="Times New Roman"/>
                      <w:color w:val="auto"/>
                      <w:sz w:val="18"/>
                      <w:szCs w:val="18"/>
                    </w:rPr>
                    <w:t>年用量</w:t>
                  </w:r>
                </w:p>
              </w:tc>
              <w:tc>
                <w:tcPr>
                  <w:tcW w:w="2085" w:type="dxa"/>
                  <w:vAlign w:val="center"/>
                </w:tcPr>
                <w:p>
                  <w:pPr>
                    <w:jc w:val="center"/>
                    <w:rPr>
                      <w:rFonts w:cs="Times New Roman"/>
                      <w:color w:val="auto"/>
                      <w:sz w:val="18"/>
                      <w:szCs w:val="18"/>
                    </w:rPr>
                  </w:pPr>
                  <w:r>
                    <w:rPr>
                      <w:rFonts w:hint="eastAsia" w:cs="Times New Roman"/>
                      <w:color w:val="auto"/>
                      <w:sz w:val="18"/>
                      <w:szCs w:val="18"/>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17" w:type="dxa"/>
                  <w:vMerge w:val="restart"/>
                  <w:vAlign w:val="center"/>
                </w:tcPr>
                <w:p>
                  <w:pPr>
                    <w:jc w:val="center"/>
                    <w:rPr>
                      <w:rFonts w:cs="Times New Roman"/>
                      <w:color w:val="auto"/>
                      <w:sz w:val="18"/>
                      <w:szCs w:val="18"/>
                    </w:rPr>
                  </w:pPr>
                  <w:r>
                    <w:rPr>
                      <w:rFonts w:cs="Times New Roman"/>
                      <w:color w:val="auto"/>
                      <w:sz w:val="18"/>
                      <w:szCs w:val="18"/>
                    </w:rPr>
                    <w:t>原辅</w:t>
                  </w:r>
                </w:p>
                <w:p>
                  <w:pPr>
                    <w:jc w:val="center"/>
                    <w:rPr>
                      <w:rFonts w:cs="Times New Roman"/>
                      <w:color w:val="auto"/>
                      <w:sz w:val="18"/>
                      <w:szCs w:val="18"/>
                    </w:rPr>
                  </w:pPr>
                  <w:r>
                    <w:rPr>
                      <w:rFonts w:cs="Times New Roman"/>
                      <w:color w:val="auto"/>
                      <w:sz w:val="18"/>
                      <w:szCs w:val="18"/>
                    </w:rPr>
                    <w:t>材料</w:t>
                  </w:r>
                </w:p>
              </w:tc>
              <w:tc>
                <w:tcPr>
                  <w:tcW w:w="2463" w:type="dxa"/>
                  <w:vAlign w:val="center"/>
                </w:tcPr>
                <w:p>
                  <w:pPr>
                    <w:jc w:val="center"/>
                    <w:rPr>
                      <w:rFonts w:cs="Times New Roman"/>
                      <w:color w:val="auto"/>
                      <w:sz w:val="18"/>
                      <w:szCs w:val="18"/>
                    </w:rPr>
                  </w:pPr>
                  <w:r>
                    <w:rPr>
                      <w:rFonts w:hint="eastAsia" w:cs="Times New Roman"/>
                      <w:color w:val="auto"/>
                      <w:sz w:val="18"/>
                      <w:szCs w:val="18"/>
                    </w:rPr>
                    <w:t>蜂窝陶瓷载体</w:t>
                  </w:r>
                </w:p>
              </w:tc>
              <w:tc>
                <w:tcPr>
                  <w:tcW w:w="1337" w:type="dxa"/>
                  <w:vAlign w:val="center"/>
                </w:tcPr>
                <w:p>
                  <w:pPr>
                    <w:jc w:val="center"/>
                    <w:rPr>
                      <w:rFonts w:cs="Times New Roman"/>
                      <w:color w:val="auto"/>
                      <w:sz w:val="18"/>
                      <w:szCs w:val="18"/>
                    </w:rPr>
                  </w:pPr>
                  <w:r>
                    <w:rPr>
                      <w:rFonts w:hint="eastAsia" w:cs="Times New Roman"/>
                      <w:color w:val="auto"/>
                      <w:sz w:val="18"/>
                      <w:szCs w:val="18"/>
                    </w:rPr>
                    <w:t>m</w:t>
                  </w:r>
                  <w:r>
                    <w:rPr>
                      <w:rFonts w:hint="eastAsia" w:cs="Times New Roman"/>
                      <w:color w:val="auto"/>
                      <w:sz w:val="18"/>
                      <w:szCs w:val="18"/>
                      <w:vertAlign w:val="superscript"/>
                    </w:rPr>
                    <w:t>3</w:t>
                  </w:r>
                  <w:r>
                    <w:rPr>
                      <w:rFonts w:hint="eastAsia" w:cs="Times New Roman"/>
                      <w:color w:val="auto"/>
                      <w:sz w:val="18"/>
                      <w:szCs w:val="18"/>
                    </w:rPr>
                    <w:t>/a</w:t>
                  </w:r>
                </w:p>
              </w:tc>
              <w:tc>
                <w:tcPr>
                  <w:tcW w:w="1538" w:type="dxa"/>
                  <w:vAlign w:val="center"/>
                </w:tcPr>
                <w:p>
                  <w:pPr>
                    <w:jc w:val="center"/>
                    <w:rPr>
                      <w:rFonts w:cs="Times New Roman"/>
                      <w:color w:val="auto"/>
                      <w:sz w:val="18"/>
                      <w:szCs w:val="18"/>
                    </w:rPr>
                  </w:pPr>
                  <w:r>
                    <w:rPr>
                      <w:rFonts w:hint="eastAsia" w:cs="Times New Roman"/>
                      <w:color w:val="auto"/>
                      <w:sz w:val="18"/>
                      <w:szCs w:val="18"/>
                    </w:rPr>
                    <w:t>180</w:t>
                  </w:r>
                </w:p>
              </w:tc>
              <w:tc>
                <w:tcPr>
                  <w:tcW w:w="2085" w:type="dxa"/>
                </w:tcPr>
                <w:p>
                  <w:pPr>
                    <w:tabs>
                      <w:tab w:val="left" w:pos="2940"/>
                    </w:tabs>
                    <w:jc w:val="center"/>
                    <w:rPr>
                      <w:rFonts w:cs="Times New Roman"/>
                      <w:color w:val="auto"/>
                      <w:sz w:val="18"/>
                      <w:szCs w:val="18"/>
                    </w:rPr>
                  </w:pPr>
                  <w:r>
                    <w:rPr>
                      <w:rFonts w:hint="eastAsia"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铈锆氧化物粉末</w:t>
                  </w:r>
                </w:p>
              </w:tc>
              <w:tc>
                <w:tcPr>
                  <w:tcW w:w="1337"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t/a</w:t>
                  </w:r>
                </w:p>
              </w:tc>
              <w:tc>
                <w:tcPr>
                  <w:tcW w:w="1538"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42</w:t>
                  </w:r>
                </w:p>
              </w:tc>
              <w:tc>
                <w:tcPr>
                  <w:tcW w:w="2085" w:type="dxa"/>
                </w:tcPr>
                <w:p>
                  <w:pPr>
                    <w:tabs>
                      <w:tab w:val="left" w:pos="2940"/>
                    </w:tabs>
                    <w:jc w:val="center"/>
                    <w:rPr>
                      <w:rFonts w:cs="Times New Roman"/>
                      <w:b/>
                      <w:bCs/>
                      <w:color w:val="auto"/>
                      <w:sz w:val="18"/>
                      <w:szCs w:val="18"/>
                      <w:u w:val="single"/>
                    </w:rPr>
                  </w:pPr>
                  <w:r>
                    <w:rPr>
                      <w:rFonts w:hint="eastAsia" w:cs="Times New Roman"/>
                      <w:b/>
                      <w:bCs/>
                      <w:color w:val="auto"/>
                      <w:sz w:val="18"/>
                      <w:szCs w:val="18"/>
                      <w:u w:val="single"/>
                    </w:rPr>
                    <w:t>袋装，密闭车间储存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铝胶（拟薄水铝石）</w:t>
                  </w:r>
                </w:p>
              </w:tc>
              <w:tc>
                <w:tcPr>
                  <w:tcW w:w="1337"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t/a</w:t>
                  </w:r>
                </w:p>
              </w:tc>
              <w:tc>
                <w:tcPr>
                  <w:tcW w:w="1538"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6.3</w:t>
                  </w:r>
                </w:p>
              </w:tc>
              <w:tc>
                <w:tcPr>
                  <w:tcW w:w="2085" w:type="dxa"/>
                </w:tcPr>
                <w:p>
                  <w:pPr>
                    <w:tabs>
                      <w:tab w:val="left" w:pos="2940"/>
                    </w:tabs>
                    <w:jc w:val="center"/>
                    <w:rPr>
                      <w:rFonts w:cs="Times New Roman"/>
                      <w:b/>
                      <w:bCs/>
                      <w:color w:val="auto"/>
                      <w:sz w:val="18"/>
                      <w:szCs w:val="18"/>
                      <w:u w:val="single"/>
                    </w:rPr>
                  </w:pPr>
                  <w:r>
                    <w:rPr>
                      <w:rFonts w:hint="eastAsia" w:cs="Times New Roman"/>
                      <w:b/>
                      <w:bCs/>
                      <w:color w:val="auto"/>
                      <w:sz w:val="18"/>
                      <w:szCs w:val="18"/>
                      <w:u w:val="single"/>
                    </w:rPr>
                    <w:t>胶状物，袋装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活性氧化铝</w:t>
                  </w:r>
                </w:p>
              </w:tc>
              <w:tc>
                <w:tcPr>
                  <w:tcW w:w="1337"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t/a</w:t>
                  </w:r>
                </w:p>
              </w:tc>
              <w:tc>
                <w:tcPr>
                  <w:tcW w:w="1538"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42</w:t>
                  </w:r>
                </w:p>
              </w:tc>
              <w:tc>
                <w:tcPr>
                  <w:tcW w:w="2085" w:type="dxa"/>
                </w:tcPr>
                <w:p>
                  <w:pPr>
                    <w:tabs>
                      <w:tab w:val="left" w:pos="2940"/>
                    </w:tabs>
                    <w:jc w:val="center"/>
                    <w:rPr>
                      <w:rFonts w:cs="Times New Roman"/>
                      <w:b/>
                      <w:bCs/>
                      <w:color w:val="auto"/>
                      <w:sz w:val="18"/>
                      <w:szCs w:val="18"/>
                      <w:u w:val="single"/>
                    </w:rPr>
                  </w:pPr>
                  <w:r>
                    <w:rPr>
                      <w:rFonts w:hint="eastAsia" w:cs="Times New Roman"/>
                      <w:b/>
                      <w:bCs/>
                      <w:color w:val="auto"/>
                      <w:sz w:val="18"/>
                      <w:szCs w:val="18"/>
                      <w:u w:val="single"/>
                    </w:rPr>
                    <w:t>袋装，密闭车间储存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贵金属铂钯铑</w:t>
                  </w:r>
                </w:p>
              </w:tc>
              <w:tc>
                <w:tcPr>
                  <w:tcW w:w="1337"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kg/a</w:t>
                  </w:r>
                </w:p>
              </w:tc>
              <w:tc>
                <w:tcPr>
                  <w:tcW w:w="1538"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100</w:t>
                  </w:r>
                </w:p>
              </w:tc>
              <w:tc>
                <w:tcPr>
                  <w:tcW w:w="2085" w:type="dxa"/>
                </w:tcPr>
                <w:p>
                  <w:pPr>
                    <w:tabs>
                      <w:tab w:val="left" w:pos="2940"/>
                    </w:tabs>
                    <w:jc w:val="center"/>
                    <w:rPr>
                      <w:rFonts w:cs="Times New Roman"/>
                      <w:b/>
                      <w:bCs/>
                      <w:color w:val="auto"/>
                      <w:sz w:val="18"/>
                      <w:szCs w:val="18"/>
                      <w:u w:val="single"/>
                    </w:rPr>
                  </w:pPr>
                  <w:r>
                    <w:rPr>
                      <w:rFonts w:hint="eastAsia" w:cs="Times New Roman"/>
                      <w:b/>
                      <w:bCs/>
                      <w:color w:val="auto"/>
                      <w:sz w:val="18"/>
                      <w:szCs w:val="18"/>
                      <w:u w:val="single"/>
                    </w:rPr>
                    <w:t>瓶装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硝酸</w:t>
                  </w:r>
                </w:p>
              </w:tc>
              <w:tc>
                <w:tcPr>
                  <w:tcW w:w="1337"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t/a</w:t>
                  </w:r>
                </w:p>
              </w:tc>
              <w:tc>
                <w:tcPr>
                  <w:tcW w:w="1538"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0.1</w:t>
                  </w:r>
                </w:p>
              </w:tc>
              <w:tc>
                <w:tcPr>
                  <w:tcW w:w="2085" w:type="dxa"/>
                </w:tcPr>
                <w:p>
                  <w:pPr>
                    <w:tabs>
                      <w:tab w:val="left" w:pos="2940"/>
                    </w:tabs>
                    <w:jc w:val="center"/>
                    <w:rPr>
                      <w:b/>
                      <w:bCs/>
                      <w:color w:val="auto"/>
                      <w:sz w:val="18"/>
                      <w:szCs w:val="18"/>
                      <w:u w:val="single"/>
                    </w:rPr>
                  </w:pPr>
                  <w:r>
                    <w:rPr>
                      <w:rFonts w:hint="eastAsia"/>
                      <w:b/>
                      <w:bCs/>
                      <w:color w:val="auto"/>
                      <w:sz w:val="18"/>
                      <w:szCs w:val="18"/>
                      <w:u w:val="single"/>
                    </w:rPr>
                    <w:t>65%硝酸溶液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color w:val="auto"/>
                      <w:sz w:val="18"/>
                      <w:szCs w:val="18"/>
                    </w:rPr>
                  </w:pPr>
                  <w:r>
                    <w:rPr>
                      <w:rFonts w:hint="eastAsia" w:cs="Times New Roman"/>
                      <w:color w:val="auto"/>
                      <w:sz w:val="18"/>
                      <w:szCs w:val="18"/>
                    </w:rPr>
                    <w:t>纯净水</w:t>
                  </w:r>
                </w:p>
              </w:tc>
              <w:tc>
                <w:tcPr>
                  <w:tcW w:w="1337" w:type="dxa"/>
                  <w:vAlign w:val="center"/>
                </w:tcPr>
                <w:p>
                  <w:pPr>
                    <w:jc w:val="center"/>
                    <w:rPr>
                      <w:rFonts w:cs="Times New Roman"/>
                      <w:color w:val="auto"/>
                      <w:sz w:val="18"/>
                      <w:szCs w:val="18"/>
                    </w:rPr>
                  </w:pPr>
                  <w:r>
                    <w:rPr>
                      <w:rFonts w:hint="eastAsia" w:cs="Times New Roman"/>
                      <w:color w:val="auto"/>
                      <w:sz w:val="18"/>
                      <w:szCs w:val="18"/>
                    </w:rPr>
                    <w:t>t/a</w:t>
                  </w:r>
                </w:p>
              </w:tc>
              <w:tc>
                <w:tcPr>
                  <w:tcW w:w="1538" w:type="dxa"/>
                  <w:vAlign w:val="center"/>
                </w:tcPr>
                <w:p>
                  <w:pPr>
                    <w:jc w:val="center"/>
                    <w:rPr>
                      <w:rFonts w:cs="Times New Roman"/>
                      <w:color w:val="auto"/>
                      <w:sz w:val="18"/>
                      <w:szCs w:val="18"/>
                    </w:rPr>
                  </w:pPr>
                  <w:r>
                    <w:rPr>
                      <w:rFonts w:hint="eastAsia" w:cs="Times New Roman"/>
                      <w:color w:val="auto"/>
                      <w:sz w:val="18"/>
                      <w:szCs w:val="18"/>
                    </w:rPr>
                    <w:t>120</w:t>
                  </w:r>
                </w:p>
              </w:tc>
              <w:tc>
                <w:tcPr>
                  <w:tcW w:w="2085" w:type="dxa"/>
                </w:tcPr>
                <w:p>
                  <w:pPr>
                    <w:tabs>
                      <w:tab w:val="left" w:pos="2940"/>
                    </w:tabs>
                    <w:jc w:val="center"/>
                    <w:rPr>
                      <w:color w:val="auto"/>
                      <w:sz w:val="18"/>
                      <w:szCs w:val="18"/>
                    </w:rPr>
                  </w:pPr>
                  <w:r>
                    <w:rPr>
                      <w:rFonts w:hint="eastAsia"/>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color w:val="auto"/>
                      <w:sz w:val="18"/>
                      <w:szCs w:val="18"/>
                    </w:rPr>
                  </w:pPr>
                  <w:r>
                    <w:rPr>
                      <w:rFonts w:hint="eastAsia" w:cs="Times New Roman"/>
                      <w:color w:val="auto"/>
                      <w:sz w:val="18"/>
                      <w:szCs w:val="18"/>
                    </w:rPr>
                    <w:t>不锈钢壳体</w:t>
                  </w:r>
                </w:p>
              </w:tc>
              <w:tc>
                <w:tcPr>
                  <w:tcW w:w="1337" w:type="dxa"/>
                  <w:vAlign w:val="center"/>
                </w:tcPr>
                <w:p>
                  <w:pPr>
                    <w:jc w:val="center"/>
                    <w:rPr>
                      <w:rFonts w:cs="Times New Roman"/>
                      <w:color w:val="auto"/>
                      <w:sz w:val="18"/>
                      <w:szCs w:val="18"/>
                    </w:rPr>
                  </w:pPr>
                  <w:r>
                    <w:rPr>
                      <w:rFonts w:hint="eastAsia" w:cs="Times New Roman"/>
                      <w:color w:val="auto"/>
                      <w:sz w:val="18"/>
                      <w:szCs w:val="18"/>
                    </w:rPr>
                    <w:t>万套/年</w:t>
                  </w:r>
                </w:p>
              </w:tc>
              <w:tc>
                <w:tcPr>
                  <w:tcW w:w="1538" w:type="dxa"/>
                  <w:vAlign w:val="center"/>
                </w:tcPr>
                <w:p>
                  <w:pPr>
                    <w:jc w:val="center"/>
                    <w:rPr>
                      <w:rFonts w:cs="Times New Roman"/>
                      <w:color w:val="auto"/>
                      <w:sz w:val="18"/>
                      <w:szCs w:val="18"/>
                    </w:rPr>
                  </w:pPr>
                  <w:r>
                    <w:rPr>
                      <w:rFonts w:hint="eastAsia" w:cs="Times New Roman"/>
                      <w:color w:val="auto"/>
                      <w:sz w:val="18"/>
                      <w:szCs w:val="18"/>
                    </w:rPr>
                    <w:t>30</w:t>
                  </w:r>
                </w:p>
              </w:tc>
              <w:tc>
                <w:tcPr>
                  <w:tcW w:w="2085" w:type="dxa"/>
                </w:tcPr>
                <w:p>
                  <w:pPr>
                    <w:tabs>
                      <w:tab w:val="left" w:pos="2940"/>
                    </w:tabs>
                    <w:jc w:val="center"/>
                    <w:rPr>
                      <w:color w:val="auto"/>
                      <w:sz w:val="18"/>
                      <w:szCs w:val="18"/>
                    </w:rPr>
                  </w:pPr>
                  <w:r>
                    <w:rPr>
                      <w:rFonts w:hint="eastAsia"/>
                      <w:color w:val="auto"/>
                      <w:sz w:val="18"/>
                      <w:szCs w:val="18"/>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117" w:type="dxa"/>
                  <w:vMerge w:val="restart"/>
                  <w:vAlign w:val="center"/>
                </w:tcPr>
                <w:p>
                  <w:pPr>
                    <w:jc w:val="center"/>
                    <w:rPr>
                      <w:rFonts w:cs="Times New Roman"/>
                      <w:color w:val="auto"/>
                      <w:sz w:val="18"/>
                      <w:szCs w:val="18"/>
                    </w:rPr>
                  </w:pPr>
                  <w:r>
                    <w:rPr>
                      <w:rFonts w:cs="Times New Roman"/>
                      <w:color w:val="auto"/>
                      <w:sz w:val="18"/>
                      <w:szCs w:val="18"/>
                    </w:rPr>
                    <w:t>能源</w:t>
                  </w:r>
                </w:p>
              </w:tc>
              <w:tc>
                <w:tcPr>
                  <w:tcW w:w="2463" w:type="dxa"/>
                  <w:vAlign w:val="center"/>
                </w:tcPr>
                <w:p>
                  <w:pPr>
                    <w:jc w:val="center"/>
                    <w:rPr>
                      <w:rFonts w:cs="Times New Roman"/>
                      <w:color w:val="auto"/>
                      <w:sz w:val="18"/>
                      <w:szCs w:val="18"/>
                    </w:rPr>
                  </w:pPr>
                  <w:r>
                    <w:rPr>
                      <w:rFonts w:cs="Times New Roman"/>
                      <w:color w:val="auto"/>
                      <w:sz w:val="18"/>
                      <w:szCs w:val="18"/>
                    </w:rPr>
                    <w:t>水</w:t>
                  </w:r>
                </w:p>
              </w:tc>
              <w:tc>
                <w:tcPr>
                  <w:tcW w:w="1337" w:type="dxa"/>
                  <w:vAlign w:val="center"/>
                </w:tcPr>
                <w:p>
                  <w:pPr>
                    <w:jc w:val="center"/>
                    <w:rPr>
                      <w:rFonts w:cs="Times New Roman"/>
                      <w:color w:val="auto"/>
                      <w:sz w:val="18"/>
                      <w:szCs w:val="18"/>
                    </w:rPr>
                  </w:pPr>
                  <w:r>
                    <w:rPr>
                      <w:rFonts w:cs="Times New Roman"/>
                      <w:color w:val="auto"/>
                      <w:sz w:val="18"/>
                      <w:szCs w:val="18"/>
                    </w:rPr>
                    <w:t>-</w:t>
                  </w:r>
                </w:p>
              </w:tc>
              <w:tc>
                <w:tcPr>
                  <w:tcW w:w="1538" w:type="dxa"/>
                  <w:vAlign w:val="center"/>
                </w:tcPr>
                <w:p>
                  <w:pPr>
                    <w:jc w:val="center"/>
                    <w:rPr>
                      <w:rFonts w:cs="Times New Roman"/>
                      <w:color w:val="auto"/>
                      <w:sz w:val="18"/>
                      <w:szCs w:val="18"/>
                    </w:rPr>
                  </w:pPr>
                  <w:r>
                    <w:rPr>
                      <w:rFonts w:hint="eastAsia" w:cs="Times New Roman"/>
                      <w:color w:val="auto"/>
                      <w:sz w:val="18"/>
                      <w:szCs w:val="18"/>
                    </w:rPr>
                    <w:t>604</w:t>
                  </w:r>
                </w:p>
              </w:tc>
              <w:tc>
                <w:tcPr>
                  <w:tcW w:w="2085" w:type="dxa"/>
                  <w:vAlign w:val="center"/>
                </w:tcPr>
                <w:p>
                  <w:pPr>
                    <w:jc w:val="center"/>
                    <w:rPr>
                      <w:rFonts w:cs="Times New Roman"/>
                      <w:color w:val="auto"/>
                      <w:sz w:val="18"/>
                      <w:szCs w:val="18"/>
                    </w:rPr>
                  </w:pPr>
                  <w:r>
                    <w:rPr>
                      <w:rFonts w:hint="eastAsia" w:cs="Times New Roman"/>
                      <w:color w:val="auto"/>
                      <w:sz w:val="18"/>
                      <w:szCs w:val="18"/>
                    </w:rPr>
                    <w:t>自来水管网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17" w:type="dxa"/>
                  <w:vMerge w:val="continue"/>
                  <w:vAlign w:val="center"/>
                </w:tcPr>
                <w:p>
                  <w:pPr>
                    <w:jc w:val="center"/>
                    <w:rPr>
                      <w:rFonts w:cs="Times New Roman"/>
                      <w:color w:val="auto"/>
                      <w:sz w:val="18"/>
                      <w:szCs w:val="18"/>
                    </w:rPr>
                  </w:pPr>
                </w:p>
              </w:tc>
              <w:tc>
                <w:tcPr>
                  <w:tcW w:w="2463" w:type="dxa"/>
                  <w:vAlign w:val="center"/>
                </w:tcPr>
                <w:p>
                  <w:pPr>
                    <w:jc w:val="center"/>
                    <w:rPr>
                      <w:rFonts w:cs="Times New Roman"/>
                      <w:color w:val="auto"/>
                      <w:sz w:val="18"/>
                      <w:szCs w:val="18"/>
                    </w:rPr>
                  </w:pPr>
                  <w:r>
                    <w:rPr>
                      <w:rFonts w:cs="Times New Roman"/>
                      <w:color w:val="auto"/>
                      <w:sz w:val="18"/>
                      <w:szCs w:val="18"/>
                    </w:rPr>
                    <w:t>电</w:t>
                  </w:r>
                </w:p>
              </w:tc>
              <w:tc>
                <w:tcPr>
                  <w:tcW w:w="1337" w:type="dxa"/>
                  <w:vAlign w:val="center"/>
                </w:tcPr>
                <w:p>
                  <w:pPr>
                    <w:jc w:val="center"/>
                    <w:rPr>
                      <w:rFonts w:cs="Times New Roman"/>
                      <w:color w:val="auto"/>
                      <w:sz w:val="18"/>
                      <w:szCs w:val="18"/>
                    </w:rPr>
                  </w:pPr>
                  <w:r>
                    <w:rPr>
                      <w:rFonts w:hint="eastAsia" w:cs="Times New Roman"/>
                      <w:color w:val="auto"/>
                      <w:sz w:val="18"/>
                      <w:szCs w:val="18"/>
                    </w:rPr>
                    <w:t>万kwh/a</w:t>
                  </w:r>
                </w:p>
              </w:tc>
              <w:tc>
                <w:tcPr>
                  <w:tcW w:w="1538" w:type="dxa"/>
                  <w:vAlign w:val="center"/>
                </w:tcPr>
                <w:p>
                  <w:pPr>
                    <w:jc w:val="center"/>
                    <w:rPr>
                      <w:rFonts w:cs="Times New Roman"/>
                      <w:color w:val="auto"/>
                      <w:sz w:val="18"/>
                      <w:szCs w:val="18"/>
                    </w:rPr>
                  </w:pPr>
                  <w:r>
                    <w:rPr>
                      <w:rFonts w:hint="eastAsia" w:cs="Times New Roman"/>
                      <w:color w:val="auto"/>
                      <w:sz w:val="18"/>
                      <w:szCs w:val="18"/>
                      <w:lang w:val="en-US" w:eastAsia="zh-CN"/>
                    </w:rPr>
                    <w:t>1</w:t>
                  </w:r>
                  <w:r>
                    <w:rPr>
                      <w:rFonts w:hint="eastAsia" w:cs="Times New Roman"/>
                      <w:color w:val="auto"/>
                      <w:sz w:val="18"/>
                      <w:szCs w:val="18"/>
                    </w:rPr>
                    <w:t>6</w:t>
                  </w:r>
                </w:p>
              </w:tc>
              <w:tc>
                <w:tcPr>
                  <w:tcW w:w="2085" w:type="dxa"/>
                  <w:vAlign w:val="center"/>
                </w:tcPr>
                <w:p>
                  <w:pPr>
                    <w:jc w:val="center"/>
                    <w:rPr>
                      <w:rFonts w:cs="Times New Roman"/>
                      <w:color w:val="auto"/>
                      <w:sz w:val="18"/>
                      <w:szCs w:val="18"/>
                    </w:rPr>
                  </w:pPr>
                  <w:r>
                    <w:rPr>
                      <w:rFonts w:hint="eastAsia" w:cs="Times New Roman"/>
                      <w:color w:val="auto"/>
                      <w:sz w:val="18"/>
                      <w:szCs w:val="18"/>
                    </w:rPr>
                    <w:t>市政供电</w:t>
                  </w:r>
                </w:p>
              </w:tc>
            </w:tr>
          </w:tbl>
          <w:p>
            <w:pPr>
              <w:pStyle w:val="21"/>
              <w:ind w:firstLine="420"/>
              <w:rPr>
                <w:color w:val="auto"/>
              </w:rPr>
            </w:pPr>
            <w:r>
              <w:rPr>
                <w:rFonts w:hint="eastAsia"/>
                <w:color w:val="auto"/>
              </w:rPr>
              <w:t xml:space="preserve">                       </w:t>
            </w:r>
            <w:r>
              <w:rPr>
                <w:color w:val="auto"/>
              </w:rPr>
              <w:t>主要原辅材料理化性质一览表</w:t>
            </w:r>
          </w:p>
          <w:tbl>
            <w:tblPr>
              <w:tblStyle w:val="26"/>
              <w:tblW w:w="85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73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43" w:type="dxa"/>
                  <w:vAlign w:val="center"/>
                </w:tcPr>
                <w:p>
                  <w:pPr>
                    <w:adjustRightInd w:val="0"/>
                    <w:snapToGrid w:val="0"/>
                    <w:jc w:val="center"/>
                    <w:rPr>
                      <w:rFonts w:cs="Times New Roman" w:eastAsiaTheme="minorEastAsia"/>
                      <w:color w:val="auto"/>
                      <w:sz w:val="18"/>
                      <w:szCs w:val="18"/>
                    </w:rPr>
                  </w:pPr>
                  <w:r>
                    <w:rPr>
                      <w:rFonts w:cs="Times New Roman" w:eastAsiaTheme="minorEastAsia"/>
                      <w:color w:val="auto"/>
                      <w:sz w:val="18"/>
                      <w:szCs w:val="18"/>
                    </w:rPr>
                    <w:t>原料名称</w:t>
                  </w:r>
                </w:p>
              </w:tc>
              <w:tc>
                <w:tcPr>
                  <w:tcW w:w="7397" w:type="dxa"/>
                  <w:vAlign w:val="center"/>
                </w:tcPr>
                <w:p>
                  <w:pPr>
                    <w:adjustRightInd w:val="0"/>
                    <w:snapToGrid w:val="0"/>
                    <w:jc w:val="center"/>
                    <w:rPr>
                      <w:rFonts w:cs="Times New Roman" w:eastAsiaTheme="minorEastAsia"/>
                      <w:color w:val="auto"/>
                      <w:sz w:val="18"/>
                      <w:szCs w:val="18"/>
                    </w:rPr>
                  </w:pPr>
                  <w:r>
                    <w:rPr>
                      <w:rFonts w:cs="Times New Roman" w:eastAsiaTheme="minorEastAsia"/>
                      <w:color w:val="auto"/>
                      <w:sz w:val="18"/>
                      <w:szCs w:val="18"/>
                    </w:rPr>
                    <w:t>理化性质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143" w:type="dxa"/>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 xml:space="preserve">铈锆氧化物粉末 </w:t>
                  </w:r>
                </w:p>
              </w:tc>
              <w:tc>
                <w:tcPr>
                  <w:tcW w:w="7397" w:type="dxa"/>
                  <w:vAlign w:val="center"/>
                </w:tcPr>
                <w:p>
                  <w:pPr>
                    <w:widowControl/>
                    <w:rPr>
                      <w:rFonts w:cs="Times New Roman" w:eastAsiaTheme="minorEastAsia"/>
                      <w:color w:val="auto"/>
                      <w:spacing w:val="-4"/>
                      <w:sz w:val="18"/>
                      <w:szCs w:val="18"/>
                    </w:rPr>
                  </w:pPr>
                  <w:r>
                    <w:rPr>
                      <w:rFonts w:hint="eastAsia" w:cs="Times New Roman" w:eastAsiaTheme="minorEastAsia"/>
                      <w:color w:val="auto"/>
                      <w:spacing w:val="-4"/>
                      <w:sz w:val="18"/>
                      <w:szCs w:val="18"/>
                    </w:rPr>
                    <w:t>黄色粉末、无毒、无味，化学性质稳定，热导率低，耐热冲击性好。主要成分为Zr(Hf)O</w:t>
                  </w:r>
                  <w:r>
                    <w:rPr>
                      <w:rFonts w:hint="eastAsia" w:cs="Times New Roman" w:eastAsiaTheme="minorEastAsia"/>
                      <w:color w:val="auto"/>
                      <w:spacing w:val="-4"/>
                      <w:sz w:val="18"/>
                      <w:szCs w:val="18"/>
                      <w:vertAlign w:val="subscript"/>
                    </w:rPr>
                    <w:t>2</w:t>
                  </w:r>
                  <w:r>
                    <w:rPr>
                      <w:rFonts w:hint="eastAsia" w:cs="Times New Roman" w:eastAsiaTheme="minorEastAsia"/>
                      <w:color w:val="auto"/>
                      <w:spacing w:val="-4"/>
                      <w:sz w:val="18"/>
                      <w:szCs w:val="18"/>
                    </w:rPr>
                    <w:t>占57.59%，CeO</w:t>
                  </w:r>
                  <w:r>
                    <w:rPr>
                      <w:rFonts w:hint="eastAsia" w:cs="Times New Roman" w:eastAsiaTheme="minorEastAsia"/>
                      <w:color w:val="auto"/>
                      <w:spacing w:val="-4"/>
                      <w:sz w:val="18"/>
                      <w:szCs w:val="18"/>
                      <w:vertAlign w:val="subscript"/>
                    </w:rPr>
                    <w:t>2</w:t>
                  </w:r>
                  <w:r>
                    <w:rPr>
                      <w:rFonts w:hint="eastAsia" w:cs="Times New Roman" w:eastAsiaTheme="minorEastAsia"/>
                      <w:color w:val="auto"/>
                      <w:spacing w:val="-4"/>
                      <w:sz w:val="18"/>
                      <w:szCs w:val="18"/>
                    </w:rPr>
                    <w:t>占28.53%，Nd</w:t>
                  </w:r>
                  <w:r>
                    <w:rPr>
                      <w:rFonts w:hint="eastAsia" w:cs="Times New Roman" w:eastAsiaTheme="minorEastAsia"/>
                      <w:color w:val="auto"/>
                      <w:spacing w:val="-4"/>
                      <w:sz w:val="18"/>
                      <w:szCs w:val="18"/>
                      <w:vertAlign w:val="subscript"/>
                    </w:rPr>
                    <w:t>2</w:t>
                  </w:r>
                  <w:r>
                    <w:rPr>
                      <w:rFonts w:hint="eastAsia" w:cs="Times New Roman" w:eastAsiaTheme="minorEastAsia"/>
                      <w:color w:val="auto"/>
                      <w:spacing w:val="-4"/>
                      <w:sz w:val="18"/>
                      <w:szCs w:val="18"/>
                    </w:rPr>
                    <w:t>O</w:t>
                  </w:r>
                  <w:r>
                    <w:rPr>
                      <w:rFonts w:hint="eastAsia" w:cs="Times New Roman" w:eastAsiaTheme="minorEastAsia"/>
                      <w:color w:val="auto"/>
                      <w:spacing w:val="-4"/>
                      <w:sz w:val="18"/>
                      <w:szCs w:val="18"/>
                      <w:vertAlign w:val="subscript"/>
                    </w:rPr>
                    <w:t>3</w:t>
                  </w:r>
                  <w:r>
                    <w:rPr>
                      <w:rFonts w:hint="eastAsia" w:cs="Times New Roman" w:eastAsiaTheme="minorEastAsia"/>
                      <w:color w:val="auto"/>
                      <w:spacing w:val="-4"/>
                      <w:sz w:val="18"/>
                      <w:szCs w:val="18"/>
                    </w:rPr>
                    <w:t>占6.93%，Pr</w:t>
                  </w:r>
                  <w:r>
                    <w:rPr>
                      <w:rFonts w:hint="eastAsia" w:cs="Times New Roman" w:eastAsiaTheme="minorEastAsia"/>
                      <w:color w:val="auto"/>
                      <w:spacing w:val="-4"/>
                      <w:sz w:val="18"/>
                      <w:szCs w:val="18"/>
                      <w:vertAlign w:val="subscript"/>
                    </w:rPr>
                    <w:t>6</w:t>
                  </w:r>
                  <w:r>
                    <w:rPr>
                      <w:rFonts w:hint="eastAsia" w:cs="Times New Roman" w:eastAsiaTheme="minorEastAsia"/>
                      <w:color w:val="auto"/>
                      <w:spacing w:val="-4"/>
                      <w:sz w:val="18"/>
                      <w:szCs w:val="18"/>
                    </w:rPr>
                    <w:t>O</w:t>
                  </w:r>
                  <w:r>
                    <w:rPr>
                      <w:rFonts w:hint="eastAsia" w:cs="Times New Roman" w:eastAsiaTheme="minorEastAsia"/>
                      <w:color w:val="auto"/>
                      <w:spacing w:val="-4"/>
                      <w:sz w:val="18"/>
                      <w:szCs w:val="18"/>
                      <w:vertAlign w:val="subscript"/>
                    </w:rPr>
                    <w:t>11</w:t>
                  </w:r>
                  <w:r>
                    <w:rPr>
                      <w:rFonts w:hint="eastAsia" w:cs="Times New Roman" w:eastAsiaTheme="minorEastAsia"/>
                      <w:color w:val="auto"/>
                      <w:spacing w:val="-4"/>
                      <w:sz w:val="18"/>
                      <w:szCs w:val="18"/>
                    </w:rPr>
                    <w:t>占6.95%。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铝胶</w:t>
                  </w:r>
                </w:p>
              </w:tc>
              <w:tc>
                <w:tcPr>
                  <w:tcW w:w="7397" w:type="dxa"/>
                  <w:vAlign w:val="center"/>
                </w:tcPr>
                <w:p>
                  <w:pPr>
                    <w:widowControl/>
                    <w:rPr>
                      <w:rFonts w:cs="Times New Roman" w:eastAsiaTheme="minorEastAsia"/>
                      <w:color w:val="auto"/>
                      <w:sz w:val="18"/>
                      <w:szCs w:val="18"/>
                    </w:rPr>
                  </w:pPr>
                  <w:r>
                    <w:rPr>
                      <w:rFonts w:hint="eastAsia" w:cs="Times New Roman" w:eastAsiaTheme="minorEastAsia"/>
                      <w:b/>
                      <w:bCs/>
                      <w:color w:val="auto"/>
                      <w:sz w:val="18"/>
                      <w:szCs w:val="18"/>
                      <w:u w:val="single"/>
                    </w:rPr>
                    <w:t>拟薄水铝石又名一水合氧化铝、假</w:t>
                  </w:r>
                  <w:r>
                    <w:rPr>
                      <w:b/>
                      <w:bCs/>
                      <w:color w:val="auto"/>
                      <w:u w:val="single"/>
                    </w:rPr>
                    <w:fldChar w:fldCharType="begin"/>
                  </w:r>
                  <w:r>
                    <w:rPr>
                      <w:b/>
                      <w:bCs/>
                      <w:color w:val="auto"/>
                      <w:u w:val="single"/>
                    </w:rPr>
                    <w:instrText xml:space="preserve"> HYPERLINK "https://baike.baidu.com/item/%E4%B8%80%E6%B0%B4%E8%BD%AF%E9%93%9D%E7%9F%B3/3637504" \t "https://baike.baidu.com/item/%E6%8B%9F%E8%96%84%E6%B0%B4%E9%93%9D%E7%9F%B3/_blank" </w:instrText>
                  </w:r>
                  <w:r>
                    <w:rPr>
                      <w:b/>
                      <w:bCs/>
                      <w:color w:val="auto"/>
                      <w:u w:val="single"/>
                    </w:rPr>
                    <w:fldChar w:fldCharType="separate"/>
                  </w:r>
                  <w:r>
                    <w:rPr>
                      <w:rFonts w:cs="Times New Roman" w:eastAsiaTheme="minorEastAsia"/>
                      <w:b/>
                      <w:bCs/>
                      <w:color w:val="auto"/>
                      <w:sz w:val="18"/>
                      <w:szCs w:val="18"/>
                      <w:u w:val="single"/>
                    </w:rPr>
                    <w:t>一水软铝石</w:t>
                  </w:r>
                  <w:r>
                    <w:rPr>
                      <w:rFonts w:cs="Times New Roman" w:eastAsiaTheme="minorEastAsia"/>
                      <w:b/>
                      <w:bCs/>
                      <w:color w:val="auto"/>
                      <w:sz w:val="18"/>
                      <w:szCs w:val="18"/>
                      <w:u w:val="single"/>
                    </w:rPr>
                    <w:fldChar w:fldCharType="end"/>
                  </w:r>
                  <w:r>
                    <w:rPr>
                      <w:rFonts w:cs="Times New Roman" w:eastAsiaTheme="minorEastAsia"/>
                      <w:b/>
                      <w:bCs/>
                      <w:color w:val="auto"/>
                      <w:sz w:val="18"/>
                      <w:szCs w:val="18"/>
                      <w:u w:val="single"/>
                    </w:rPr>
                    <w:t>，无毒、无味、无臭、白色胶体状（湿品）或粉末（干品），晶相纯度高、</w:t>
                  </w:r>
                  <w:r>
                    <w:rPr>
                      <w:b/>
                      <w:bCs/>
                      <w:color w:val="auto"/>
                      <w:u w:val="single"/>
                    </w:rPr>
                    <w:fldChar w:fldCharType="begin"/>
                  </w:r>
                  <w:r>
                    <w:rPr>
                      <w:b/>
                      <w:bCs/>
                      <w:color w:val="auto"/>
                      <w:u w:val="single"/>
                    </w:rPr>
                    <w:instrText xml:space="preserve"> HYPERLINK "https://baike.baidu.com/item/%E8%83%B6%E6%BA%B6/4086164" \t "https://baike.baidu.com/item/%E6%8B%9F%E8%96%84%E6%B0%B4%E9%93%9D%E7%9F%B3/_blank" </w:instrText>
                  </w:r>
                  <w:r>
                    <w:rPr>
                      <w:b/>
                      <w:bCs/>
                      <w:color w:val="auto"/>
                      <w:u w:val="single"/>
                    </w:rPr>
                    <w:fldChar w:fldCharType="separate"/>
                  </w:r>
                  <w:r>
                    <w:rPr>
                      <w:rFonts w:cs="Times New Roman" w:eastAsiaTheme="minorEastAsia"/>
                      <w:b/>
                      <w:bCs/>
                      <w:color w:val="auto"/>
                      <w:sz w:val="18"/>
                      <w:szCs w:val="18"/>
                      <w:u w:val="single"/>
                    </w:rPr>
                    <w:t>胶溶</w:t>
                  </w:r>
                  <w:r>
                    <w:rPr>
                      <w:rFonts w:cs="Times New Roman" w:eastAsiaTheme="minorEastAsia"/>
                      <w:b/>
                      <w:bCs/>
                      <w:color w:val="auto"/>
                      <w:sz w:val="18"/>
                      <w:szCs w:val="18"/>
                      <w:u w:val="single"/>
                    </w:rPr>
                    <w:fldChar w:fldCharType="end"/>
                  </w:r>
                  <w:r>
                    <w:rPr>
                      <w:rFonts w:cs="Times New Roman" w:eastAsiaTheme="minorEastAsia"/>
                      <w:b/>
                      <w:bCs/>
                      <w:color w:val="auto"/>
                      <w:sz w:val="18"/>
                      <w:szCs w:val="18"/>
                      <w:u w:val="single"/>
                    </w:rPr>
                    <w:t>性能好，粘结性强，具有比表面高、</w:t>
                  </w:r>
                  <w:r>
                    <w:rPr>
                      <w:b/>
                      <w:bCs/>
                      <w:color w:val="auto"/>
                      <w:u w:val="single"/>
                    </w:rPr>
                    <w:fldChar w:fldCharType="begin"/>
                  </w:r>
                  <w:r>
                    <w:rPr>
                      <w:b/>
                      <w:bCs/>
                      <w:color w:val="auto"/>
                      <w:u w:val="single"/>
                    </w:rPr>
                    <w:instrText xml:space="preserve"> HYPERLINK "https://baike.baidu.com/item/%E5%AD%94%E5%AE%B9/3624718" \t "https://baike.baidu.com/item/%E6%8B%9F%E8%96%84%E6%B0%B4%E9%93%9D%E7%9F%B3/_blank" </w:instrText>
                  </w:r>
                  <w:r>
                    <w:rPr>
                      <w:b/>
                      <w:bCs/>
                      <w:color w:val="auto"/>
                      <w:u w:val="single"/>
                    </w:rPr>
                    <w:fldChar w:fldCharType="separate"/>
                  </w:r>
                  <w:r>
                    <w:rPr>
                      <w:rFonts w:cs="Times New Roman" w:eastAsiaTheme="minorEastAsia"/>
                      <w:b/>
                      <w:bCs/>
                      <w:color w:val="auto"/>
                      <w:sz w:val="18"/>
                      <w:szCs w:val="18"/>
                      <w:u w:val="single"/>
                    </w:rPr>
                    <w:t>孔容</w:t>
                  </w:r>
                  <w:r>
                    <w:rPr>
                      <w:rFonts w:cs="Times New Roman" w:eastAsiaTheme="minorEastAsia"/>
                      <w:b/>
                      <w:bCs/>
                      <w:color w:val="auto"/>
                      <w:sz w:val="18"/>
                      <w:szCs w:val="18"/>
                      <w:u w:val="single"/>
                    </w:rPr>
                    <w:fldChar w:fldCharType="end"/>
                  </w:r>
                  <w:r>
                    <w:rPr>
                      <w:rFonts w:cs="Times New Roman" w:eastAsiaTheme="minorEastAsia"/>
                      <w:b/>
                      <w:bCs/>
                      <w:color w:val="auto"/>
                      <w:sz w:val="18"/>
                      <w:szCs w:val="18"/>
                      <w:u w:val="single"/>
                    </w:rPr>
                    <w:t>大等特点，其含水态为</w:t>
                  </w:r>
                  <w:r>
                    <w:rPr>
                      <w:b/>
                      <w:bCs/>
                      <w:color w:val="auto"/>
                      <w:u w:val="single"/>
                    </w:rPr>
                    <w:fldChar w:fldCharType="begin"/>
                  </w:r>
                  <w:r>
                    <w:rPr>
                      <w:b/>
                      <w:bCs/>
                      <w:color w:val="auto"/>
                      <w:u w:val="single"/>
                    </w:rPr>
                    <w:instrText xml:space="preserve"> HYPERLINK "https://baike.baidu.com/item/%E8%A7%A6%E5%8F%98%E6%80%A7/4990060" \t "https://baike.baidu.com/item/%E6%8B%9F%E8%96%84%E6%B0%B4%E9%93%9D%E7%9F%B3/_blank" </w:instrText>
                  </w:r>
                  <w:r>
                    <w:rPr>
                      <w:b/>
                      <w:bCs/>
                      <w:color w:val="auto"/>
                      <w:u w:val="single"/>
                    </w:rPr>
                    <w:fldChar w:fldCharType="separate"/>
                  </w:r>
                  <w:r>
                    <w:rPr>
                      <w:rFonts w:cs="Times New Roman" w:eastAsiaTheme="minorEastAsia"/>
                      <w:b/>
                      <w:bCs/>
                      <w:color w:val="auto"/>
                      <w:sz w:val="18"/>
                      <w:szCs w:val="18"/>
                      <w:u w:val="single"/>
                    </w:rPr>
                    <w:t>触变性</w:t>
                  </w:r>
                  <w:r>
                    <w:rPr>
                      <w:rFonts w:cs="Times New Roman" w:eastAsiaTheme="minorEastAsia"/>
                      <w:b/>
                      <w:bCs/>
                      <w:color w:val="auto"/>
                      <w:sz w:val="18"/>
                      <w:szCs w:val="18"/>
                      <w:u w:val="single"/>
                    </w:rPr>
                    <w:fldChar w:fldCharType="end"/>
                  </w:r>
                  <w:r>
                    <w:rPr>
                      <w:rFonts w:cs="Times New Roman" w:eastAsiaTheme="minorEastAsia"/>
                      <w:b/>
                      <w:bCs/>
                      <w:color w:val="auto"/>
                      <w:sz w:val="18"/>
                      <w:szCs w:val="18"/>
                      <w:u w:val="single"/>
                    </w:rPr>
                    <w:t>凝胶。其于400～700℃间</w:t>
                  </w:r>
                  <w:r>
                    <w:rPr>
                      <w:b/>
                      <w:bCs/>
                      <w:color w:val="auto"/>
                      <w:u w:val="single"/>
                    </w:rPr>
                    <w:fldChar w:fldCharType="begin"/>
                  </w:r>
                  <w:r>
                    <w:rPr>
                      <w:b/>
                      <w:bCs/>
                      <w:color w:val="auto"/>
                      <w:u w:val="single"/>
                    </w:rPr>
                    <w:instrText xml:space="preserve"> HYPERLINK "https://baike.baidu.com/item/%E7%84%99%E7%83%A7/1123905" \t "https://baike.baidu.com/item/%E6%8B%9F%E8%96%84%E6%B0%B4%E9%93%9D%E7%9F%B3/_blank" </w:instrText>
                  </w:r>
                  <w:r>
                    <w:rPr>
                      <w:b/>
                      <w:bCs/>
                      <w:color w:val="auto"/>
                      <w:u w:val="single"/>
                    </w:rPr>
                    <w:fldChar w:fldCharType="separate"/>
                  </w:r>
                  <w:r>
                    <w:rPr>
                      <w:rFonts w:cs="Times New Roman" w:eastAsiaTheme="minorEastAsia"/>
                      <w:b/>
                      <w:bCs/>
                      <w:color w:val="auto"/>
                      <w:sz w:val="18"/>
                      <w:szCs w:val="18"/>
                      <w:u w:val="single"/>
                    </w:rPr>
                    <w:t>焙烧</w:t>
                  </w:r>
                  <w:r>
                    <w:rPr>
                      <w:rFonts w:cs="Times New Roman" w:eastAsiaTheme="minorEastAsia"/>
                      <w:b/>
                      <w:bCs/>
                      <w:color w:val="auto"/>
                      <w:sz w:val="18"/>
                      <w:szCs w:val="18"/>
                      <w:u w:val="single"/>
                    </w:rPr>
                    <w:fldChar w:fldCharType="end"/>
                  </w:r>
                  <w:r>
                    <w:rPr>
                      <w:rFonts w:cs="Times New Roman" w:eastAsiaTheme="minorEastAsia"/>
                      <w:b/>
                      <w:bCs/>
                      <w:color w:val="auto"/>
                      <w:sz w:val="18"/>
                      <w:szCs w:val="18"/>
                      <w:u w:val="single"/>
                    </w:rPr>
                    <w:t>的产品γ-Al</w:t>
                  </w:r>
                  <w:r>
                    <w:rPr>
                      <w:rFonts w:cs="Times New Roman" w:eastAsiaTheme="minorEastAsia"/>
                      <w:b/>
                      <w:bCs/>
                      <w:color w:val="auto"/>
                      <w:sz w:val="18"/>
                      <w:szCs w:val="18"/>
                      <w:u w:val="single"/>
                      <w:vertAlign w:val="subscript"/>
                    </w:rPr>
                    <w:t>2</w:t>
                  </w:r>
                  <w:r>
                    <w:rPr>
                      <w:rFonts w:cs="Times New Roman" w:eastAsiaTheme="minorEastAsia"/>
                      <w:b/>
                      <w:bCs/>
                      <w:color w:val="auto"/>
                      <w:sz w:val="18"/>
                      <w:szCs w:val="18"/>
                      <w:u w:val="single"/>
                    </w:rPr>
                    <w:t>O</w:t>
                  </w:r>
                  <w:r>
                    <w:rPr>
                      <w:rFonts w:cs="Times New Roman" w:eastAsiaTheme="minorEastAsia"/>
                      <w:b/>
                      <w:bCs/>
                      <w:color w:val="auto"/>
                      <w:sz w:val="18"/>
                      <w:szCs w:val="18"/>
                      <w:u w:val="single"/>
                      <w:vertAlign w:val="subscript"/>
                    </w:rPr>
                    <w:t>3</w:t>
                  </w:r>
                  <w:r>
                    <w:rPr>
                      <w:rFonts w:cs="Times New Roman" w:eastAsiaTheme="minorEastAsia"/>
                      <w:b/>
                      <w:bCs/>
                      <w:color w:val="auto"/>
                      <w:sz w:val="18"/>
                      <w:szCs w:val="18"/>
                      <w:u w:val="single"/>
                    </w:rPr>
                    <w:t>被广泛用作催化剂载体、催化剂和吸附剂等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活性氧化铝</w:t>
                  </w:r>
                </w:p>
              </w:tc>
              <w:tc>
                <w:tcPr>
                  <w:tcW w:w="7397" w:type="dxa"/>
                  <w:vAlign w:val="center"/>
                </w:tcPr>
                <w:p>
                  <w:pPr>
                    <w:widowControl/>
                    <w:rPr>
                      <w:rFonts w:cs="Times New Roman" w:eastAsiaTheme="minorEastAsia"/>
                      <w:color w:val="auto"/>
                      <w:sz w:val="18"/>
                      <w:szCs w:val="18"/>
                    </w:rPr>
                  </w:pPr>
                  <w:r>
                    <w:rPr>
                      <w:color w:val="auto"/>
                    </w:rPr>
                    <w:fldChar w:fldCharType="begin"/>
                  </w:r>
                  <w:r>
                    <w:rPr>
                      <w:color w:val="auto"/>
                    </w:rPr>
                    <w:instrText xml:space="preserve"> HYPERLINK "https://baike.baidu.com/item/%E6%B4%BB%E6%80%A7" \t "https://baike.baidu.com/item/_blank" </w:instrText>
                  </w:r>
                  <w:r>
                    <w:rPr>
                      <w:color w:val="auto"/>
                    </w:rPr>
                    <w:fldChar w:fldCharType="separate"/>
                  </w:r>
                  <w:r>
                    <w:rPr>
                      <w:rFonts w:cs="Times New Roman" w:eastAsiaTheme="minorEastAsia"/>
                      <w:color w:val="auto"/>
                      <w:sz w:val="18"/>
                      <w:szCs w:val="18"/>
                    </w:rPr>
                    <w:t>活性</w:t>
                  </w:r>
                  <w:r>
                    <w:rPr>
                      <w:rFonts w:cs="Times New Roman" w:eastAsiaTheme="minorEastAsia"/>
                      <w:color w:val="auto"/>
                      <w:sz w:val="18"/>
                      <w:szCs w:val="18"/>
                    </w:rPr>
                    <w:fldChar w:fldCharType="end"/>
                  </w:r>
                  <w:r>
                    <w:rPr>
                      <w:color w:val="auto"/>
                    </w:rPr>
                    <w:fldChar w:fldCharType="begin"/>
                  </w:r>
                  <w:r>
                    <w:rPr>
                      <w:color w:val="auto"/>
                    </w:rPr>
                    <w:instrText xml:space="preserve"> HYPERLINK "https://baike.baidu.com/item/%E6%B0%A7%E5%8C%96%E9%93%9D" \t "https://baike.baidu.com/item/_blank" </w:instrText>
                  </w:r>
                  <w:r>
                    <w:rPr>
                      <w:color w:val="auto"/>
                    </w:rPr>
                    <w:fldChar w:fldCharType="separate"/>
                  </w:r>
                  <w:r>
                    <w:rPr>
                      <w:rFonts w:cs="Times New Roman" w:eastAsiaTheme="minorEastAsia"/>
                      <w:color w:val="auto"/>
                      <w:sz w:val="18"/>
                      <w:szCs w:val="18"/>
                    </w:rPr>
                    <w:t>氧化铝</w:t>
                  </w:r>
                  <w:r>
                    <w:rPr>
                      <w:rFonts w:cs="Times New Roman" w:eastAsiaTheme="minorEastAsia"/>
                      <w:color w:val="auto"/>
                      <w:sz w:val="18"/>
                      <w:szCs w:val="18"/>
                    </w:rPr>
                    <w:fldChar w:fldCharType="end"/>
                  </w:r>
                  <w:r>
                    <w:rPr>
                      <w:rFonts w:cs="Times New Roman" w:eastAsiaTheme="minorEastAsia"/>
                      <w:color w:val="auto"/>
                      <w:sz w:val="18"/>
                      <w:szCs w:val="18"/>
                    </w:rPr>
                    <w:t>，又名活性</w:t>
                  </w:r>
                  <w:r>
                    <w:rPr>
                      <w:color w:val="auto"/>
                    </w:rPr>
                    <w:fldChar w:fldCharType="begin"/>
                  </w:r>
                  <w:r>
                    <w:rPr>
                      <w:color w:val="auto"/>
                    </w:rPr>
                    <w:instrText xml:space="preserve"> HYPERLINK "https://baike.baidu.com/item/%E7%9F%BE%E5%9C%9F/6226148" \t "https://baike.baidu.com/item/_blank" </w:instrText>
                  </w:r>
                  <w:r>
                    <w:rPr>
                      <w:color w:val="auto"/>
                    </w:rPr>
                    <w:fldChar w:fldCharType="separate"/>
                  </w:r>
                  <w:r>
                    <w:rPr>
                      <w:rFonts w:cs="Times New Roman" w:eastAsiaTheme="minorEastAsia"/>
                      <w:color w:val="auto"/>
                      <w:sz w:val="18"/>
                      <w:szCs w:val="18"/>
                    </w:rPr>
                    <w:t>矾土</w:t>
                  </w:r>
                  <w:r>
                    <w:rPr>
                      <w:rFonts w:cs="Times New Roman" w:eastAsiaTheme="minorEastAsia"/>
                      <w:color w:val="auto"/>
                      <w:sz w:val="18"/>
                      <w:szCs w:val="18"/>
                    </w:rPr>
                    <w:fldChar w:fldCharType="end"/>
                  </w:r>
                  <w:r>
                    <w:rPr>
                      <w:rFonts w:cs="Times New Roman" w:eastAsiaTheme="minorEastAsia"/>
                      <w:color w:val="auto"/>
                      <w:sz w:val="18"/>
                      <w:szCs w:val="18"/>
                    </w:rPr>
                    <w:t>，它是一种多孔性、高分散度的固体材料，有很大的表面积，其微孔表面具备催化作用所要求的特性，如吸附性能、表面活性、优良的热稳定性等，所以被广泛地用作化学反应的催化剂和</w:t>
                  </w:r>
                  <w:r>
                    <w:rPr>
                      <w:color w:val="auto"/>
                    </w:rPr>
                    <w:fldChar w:fldCharType="begin"/>
                  </w:r>
                  <w:r>
                    <w:rPr>
                      <w:color w:val="auto"/>
                    </w:rPr>
                    <w:instrText xml:space="preserve"> HYPERLINK "https://baike.baidu.com/item/%E5%82%AC%E5%8C%96%E5%89%82%E8%BD%BD%E4%BD%93/10479419" \t "https://baike.baidu.com/item/_blank" </w:instrText>
                  </w:r>
                  <w:r>
                    <w:rPr>
                      <w:color w:val="auto"/>
                    </w:rPr>
                    <w:fldChar w:fldCharType="separate"/>
                  </w:r>
                  <w:r>
                    <w:rPr>
                      <w:rFonts w:cs="Times New Roman" w:eastAsiaTheme="minorEastAsia"/>
                      <w:color w:val="auto"/>
                      <w:sz w:val="18"/>
                      <w:szCs w:val="18"/>
                    </w:rPr>
                    <w:t>催化剂载体</w:t>
                  </w:r>
                  <w:r>
                    <w:rPr>
                      <w:rFonts w:cs="Times New Roman" w:eastAsiaTheme="minorEastAsia"/>
                      <w:color w:val="auto"/>
                      <w:sz w:val="18"/>
                      <w:szCs w:val="18"/>
                    </w:rPr>
                    <w:fldChar w:fldCharType="end"/>
                  </w:r>
                  <w:r>
                    <w:rPr>
                      <w:rFonts w:cs="Times New Roman" w:eastAsiaTheme="minorEastAsia"/>
                      <w:color w:val="auto"/>
                      <w:sz w:val="18"/>
                      <w:szCs w:val="18"/>
                    </w:rPr>
                    <w:t>。化学式为Al</w:t>
                  </w:r>
                  <w:r>
                    <w:rPr>
                      <w:rFonts w:cs="Times New Roman" w:eastAsiaTheme="minorEastAsia"/>
                      <w:color w:val="auto"/>
                      <w:sz w:val="18"/>
                      <w:szCs w:val="18"/>
                      <w:vertAlign w:val="subscript"/>
                    </w:rPr>
                    <w:t>2</w:t>
                  </w:r>
                  <w:r>
                    <w:rPr>
                      <w:rFonts w:cs="Times New Roman" w:eastAsiaTheme="minorEastAsia"/>
                      <w:color w:val="auto"/>
                      <w:sz w:val="18"/>
                      <w:szCs w:val="18"/>
                    </w:rPr>
                    <w:t>O</w:t>
                  </w:r>
                  <w:r>
                    <w:rPr>
                      <w:rFonts w:cs="Times New Roman" w:eastAsiaTheme="minorEastAsia"/>
                      <w:color w:val="auto"/>
                      <w:sz w:val="18"/>
                      <w:szCs w:val="18"/>
                      <w:vertAlign w:val="subscript"/>
                    </w:rPr>
                    <w:t>3</w:t>
                  </w:r>
                  <w:r>
                    <w:rPr>
                      <w:rFonts w:cs="Times New Roman" w:eastAsiaTheme="minorEastAsia"/>
                      <w:color w:val="auto"/>
                      <w:sz w:val="18"/>
                      <w:szCs w:val="18"/>
                    </w:rPr>
                    <w:t>。白色粉末，密度3.9～4.0g/cm</w:t>
                  </w:r>
                  <w:r>
                    <w:rPr>
                      <w:rFonts w:cs="Times New Roman" w:eastAsiaTheme="minorEastAsia"/>
                      <w:color w:val="auto"/>
                      <w:sz w:val="18"/>
                      <w:szCs w:val="18"/>
                      <w:vertAlign w:val="superscript"/>
                    </w:rPr>
                    <w:t>3</w:t>
                  </w:r>
                  <w:r>
                    <w:rPr>
                      <w:rFonts w:cs="Times New Roman" w:eastAsiaTheme="minorEastAsia"/>
                      <w:color w:val="auto"/>
                      <w:sz w:val="18"/>
                      <w:szCs w:val="18"/>
                    </w:rPr>
                    <w:t>，熔点2050℃，沸点2980℃。其不溶于水，能缓慢溶于浓硫酸。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pPr>
                    <w:jc w:val="center"/>
                    <w:rPr>
                      <w:rFonts w:hint="default"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贵金属钯铂铑</w:t>
                  </w:r>
                </w:p>
              </w:tc>
              <w:tc>
                <w:tcPr>
                  <w:tcW w:w="7397" w:type="dxa"/>
                  <w:vAlign w:val="center"/>
                </w:tcPr>
                <w:p>
                  <w:pPr>
                    <w:widowControl/>
                    <w:rPr>
                      <w:rFonts w:hint="eastAsia" w:cs="Times New Roman" w:eastAsiaTheme="minorEastAsia"/>
                      <w:color w:val="auto"/>
                      <w:sz w:val="18"/>
                      <w:szCs w:val="18"/>
                      <w:lang w:eastAsia="zh-CN"/>
                    </w:rPr>
                  </w:pPr>
                  <w:r>
                    <w:rPr>
                      <w:rFonts w:hint="eastAsia" w:cs="Times New Roman" w:eastAsiaTheme="minorEastAsia"/>
                      <w:b/>
                      <w:bCs/>
                      <w:color w:val="auto"/>
                      <w:sz w:val="18"/>
                      <w:szCs w:val="18"/>
                      <w:u w:val="single"/>
                      <w:lang w:val="en-US" w:eastAsia="zh-CN"/>
                    </w:rPr>
                    <w:t>均属于</w:t>
                  </w:r>
                  <w:r>
                    <w:rPr>
                      <w:rFonts w:hint="eastAsia" w:cs="Times New Roman" w:eastAsiaTheme="minorEastAsia"/>
                      <w:b/>
                      <w:bCs/>
                      <w:color w:val="auto"/>
                      <w:sz w:val="18"/>
                      <w:szCs w:val="18"/>
                      <w:u w:val="single"/>
                    </w:rPr>
                    <w:t>第五周期Ⅷ族铂系元素，</w:t>
                  </w:r>
                  <w:r>
                    <w:rPr>
                      <w:rFonts w:hint="eastAsia" w:cs="Times New Roman" w:eastAsiaTheme="minorEastAsia"/>
                      <w:b/>
                      <w:bCs/>
                      <w:color w:val="auto"/>
                      <w:sz w:val="18"/>
                      <w:szCs w:val="18"/>
                      <w:u w:val="single"/>
                      <w:lang w:val="en-US" w:eastAsia="zh-CN"/>
                    </w:rPr>
                    <w:t>属于</w:t>
                  </w:r>
                  <w:r>
                    <w:rPr>
                      <w:rFonts w:hint="eastAsia" w:cs="Times New Roman" w:eastAsiaTheme="minorEastAsia"/>
                      <w:b/>
                      <w:bCs/>
                      <w:color w:val="auto"/>
                      <w:sz w:val="18"/>
                      <w:szCs w:val="18"/>
                      <w:u w:val="single"/>
                    </w:rPr>
                    <w:fldChar w:fldCharType="begin"/>
                  </w:r>
                  <w:r>
                    <w:rPr>
                      <w:rFonts w:hint="eastAsia" w:cs="Times New Roman" w:eastAsiaTheme="minorEastAsia"/>
                      <w:b/>
                      <w:bCs/>
                      <w:color w:val="auto"/>
                      <w:sz w:val="18"/>
                      <w:szCs w:val="18"/>
                      <w:u w:val="single"/>
                    </w:rPr>
                    <w:instrText xml:space="preserve"> HYPERLINK "https://baike.baidu.com/item/%E8%BF%87%E6%B8%A1%E9%87%91%E5%B1%9E/2444178" \t "https://baike.baidu.com/item/%E9%92%AF/_blank" </w:instrText>
                  </w:r>
                  <w:r>
                    <w:rPr>
                      <w:rFonts w:hint="eastAsia" w:cs="Times New Roman" w:eastAsiaTheme="minorEastAsia"/>
                      <w:b/>
                      <w:bCs/>
                      <w:color w:val="auto"/>
                      <w:sz w:val="18"/>
                      <w:szCs w:val="18"/>
                      <w:u w:val="single"/>
                    </w:rPr>
                    <w:fldChar w:fldCharType="separate"/>
                  </w:r>
                  <w:r>
                    <w:rPr>
                      <w:rFonts w:hint="eastAsia" w:cs="Times New Roman" w:eastAsiaTheme="minorEastAsia"/>
                      <w:b/>
                      <w:bCs/>
                      <w:color w:val="auto"/>
                      <w:sz w:val="18"/>
                      <w:szCs w:val="18"/>
                      <w:u w:val="single"/>
                    </w:rPr>
                    <w:t>过渡金属</w:t>
                  </w:r>
                  <w:r>
                    <w:rPr>
                      <w:rFonts w:hint="eastAsia" w:cs="Times New Roman" w:eastAsiaTheme="minorEastAsia"/>
                      <w:b/>
                      <w:bCs/>
                      <w:color w:val="auto"/>
                      <w:sz w:val="18"/>
                      <w:szCs w:val="18"/>
                      <w:u w:val="single"/>
                    </w:rPr>
                    <w:fldChar w:fldCharType="end"/>
                  </w:r>
                  <w:r>
                    <w:rPr>
                      <w:rFonts w:hint="eastAsia" w:cs="Times New Roman" w:eastAsiaTheme="minorEastAsia"/>
                      <w:b/>
                      <w:bCs/>
                      <w:color w:val="auto"/>
                      <w:sz w:val="18"/>
                      <w:szCs w:val="18"/>
                      <w:u w:val="single"/>
                    </w:rPr>
                    <w:t>，质软，有良好的</w:t>
                  </w:r>
                  <w:r>
                    <w:rPr>
                      <w:rFonts w:hint="eastAsia" w:cs="Times New Roman" w:eastAsiaTheme="minorEastAsia"/>
                      <w:b/>
                      <w:bCs/>
                      <w:color w:val="auto"/>
                      <w:sz w:val="18"/>
                      <w:szCs w:val="18"/>
                      <w:u w:val="single"/>
                    </w:rPr>
                    <w:fldChar w:fldCharType="begin"/>
                  </w:r>
                  <w:r>
                    <w:rPr>
                      <w:rFonts w:hint="eastAsia" w:cs="Times New Roman" w:eastAsiaTheme="minorEastAsia"/>
                      <w:b/>
                      <w:bCs/>
                      <w:color w:val="auto"/>
                      <w:sz w:val="18"/>
                      <w:szCs w:val="18"/>
                      <w:u w:val="single"/>
                    </w:rPr>
                    <w:instrText xml:space="preserve"> HYPERLINK "https://baike.baidu.com/item/%E5%BB%B6%E5%B1%95%E6%80%A7/3636540" \t "https://baike.baidu.com/item/%E9%92%AF/_blank" </w:instrText>
                  </w:r>
                  <w:r>
                    <w:rPr>
                      <w:rFonts w:hint="eastAsia" w:cs="Times New Roman" w:eastAsiaTheme="minorEastAsia"/>
                      <w:b/>
                      <w:bCs/>
                      <w:color w:val="auto"/>
                      <w:sz w:val="18"/>
                      <w:szCs w:val="18"/>
                      <w:u w:val="single"/>
                    </w:rPr>
                    <w:fldChar w:fldCharType="separate"/>
                  </w:r>
                  <w:r>
                    <w:rPr>
                      <w:rFonts w:hint="eastAsia" w:cs="Times New Roman" w:eastAsiaTheme="minorEastAsia"/>
                      <w:b/>
                      <w:bCs/>
                      <w:color w:val="auto"/>
                      <w:sz w:val="18"/>
                      <w:szCs w:val="18"/>
                      <w:u w:val="single"/>
                    </w:rPr>
                    <w:t>延展性</w:t>
                  </w:r>
                  <w:r>
                    <w:rPr>
                      <w:rFonts w:hint="eastAsia" w:cs="Times New Roman" w:eastAsiaTheme="minorEastAsia"/>
                      <w:b/>
                      <w:bCs/>
                      <w:color w:val="auto"/>
                      <w:sz w:val="18"/>
                      <w:szCs w:val="18"/>
                      <w:u w:val="single"/>
                    </w:rPr>
                    <w:fldChar w:fldCharType="end"/>
                  </w:r>
                  <w:r>
                    <w:rPr>
                      <w:rFonts w:hint="eastAsia" w:cs="Times New Roman" w:eastAsiaTheme="minorEastAsia"/>
                      <w:b/>
                      <w:bCs/>
                      <w:color w:val="auto"/>
                      <w:sz w:val="18"/>
                      <w:szCs w:val="18"/>
                      <w:u w:val="single"/>
                    </w:rPr>
                    <w:t>和</w:t>
                  </w:r>
                  <w:r>
                    <w:rPr>
                      <w:rFonts w:hint="eastAsia" w:cs="Times New Roman" w:eastAsiaTheme="minorEastAsia"/>
                      <w:b/>
                      <w:bCs/>
                      <w:color w:val="auto"/>
                      <w:sz w:val="18"/>
                      <w:szCs w:val="18"/>
                      <w:u w:val="single"/>
                    </w:rPr>
                    <w:fldChar w:fldCharType="begin"/>
                  </w:r>
                  <w:r>
                    <w:rPr>
                      <w:rFonts w:hint="eastAsia" w:cs="Times New Roman" w:eastAsiaTheme="minorEastAsia"/>
                      <w:b/>
                      <w:bCs/>
                      <w:color w:val="auto"/>
                      <w:sz w:val="18"/>
                      <w:szCs w:val="18"/>
                      <w:u w:val="single"/>
                    </w:rPr>
                    <w:instrText xml:space="preserve"> HYPERLINK "https://baike.baidu.com/item/%E5%8F%AF%E5%A1%91%E6%80%A7/3808922" \t "https://baike.baidu.com/item/%E9%92%AF/_blank" </w:instrText>
                  </w:r>
                  <w:r>
                    <w:rPr>
                      <w:rFonts w:hint="eastAsia" w:cs="Times New Roman" w:eastAsiaTheme="minorEastAsia"/>
                      <w:b/>
                      <w:bCs/>
                      <w:color w:val="auto"/>
                      <w:sz w:val="18"/>
                      <w:szCs w:val="18"/>
                      <w:u w:val="single"/>
                    </w:rPr>
                    <w:fldChar w:fldCharType="separate"/>
                  </w:r>
                  <w:r>
                    <w:rPr>
                      <w:rFonts w:hint="eastAsia" w:cs="Times New Roman" w:eastAsiaTheme="minorEastAsia"/>
                      <w:b/>
                      <w:bCs/>
                      <w:color w:val="auto"/>
                      <w:sz w:val="18"/>
                      <w:szCs w:val="18"/>
                      <w:u w:val="single"/>
                    </w:rPr>
                    <w:t>可塑性</w:t>
                  </w:r>
                  <w:r>
                    <w:rPr>
                      <w:rFonts w:hint="eastAsia" w:cs="Times New Roman" w:eastAsiaTheme="minorEastAsia"/>
                      <w:b/>
                      <w:bCs/>
                      <w:color w:val="auto"/>
                      <w:sz w:val="18"/>
                      <w:szCs w:val="18"/>
                      <w:u w:val="single"/>
                    </w:rPr>
                    <w:fldChar w:fldCharType="end"/>
                  </w:r>
                  <w:r>
                    <w:rPr>
                      <w:rFonts w:hint="eastAsia" w:cs="Times New Roman" w:eastAsiaTheme="minorEastAsia"/>
                      <w:b/>
                      <w:bCs/>
                      <w:color w:val="auto"/>
                      <w:sz w:val="18"/>
                      <w:szCs w:val="18"/>
                      <w:u w:val="single"/>
                      <w:lang w:eastAsia="zh-CN"/>
                    </w:rPr>
                    <w:t>。化学性质不活泼，常温下在空气和潮湿环境中稳定，加热至 800℃，钯表面形成</w:t>
                  </w:r>
                  <w:r>
                    <w:rPr>
                      <w:rFonts w:hint="eastAsia" w:cs="Times New Roman" w:eastAsiaTheme="minorEastAsia"/>
                      <w:b/>
                      <w:bCs/>
                      <w:color w:val="auto"/>
                      <w:sz w:val="18"/>
                      <w:szCs w:val="18"/>
                      <w:u w:val="single"/>
                      <w:lang w:val="en-US" w:eastAsia="zh-CN"/>
                    </w:rPr>
                    <w:t>养护莫</w:t>
                  </w:r>
                  <w:r>
                    <w:rPr>
                      <w:rFonts w:hint="eastAsia" w:cs="Times New Roman" w:eastAsiaTheme="minorEastAsia"/>
                      <w:b/>
                      <w:bCs/>
                      <w:color w:val="auto"/>
                      <w:sz w:val="18"/>
                      <w:szCs w:val="18"/>
                      <w:u w:val="single"/>
                      <w:lang w:eastAsia="zh-CN"/>
                    </w:rPr>
                    <w:t>。能耐</w:t>
                  </w:r>
                  <w:r>
                    <w:rPr>
                      <w:rFonts w:hint="eastAsia" w:cs="Times New Roman" w:eastAsiaTheme="minorEastAsia"/>
                      <w:b/>
                      <w:bCs/>
                      <w:color w:val="auto"/>
                      <w:sz w:val="18"/>
                      <w:szCs w:val="18"/>
                      <w:u w:val="single"/>
                      <w:lang w:eastAsia="zh-CN"/>
                    </w:rPr>
                    <w:fldChar w:fldCharType="begin"/>
                  </w:r>
                  <w:r>
                    <w:rPr>
                      <w:rFonts w:hint="eastAsia" w:cs="Times New Roman" w:eastAsiaTheme="minorEastAsia"/>
                      <w:b/>
                      <w:bCs/>
                      <w:color w:val="auto"/>
                      <w:sz w:val="18"/>
                      <w:szCs w:val="18"/>
                      <w:u w:val="single"/>
                      <w:lang w:eastAsia="zh-CN"/>
                    </w:rPr>
                    <w:instrText xml:space="preserve"> HYPERLINK "https://baike.baidu.com/item/%E6%B0%A2%E6%B0%9F%E9%85%B8" \t "https://baike.baidu.com/item/%E9%92%AF/_blank" </w:instrText>
                  </w:r>
                  <w:r>
                    <w:rPr>
                      <w:rFonts w:hint="eastAsia" w:cs="Times New Roman" w:eastAsiaTheme="minorEastAsia"/>
                      <w:b/>
                      <w:bCs/>
                      <w:color w:val="auto"/>
                      <w:sz w:val="18"/>
                      <w:szCs w:val="18"/>
                      <w:u w:val="single"/>
                      <w:lang w:eastAsia="zh-CN"/>
                    </w:rPr>
                    <w:fldChar w:fldCharType="separate"/>
                  </w:r>
                  <w:r>
                    <w:rPr>
                      <w:rFonts w:hint="eastAsia" w:cs="Times New Roman" w:eastAsiaTheme="minorEastAsia"/>
                      <w:b/>
                      <w:bCs/>
                      <w:color w:val="auto"/>
                      <w:sz w:val="18"/>
                      <w:szCs w:val="18"/>
                      <w:u w:val="single"/>
                      <w:lang w:eastAsia="zh-CN"/>
                    </w:rPr>
                    <w:t>氢氟酸</w:t>
                  </w:r>
                  <w:r>
                    <w:rPr>
                      <w:rFonts w:hint="eastAsia" w:cs="Times New Roman" w:eastAsiaTheme="minorEastAsia"/>
                      <w:b/>
                      <w:bCs/>
                      <w:color w:val="auto"/>
                      <w:sz w:val="18"/>
                      <w:szCs w:val="18"/>
                      <w:u w:val="single"/>
                      <w:lang w:eastAsia="zh-CN"/>
                    </w:rPr>
                    <w:fldChar w:fldCharType="end"/>
                  </w:r>
                  <w:r>
                    <w:rPr>
                      <w:rFonts w:hint="eastAsia" w:cs="Times New Roman" w:eastAsiaTheme="minorEastAsia"/>
                      <w:b/>
                      <w:bCs/>
                      <w:color w:val="auto"/>
                      <w:sz w:val="18"/>
                      <w:szCs w:val="18"/>
                      <w:u w:val="single"/>
                      <w:lang w:eastAsia="zh-CN"/>
                    </w:rPr>
                    <w:t>、磷酸、</w:t>
                  </w:r>
                  <w:r>
                    <w:rPr>
                      <w:rFonts w:hint="eastAsia" w:cs="Times New Roman" w:eastAsiaTheme="minorEastAsia"/>
                      <w:b/>
                      <w:bCs/>
                      <w:color w:val="auto"/>
                      <w:sz w:val="18"/>
                      <w:szCs w:val="18"/>
                      <w:u w:val="single"/>
                      <w:lang w:eastAsia="zh-CN"/>
                    </w:rPr>
                    <w:fldChar w:fldCharType="begin"/>
                  </w:r>
                  <w:r>
                    <w:rPr>
                      <w:rFonts w:hint="eastAsia" w:cs="Times New Roman" w:eastAsiaTheme="minorEastAsia"/>
                      <w:b/>
                      <w:bCs/>
                      <w:color w:val="auto"/>
                      <w:sz w:val="18"/>
                      <w:szCs w:val="18"/>
                      <w:u w:val="single"/>
                      <w:lang w:eastAsia="zh-CN"/>
                    </w:rPr>
                    <w:instrText xml:space="preserve"> HYPERLINK "https://baike.baidu.com/item/%E9%AB%98%E6%B0%AF%E9%85%B8" \t "https://baike.baidu.com/item/%E9%92%AF/_blank" </w:instrText>
                  </w:r>
                  <w:r>
                    <w:rPr>
                      <w:rFonts w:hint="eastAsia" w:cs="Times New Roman" w:eastAsiaTheme="minorEastAsia"/>
                      <w:b/>
                      <w:bCs/>
                      <w:color w:val="auto"/>
                      <w:sz w:val="18"/>
                      <w:szCs w:val="18"/>
                      <w:u w:val="single"/>
                      <w:lang w:eastAsia="zh-CN"/>
                    </w:rPr>
                    <w:fldChar w:fldCharType="separate"/>
                  </w:r>
                  <w:r>
                    <w:rPr>
                      <w:rFonts w:hint="eastAsia" w:cs="Times New Roman" w:eastAsiaTheme="minorEastAsia"/>
                      <w:b/>
                      <w:bCs/>
                      <w:color w:val="auto"/>
                      <w:sz w:val="18"/>
                      <w:szCs w:val="18"/>
                      <w:u w:val="single"/>
                      <w:lang w:eastAsia="zh-CN"/>
                    </w:rPr>
                    <w:t>高氯酸</w:t>
                  </w:r>
                  <w:r>
                    <w:rPr>
                      <w:rFonts w:hint="eastAsia" w:cs="Times New Roman" w:eastAsiaTheme="minorEastAsia"/>
                      <w:b/>
                      <w:bCs/>
                      <w:color w:val="auto"/>
                      <w:sz w:val="18"/>
                      <w:szCs w:val="18"/>
                      <w:u w:val="single"/>
                      <w:lang w:eastAsia="zh-CN"/>
                    </w:rPr>
                    <w:fldChar w:fldCharType="end"/>
                  </w:r>
                  <w:r>
                    <w:rPr>
                      <w:rFonts w:hint="eastAsia" w:cs="Times New Roman" w:eastAsiaTheme="minorEastAsia"/>
                      <w:b/>
                      <w:bCs/>
                      <w:color w:val="auto"/>
                      <w:sz w:val="18"/>
                      <w:szCs w:val="18"/>
                      <w:u w:val="single"/>
                      <w:lang w:eastAsia="zh-CN"/>
                    </w:rPr>
                    <w:t>、盐酸和硫酸蒸气的侵蚀，但易溶于</w:t>
                  </w:r>
                  <w:r>
                    <w:rPr>
                      <w:rFonts w:hint="eastAsia" w:cs="Times New Roman" w:eastAsiaTheme="minorEastAsia"/>
                      <w:b/>
                      <w:bCs/>
                      <w:color w:val="auto"/>
                      <w:sz w:val="18"/>
                      <w:szCs w:val="18"/>
                      <w:u w:val="single"/>
                      <w:lang w:eastAsia="zh-CN"/>
                    </w:rPr>
                    <w:fldChar w:fldCharType="begin"/>
                  </w:r>
                  <w:r>
                    <w:rPr>
                      <w:rFonts w:hint="eastAsia" w:cs="Times New Roman" w:eastAsiaTheme="minorEastAsia"/>
                      <w:b/>
                      <w:bCs/>
                      <w:color w:val="auto"/>
                      <w:sz w:val="18"/>
                      <w:szCs w:val="18"/>
                      <w:u w:val="single"/>
                      <w:lang w:eastAsia="zh-CN"/>
                    </w:rPr>
                    <w:instrText xml:space="preserve"> HYPERLINK "https://baike.baidu.com/item/%E7%8E%8B%E6%B0%B4/490" \t "https://baike.baidu.com/item/%E9%92%AF/_blank" </w:instrText>
                  </w:r>
                  <w:r>
                    <w:rPr>
                      <w:rFonts w:hint="eastAsia" w:cs="Times New Roman" w:eastAsiaTheme="minorEastAsia"/>
                      <w:b/>
                      <w:bCs/>
                      <w:color w:val="auto"/>
                      <w:sz w:val="18"/>
                      <w:szCs w:val="18"/>
                      <w:u w:val="single"/>
                      <w:lang w:eastAsia="zh-CN"/>
                    </w:rPr>
                    <w:fldChar w:fldCharType="separate"/>
                  </w:r>
                  <w:r>
                    <w:rPr>
                      <w:rFonts w:hint="eastAsia" w:cs="Times New Roman" w:eastAsiaTheme="minorEastAsia"/>
                      <w:b/>
                      <w:bCs/>
                      <w:color w:val="auto"/>
                      <w:sz w:val="18"/>
                      <w:szCs w:val="18"/>
                      <w:u w:val="single"/>
                      <w:lang w:eastAsia="zh-CN"/>
                    </w:rPr>
                    <w:t>王水</w:t>
                  </w:r>
                  <w:r>
                    <w:rPr>
                      <w:rFonts w:hint="eastAsia" w:cs="Times New Roman" w:eastAsiaTheme="minorEastAsia"/>
                      <w:b/>
                      <w:bCs/>
                      <w:color w:val="auto"/>
                      <w:sz w:val="18"/>
                      <w:szCs w:val="18"/>
                      <w:u w:val="single"/>
                      <w:lang w:eastAsia="zh-CN"/>
                    </w:rPr>
                    <w:fldChar w:fldCharType="end"/>
                  </w:r>
                  <w:r>
                    <w:rPr>
                      <w:rFonts w:hint="eastAsia" w:cs="Times New Roman" w:eastAsiaTheme="minorEastAsia"/>
                      <w:b/>
                      <w:bCs/>
                      <w:color w:val="auto"/>
                      <w:sz w:val="18"/>
                      <w:szCs w:val="18"/>
                      <w:u w:val="singl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3" w:type="dxa"/>
                  <w:vAlign w:val="center"/>
                </w:tcPr>
                <w:p>
                  <w:pPr>
                    <w:jc w:val="center"/>
                    <w:rPr>
                      <w:rFonts w:cs="Times New Roman" w:eastAsiaTheme="minorEastAsia"/>
                      <w:color w:val="auto"/>
                      <w:sz w:val="18"/>
                      <w:szCs w:val="18"/>
                    </w:rPr>
                  </w:pPr>
                  <w:r>
                    <w:rPr>
                      <w:rFonts w:hint="eastAsia" w:cs="Times New Roman" w:eastAsiaTheme="minorEastAsia"/>
                      <w:color w:val="auto"/>
                      <w:sz w:val="18"/>
                      <w:szCs w:val="18"/>
                    </w:rPr>
                    <w:t>硝酸</w:t>
                  </w:r>
                </w:p>
              </w:tc>
              <w:tc>
                <w:tcPr>
                  <w:tcW w:w="7397" w:type="dxa"/>
                  <w:vAlign w:val="center"/>
                </w:tcPr>
                <w:p>
                  <w:pPr>
                    <w:widowControl/>
                    <w:rPr>
                      <w:rFonts w:cs="Times New Roman" w:eastAsiaTheme="minorEastAsia"/>
                      <w:color w:val="auto"/>
                      <w:sz w:val="18"/>
                      <w:szCs w:val="18"/>
                    </w:rPr>
                  </w:pPr>
                  <w:r>
                    <w:rPr>
                      <w:rFonts w:hint="eastAsia" w:cs="Times New Roman" w:eastAsiaTheme="minorEastAsia"/>
                      <w:color w:val="auto"/>
                      <w:sz w:val="18"/>
                      <w:szCs w:val="18"/>
                    </w:rPr>
                    <w:t>硝酸是一种具有强氧化性、腐蚀性的强酸。纯硝酸为无色透明液体，浓硝酸为淡黄色液体（溶有</w:t>
                  </w:r>
                  <w:r>
                    <w:rPr>
                      <w:color w:val="auto"/>
                    </w:rPr>
                    <w:fldChar w:fldCharType="begin"/>
                  </w:r>
                  <w:r>
                    <w:rPr>
                      <w:color w:val="auto"/>
                    </w:rPr>
                    <w:instrText xml:space="preserve"> HYPERLINK "https://baike.baidu.com/item/%E4%BA%8C%E6%B0%A7%E5%8C%96%E6%B0%AE" \t "https://baike.baidu.com/item/_blank" </w:instrText>
                  </w:r>
                  <w:r>
                    <w:rPr>
                      <w:color w:val="auto"/>
                    </w:rPr>
                    <w:fldChar w:fldCharType="separate"/>
                  </w:r>
                  <w:r>
                    <w:rPr>
                      <w:rFonts w:hint="eastAsia" w:cs="Times New Roman" w:eastAsiaTheme="minorEastAsia"/>
                      <w:color w:val="auto"/>
                      <w:sz w:val="18"/>
                      <w:szCs w:val="18"/>
                    </w:rPr>
                    <w:t>二氧化氮</w:t>
                  </w:r>
                  <w:r>
                    <w:rPr>
                      <w:rFonts w:hint="eastAsia" w:cs="Times New Roman" w:eastAsiaTheme="minorEastAsia"/>
                      <w:color w:val="auto"/>
                      <w:sz w:val="18"/>
                      <w:szCs w:val="18"/>
                    </w:rPr>
                    <w:fldChar w:fldCharType="end"/>
                  </w:r>
                  <w:r>
                    <w:rPr>
                      <w:rFonts w:hint="eastAsia" w:cs="Times New Roman" w:eastAsiaTheme="minorEastAsia"/>
                      <w:color w:val="auto"/>
                      <w:sz w:val="18"/>
                      <w:szCs w:val="18"/>
                    </w:rPr>
                    <w:t>），正常情况下为无色透明液体，有窒息性刺激气味。浓硝酸含量为68%左右，易挥发，在空气中产生白雾（与浓盐酸相同），是硝酸蒸汽（一般来说是浓硝酸分解出来的二氧化氮）与水蒸汽结合而形成的硝酸小液滴。露光能产生二氧化氮，二氧化氮重新溶解在硝酸中，从而变成棕色。有</w:t>
                  </w:r>
                  <w:r>
                    <w:rPr>
                      <w:color w:val="auto"/>
                    </w:rPr>
                    <w:fldChar w:fldCharType="begin"/>
                  </w:r>
                  <w:r>
                    <w:rPr>
                      <w:color w:val="auto"/>
                    </w:rPr>
                    <w:instrText xml:space="preserve"> HYPERLINK "https://baike.baidu.com/item/%E5%BC%BA%E9%85%B8" \t "https://baike.baidu.com/item/_blank" </w:instrText>
                  </w:r>
                  <w:r>
                    <w:rPr>
                      <w:color w:val="auto"/>
                    </w:rPr>
                    <w:fldChar w:fldCharType="separate"/>
                  </w:r>
                  <w:r>
                    <w:rPr>
                      <w:rFonts w:hint="eastAsia" w:cs="Times New Roman" w:eastAsiaTheme="minorEastAsia"/>
                      <w:color w:val="auto"/>
                      <w:sz w:val="18"/>
                      <w:szCs w:val="18"/>
                    </w:rPr>
                    <w:t>强酸</w:t>
                  </w:r>
                  <w:r>
                    <w:rPr>
                      <w:rFonts w:hint="eastAsia" w:cs="Times New Roman" w:eastAsiaTheme="minorEastAsia"/>
                      <w:color w:val="auto"/>
                      <w:sz w:val="18"/>
                      <w:szCs w:val="18"/>
                    </w:rPr>
                    <w:fldChar w:fldCharType="end"/>
                  </w:r>
                  <w:r>
                    <w:rPr>
                      <w:rFonts w:hint="eastAsia" w:cs="Times New Roman" w:eastAsiaTheme="minorEastAsia"/>
                      <w:color w:val="auto"/>
                      <w:sz w:val="18"/>
                      <w:szCs w:val="18"/>
                    </w:rPr>
                    <w:t>性。能使羊毛织物和动物组织变成嫩黄色。能与乙醇、</w:t>
                  </w:r>
                  <w:r>
                    <w:rPr>
                      <w:color w:val="auto"/>
                    </w:rPr>
                    <w:fldChar w:fldCharType="begin"/>
                  </w:r>
                  <w:r>
                    <w:rPr>
                      <w:color w:val="auto"/>
                    </w:rPr>
                    <w:instrText xml:space="preserve"> HYPERLINK "https://baike.baidu.com/item/%E6%9D%BE%E8%8A%82%E6%B2%B9" \t "https://baike.baidu.com/item/_blank" </w:instrText>
                  </w:r>
                  <w:r>
                    <w:rPr>
                      <w:color w:val="auto"/>
                    </w:rPr>
                    <w:fldChar w:fldCharType="separate"/>
                  </w:r>
                  <w:r>
                    <w:rPr>
                      <w:rFonts w:hint="eastAsia" w:cs="Times New Roman" w:eastAsiaTheme="minorEastAsia"/>
                      <w:color w:val="auto"/>
                      <w:sz w:val="18"/>
                      <w:szCs w:val="18"/>
                    </w:rPr>
                    <w:t>松节油</w:t>
                  </w:r>
                  <w:r>
                    <w:rPr>
                      <w:rFonts w:hint="eastAsia" w:cs="Times New Roman" w:eastAsiaTheme="minorEastAsia"/>
                      <w:color w:val="auto"/>
                      <w:sz w:val="18"/>
                      <w:szCs w:val="18"/>
                    </w:rPr>
                    <w:fldChar w:fldCharType="end"/>
                  </w:r>
                  <w:r>
                    <w:rPr>
                      <w:rFonts w:hint="eastAsia" w:cs="Times New Roman" w:eastAsiaTheme="minorEastAsia"/>
                      <w:color w:val="auto"/>
                      <w:sz w:val="18"/>
                      <w:szCs w:val="18"/>
                    </w:rPr>
                    <w:t>、碳和其他有机物猛烈反应。能与水混溶。能与水形成</w:t>
                  </w:r>
                  <w:r>
                    <w:rPr>
                      <w:color w:val="auto"/>
                    </w:rPr>
                    <w:fldChar w:fldCharType="begin"/>
                  </w:r>
                  <w:r>
                    <w:rPr>
                      <w:color w:val="auto"/>
                    </w:rPr>
                    <w:instrText xml:space="preserve"> HYPERLINK "https://baike.baidu.com/item/%E5%85%B1%E6%B2%B8%E6%B7%B7%E5%90%88%E7%89%A9" \t "https://baike.baidu.com/item/_blank" </w:instrText>
                  </w:r>
                  <w:r>
                    <w:rPr>
                      <w:color w:val="auto"/>
                    </w:rPr>
                    <w:fldChar w:fldCharType="separate"/>
                  </w:r>
                  <w:r>
                    <w:rPr>
                      <w:rFonts w:hint="eastAsia" w:cs="Times New Roman" w:eastAsiaTheme="minorEastAsia"/>
                      <w:color w:val="auto"/>
                      <w:sz w:val="18"/>
                      <w:szCs w:val="18"/>
                    </w:rPr>
                    <w:t>共沸混合物</w:t>
                  </w:r>
                  <w:r>
                    <w:rPr>
                      <w:rFonts w:hint="eastAsia" w:cs="Times New Roman" w:eastAsiaTheme="minorEastAsia"/>
                      <w:color w:val="auto"/>
                      <w:sz w:val="18"/>
                      <w:szCs w:val="18"/>
                    </w:rPr>
                    <w:fldChar w:fldCharType="end"/>
                  </w:r>
                  <w:r>
                    <w:rPr>
                      <w:rFonts w:hint="eastAsia" w:cs="Times New Roman" w:eastAsiaTheme="minorEastAsia"/>
                      <w:color w:val="auto"/>
                      <w:sz w:val="18"/>
                      <w:szCs w:val="18"/>
                    </w:rPr>
                    <w:t>。相对密度(d204)1.41，熔点-42℃（无水） [7]</w:t>
                  </w:r>
                  <w:bookmarkStart w:id="1" w:name="ref_[7]_48841"/>
                  <w:r>
                    <w:rPr>
                      <w:rFonts w:hint="eastAsia" w:cs="Times New Roman" w:eastAsiaTheme="minorEastAsia"/>
                      <w:color w:val="auto"/>
                      <w:sz w:val="18"/>
                      <w:szCs w:val="18"/>
                    </w:rPr>
                    <w:t> </w:t>
                  </w:r>
                  <w:bookmarkEnd w:id="1"/>
                  <w:r>
                    <w:rPr>
                      <w:rFonts w:hint="eastAsia" w:cs="Times New Roman" w:eastAsiaTheme="minorEastAsia"/>
                      <w:color w:val="auto"/>
                      <w:sz w:val="18"/>
                      <w:szCs w:val="18"/>
                    </w:rPr>
                    <w:t> </w:t>
                  </w:r>
                  <w:bookmarkStart w:id="2" w:name="ref_7"/>
                  <w:bookmarkEnd w:id="2"/>
                  <w:r>
                    <w:rPr>
                      <w:rFonts w:hint="eastAsia" w:cs="Times New Roman" w:eastAsiaTheme="minorEastAsia"/>
                      <w:color w:val="auto"/>
                      <w:sz w:val="18"/>
                      <w:szCs w:val="18"/>
                    </w:rPr>
                    <w:t>，沸点120.5℃（68%）。</w:t>
                  </w:r>
                </w:p>
              </w:tc>
            </w:tr>
            <w:bookmarkEnd w:id="0"/>
          </w:tbl>
          <w:p>
            <w:pPr>
              <w:pStyle w:val="6"/>
              <w:adjustRightInd w:val="0"/>
              <w:spacing w:line="460" w:lineRule="exact"/>
              <w:ind w:firstLine="480"/>
              <w:rPr>
                <w:rFonts w:eastAsia="黑体"/>
                <w:b w:val="0"/>
                <w:bCs/>
                <w:color w:val="auto"/>
              </w:rPr>
            </w:pPr>
            <w:r>
              <w:rPr>
                <w:rFonts w:eastAsia="黑体"/>
                <w:b w:val="0"/>
                <w:bCs/>
                <w:color w:val="auto"/>
              </w:rPr>
              <w:t>7、公用工程</w:t>
            </w:r>
          </w:p>
          <w:p>
            <w:pPr>
              <w:pStyle w:val="6"/>
              <w:tabs>
                <w:tab w:val="left" w:pos="5507"/>
              </w:tabs>
              <w:adjustRightInd w:val="0"/>
              <w:spacing w:line="460" w:lineRule="exact"/>
              <w:ind w:firstLine="480"/>
              <w:rPr>
                <w:rFonts w:eastAsia="宋体"/>
                <w:b w:val="0"/>
                <w:color w:val="auto"/>
              </w:rPr>
            </w:pPr>
            <w:bookmarkStart w:id="3" w:name="_Toc25081"/>
            <w:bookmarkStart w:id="4" w:name="_Toc15656"/>
            <w:bookmarkStart w:id="5" w:name="_Toc11408"/>
            <w:r>
              <w:rPr>
                <w:rFonts w:eastAsia="宋体"/>
                <w:b w:val="0"/>
                <w:color w:val="auto"/>
              </w:rPr>
              <w:t>（1）给排水</w:t>
            </w:r>
            <w:bookmarkEnd w:id="3"/>
            <w:bookmarkEnd w:id="4"/>
            <w:bookmarkEnd w:id="5"/>
            <w:r>
              <w:rPr>
                <w:rFonts w:eastAsia="宋体"/>
                <w:b w:val="0"/>
                <w:color w:val="auto"/>
              </w:rPr>
              <w:tab/>
            </w:r>
          </w:p>
          <w:p>
            <w:pPr>
              <w:adjustRightInd w:val="0"/>
              <w:snapToGrid w:val="0"/>
              <w:spacing w:line="460" w:lineRule="exact"/>
              <w:ind w:firstLine="480" w:firstLineChars="200"/>
              <w:rPr>
                <w:rFonts w:cs="Times New Roman"/>
                <w:color w:val="auto"/>
                <w:sz w:val="24"/>
              </w:rPr>
            </w:pPr>
            <w:r>
              <w:rPr>
                <w:rFonts w:cs="Times New Roman"/>
                <w:color w:val="auto"/>
                <w:sz w:val="24"/>
              </w:rPr>
              <w:fldChar w:fldCharType="begin"/>
            </w:r>
            <w:r>
              <w:rPr>
                <w:rFonts w:cs="Times New Roman"/>
                <w:color w:val="auto"/>
                <w:sz w:val="24"/>
              </w:rPr>
              <w:instrText xml:space="preserve"> = 1 \* GB3 </w:instrText>
            </w:r>
            <w:r>
              <w:rPr>
                <w:rFonts w:cs="Times New Roman"/>
                <w:color w:val="auto"/>
                <w:sz w:val="24"/>
              </w:rPr>
              <w:fldChar w:fldCharType="separate"/>
            </w:r>
            <w:r>
              <w:rPr>
                <w:rFonts w:cs="Times New Roman"/>
                <w:color w:val="auto"/>
                <w:sz w:val="24"/>
              </w:rPr>
              <w:t>①</w:t>
            </w:r>
            <w:r>
              <w:rPr>
                <w:rFonts w:cs="Times New Roman"/>
                <w:color w:val="auto"/>
                <w:sz w:val="24"/>
              </w:rPr>
              <w:fldChar w:fldCharType="end"/>
            </w:r>
            <w:r>
              <w:rPr>
                <w:rFonts w:cs="Times New Roman"/>
                <w:color w:val="auto"/>
                <w:sz w:val="24"/>
              </w:rPr>
              <w:t>给水</w:t>
            </w:r>
            <w:r>
              <w:rPr>
                <w:rFonts w:hint="eastAsia" w:cs="Times New Roman"/>
                <w:color w:val="auto"/>
                <w:sz w:val="24"/>
              </w:rPr>
              <w:t>：项目用水包括生产配料用水、喷淋塔补充水和生活用水，用水量为604</w:t>
            </w:r>
            <w:r>
              <w:rPr>
                <w:rFonts w:cs="Times New Roman"/>
                <w:color w:val="auto"/>
                <w:sz w:val="24"/>
              </w:rPr>
              <w:t>m</w:t>
            </w:r>
            <w:r>
              <w:rPr>
                <w:rFonts w:cs="Times New Roman"/>
                <w:color w:val="auto"/>
                <w:sz w:val="24"/>
                <w:vertAlign w:val="superscript"/>
              </w:rPr>
              <w:t>3</w:t>
            </w:r>
            <w:r>
              <w:rPr>
                <w:rFonts w:cs="Times New Roman"/>
                <w:color w:val="auto"/>
                <w:sz w:val="24"/>
              </w:rPr>
              <w:t>/a</w:t>
            </w:r>
            <w:r>
              <w:rPr>
                <w:rFonts w:hint="eastAsia" w:cs="Times New Roman"/>
                <w:color w:val="auto"/>
                <w:sz w:val="24"/>
              </w:rPr>
              <w:t>，由市政供水管网供给</w:t>
            </w:r>
            <w:r>
              <w:rPr>
                <w:rFonts w:cs="Times New Roman"/>
                <w:color w:val="auto"/>
                <w:sz w:val="24"/>
              </w:rPr>
              <w:t>。</w:t>
            </w:r>
          </w:p>
          <w:p>
            <w:pPr>
              <w:spacing w:line="360" w:lineRule="auto"/>
              <w:ind w:firstLine="480" w:firstLineChars="200"/>
              <w:rPr>
                <w:rFonts w:cs="Times New Roman"/>
                <w:color w:val="auto"/>
                <w:sz w:val="24"/>
              </w:rPr>
            </w:pPr>
            <w:r>
              <w:rPr>
                <w:rFonts w:cs="Times New Roman"/>
                <w:color w:val="auto"/>
                <w:sz w:val="24"/>
              </w:rPr>
              <w:fldChar w:fldCharType="begin"/>
            </w:r>
            <w:r>
              <w:rPr>
                <w:rFonts w:cs="Times New Roman"/>
                <w:color w:val="auto"/>
                <w:sz w:val="24"/>
              </w:rPr>
              <w:instrText xml:space="preserve"> = 2 \* GB3 </w:instrText>
            </w:r>
            <w:r>
              <w:rPr>
                <w:rFonts w:cs="Times New Roman"/>
                <w:color w:val="auto"/>
                <w:sz w:val="24"/>
              </w:rPr>
              <w:fldChar w:fldCharType="separate"/>
            </w:r>
            <w:r>
              <w:rPr>
                <w:rFonts w:cs="Times New Roman"/>
                <w:color w:val="auto"/>
                <w:sz w:val="24"/>
              </w:rPr>
              <w:t>②</w:t>
            </w:r>
            <w:r>
              <w:rPr>
                <w:rFonts w:cs="Times New Roman"/>
                <w:color w:val="auto"/>
                <w:sz w:val="24"/>
              </w:rPr>
              <w:fldChar w:fldCharType="end"/>
            </w:r>
            <w:r>
              <w:rPr>
                <w:rFonts w:cs="Times New Roman"/>
                <w:color w:val="auto"/>
                <w:sz w:val="24"/>
              </w:rPr>
              <w:t>排水</w:t>
            </w:r>
            <w:r>
              <w:rPr>
                <w:rFonts w:hint="eastAsia" w:cs="Times New Roman"/>
                <w:color w:val="auto"/>
                <w:sz w:val="24"/>
              </w:rPr>
              <w:t>：</w:t>
            </w:r>
            <w:r>
              <w:rPr>
                <w:rFonts w:cs="Times New Roman"/>
                <w:bCs/>
                <w:color w:val="auto"/>
                <w:kern w:val="0"/>
                <w:sz w:val="24"/>
                <w:szCs w:val="24"/>
              </w:rPr>
              <w:t>项目</w:t>
            </w:r>
            <w:r>
              <w:rPr>
                <w:rFonts w:hint="eastAsia" w:cs="Times New Roman"/>
                <w:bCs/>
                <w:color w:val="auto"/>
                <w:kern w:val="0"/>
                <w:sz w:val="24"/>
                <w:szCs w:val="24"/>
              </w:rPr>
              <w:t>纯水制备废水作为清净下水用作厂区洒水降尘；喷淋塔</w:t>
            </w:r>
            <w:r>
              <w:rPr>
                <w:rFonts w:hint="eastAsia" w:cs="Times New Roman"/>
                <w:bCs/>
                <w:color w:val="auto"/>
                <w:kern w:val="0"/>
                <w:sz w:val="24"/>
                <w:szCs w:val="24"/>
                <w:lang w:val="en-US" w:eastAsia="zh-CN"/>
              </w:rPr>
              <w:t>喷淋水经絮凝沉淀后循环使用</w:t>
            </w:r>
            <w:r>
              <w:rPr>
                <w:rFonts w:hint="eastAsia" w:cs="Times New Roman"/>
                <w:bCs/>
                <w:color w:val="auto"/>
                <w:kern w:val="0"/>
                <w:sz w:val="24"/>
                <w:szCs w:val="24"/>
              </w:rPr>
              <w:t>；</w:t>
            </w:r>
            <w:r>
              <w:rPr>
                <w:rFonts w:cs="Times New Roman"/>
                <w:color w:val="auto"/>
                <w:sz w:val="24"/>
              </w:rPr>
              <w:t>生活污水经化粪池处理后</w:t>
            </w:r>
            <w:r>
              <w:rPr>
                <w:rFonts w:hint="eastAsia" w:cs="Times New Roman"/>
                <w:color w:val="auto"/>
                <w:sz w:val="24"/>
              </w:rPr>
              <w:t>近期</w:t>
            </w:r>
            <w:r>
              <w:rPr>
                <w:rFonts w:cs="Times New Roman"/>
                <w:color w:val="auto"/>
                <w:sz w:val="24"/>
              </w:rPr>
              <w:t>定期清运；远期待</w:t>
            </w:r>
            <w:r>
              <w:rPr>
                <w:rFonts w:hint="eastAsia" w:cs="Times New Roman"/>
                <w:color w:val="auto"/>
                <w:sz w:val="24"/>
              </w:rPr>
              <w:t>大块镇</w:t>
            </w:r>
            <w:r>
              <w:rPr>
                <w:rFonts w:cs="Times New Roman"/>
                <w:color w:val="auto"/>
                <w:sz w:val="24"/>
              </w:rPr>
              <w:t>污水处理厂建成</w:t>
            </w:r>
            <w:r>
              <w:rPr>
                <w:rFonts w:hint="eastAsia" w:cs="Times New Roman"/>
                <w:color w:val="auto"/>
                <w:sz w:val="24"/>
              </w:rPr>
              <w:t>运行</w:t>
            </w:r>
            <w:r>
              <w:rPr>
                <w:rFonts w:cs="Times New Roman"/>
                <w:color w:val="auto"/>
                <w:sz w:val="24"/>
              </w:rPr>
              <w:t>后排入</w:t>
            </w:r>
            <w:r>
              <w:rPr>
                <w:rFonts w:hint="eastAsia" w:cs="Times New Roman"/>
                <w:color w:val="auto"/>
                <w:sz w:val="24"/>
              </w:rPr>
              <w:t>大块镇</w:t>
            </w:r>
            <w:r>
              <w:rPr>
                <w:rFonts w:cs="Times New Roman"/>
                <w:color w:val="auto"/>
                <w:sz w:val="24"/>
              </w:rPr>
              <w:t>污水处理厂</w:t>
            </w:r>
            <w:r>
              <w:rPr>
                <w:rFonts w:hint="eastAsia" w:cs="Times New Roman"/>
                <w:color w:val="auto"/>
                <w:sz w:val="24"/>
              </w:rPr>
              <w:t>进一步处理</w:t>
            </w:r>
            <w:r>
              <w:rPr>
                <w:rFonts w:cs="Times New Roman"/>
                <w:color w:val="auto"/>
                <w:sz w:val="24"/>
              </w:rPr>
              <w:t>。</w:t>
            </w:r>
          </w:p>
          <w:p>
            <w:pPr>
              <w:numPr>
                <w:ilvl w:val="0"/>
                <w:numId w:val="2"/>
              </w:numPr>
              <w:spacing w:line="360" w:lineRule="auto"/>
              <w:ind w:firstLine="480" w:firstLineChars="200"/>
              <w:rPr>
                <w:rFonts w:cs="Times New Roman"/>
                <w:color w:val="auto"/>
                <w:sz w:val="24"/>
              </w:rPr>
            </w:pPr>
            <w:r>
              <w:rPr>
                <w:rFonts w:cs="Times New Roman"/>
                <w:bCs/>
                <w:color w:val="auto"/>
                <w:sz w:val="24"/>
                <w:szCs w:val="24"/>
              </w:rPr>
              <w:t>供电</w:t>
            </w:r>
            <w:r>
              <w:rPr>
                <w:rFonts w:hint="eastAsia" w:cs="Times New Roman"/>
                <w:bCs/>
                <w:color w:val="auto"/>
                <w:sz w:val="24"/>
                <w:szCs w:val="24"/>
              </w:rPr>
              <w:t>：</w:t>
            </w:r>
            <w:r>
              <w:rPr>
                <w:rFonts w:cs="Times New Roman"/>
                <w:color w:val="auto"/>
                <w:sz w:val="24"/>
              </w:rPr>
              <w:t>工程用电由</w:t>
            </w:r>
            <w:r>
              <w:rPr>
                <w:rFonts w:hint="eastAsia" w:cs="Times New Roman"/>
                <w:color w:val="auto"/>
                <w:sz w:val="24"/>
              </w:rPr>
              <w:t>市政电网</w:t>
            </w:r>
            <w:r>
              <w:rPr>
                <w:rFonts w:cs="Times New Roman"/>
                <w:color w:val="auto"/>
                <w:sz w:val="24"/>
              </w:rPr>
              <w:t>供给。</w:t>
            </w:r>
          </w:p>
          <w:p>
            <w:pPr>
              <w:pStyle w:val="25"/>
              <w:numPr>
                <w:ilvl w:val="0"/>
                <w:numId w:val="2"/>
              </w:numPr>
              <w:spacing w:after="0" w:line="360" w:lineRule="auto"/>
              <w:ind w:left="0" w:leftChars="0" w:firstLine="480"/>
              <w:rPr>
                <w:rFonts w:cs="Times New Roman"/>
                <w:color w:val="auto"/>
                <w:sz w:val="24"/>
              </w:rPr>
            </w:pPr>
            <w:r>
              <w:rPr>
                <w:rFonts w:hint="eastAsia" w:cs="Times New Roman"/>
                <w:color w:val="auto"/>
                <w:sz w:val="24"/>
              </w:rPr>
              <w:t>供热：项目烘干、焙烧均采用电加热炉直接供热。</w:t>
            </w:r>
          </w:p>
          <w:p>
            <w:pPr>
              <w:tabs>
                <w:tab w:val="left" w:pos="540"/>
              </w:tabs>
              <w:adjustRightInd w:val="0"/>
              <w:snapToGrid w:val="0"/>
              <w:spacing w:line="460" w:lineRule="exact"/>
              <w:ind w:firstLine="480" w:firstLineChars="200"/>
              <w:rPr>
                <w:rFonts w:eastAsia="黑体" w:cs="Times New Roman"/>
                <w:color w:val="auto"/>
                <w:sz w:val="24"/>
              </w:rPr>
            </w:pPr>
            <w:r>
              <w:rPr>
                <w:rFonts w:eastAsia="黑体" w:cs="Times New Roman"/>
                <w:color w:val="auto"/>
                <w:sz w:val="24"/>
              </w:rPr>
              <w:t>8、工作制度与劳动定员</w:t>
            </w:r>
          </w:p>
          <w:p>
            <w:pPr>
              <w:tabs>
                <w:tab w:val="left" w:pos="540"/>
              </w:tabs>
              <w:adjustRightInd w:val="0"/>
              <w:snapToGrid w:val="0"/>
              <w:spacing w:line="460" w:lineRule="exact"/>
              <w:ind w:firstLine="480" w:firstLineChars="200"/>
              <w:rPr>
                <w:rFonts w:cs="Times New Roman"/>
                <w:color w:val="auto"/>
                <w:sz w:val="24"/>
                <w:szCs w:val="24"/>
              </w:rPr>
            </w:pPr>
            <w:r>
              <w:rPr>
                <w:rFonts w:cs="Times New Roman"/>
                <w:color w:val="auto"/>
                <w:sz w:val="24"/>
              </w:rPr>
              <w:t>项目劳动定员</w:t>
            </w:r>
            <w:r>
              <w:rPr>
                <w:rFonts w:hint="eastAsia" w:cs="Times New Roman"/>
                <w:color w:val="auto"/>
                <w:sz w:val="24"/>
              </w:rPr>
              <w:t>10</w:t>
            </w:r>
            <w:r>
              <w:rPr>
                <w:rFonts w:cs="Times New Roman"/>
                <w:color w:val="auto"/>
                <w:sz w:val="24"/>
              </w:rPr>
              <w:t>人，年工作</w:t>
            </w:r>
            <w:r>
              <w:rPr>
                <w:rFonts w:hint="eastAsia" w:cs="Times New Roman"/>
                <w:color w:val="auto"/>
                <w:sz w:val="24"/>
              </w:rPr>
              <w:t>300</w:t>
            </w:r>
            <w:r>
              <w:rPr>
                <w:rFonts w:cs="Times New Roman"/>
                <w:color w:val="auto"/>
                <w:sz w:val="24"/>
              </w:rPr>
              <w:t>天，每天</w:t>
            </w:r>
            <w:r>
              <w:rPr>
                <w:rFonts w:hint="eastAsia" w:cs="Times New Roman"/>
                <w:color w:val="auto"/>
                <w:sz w:val="24"/>
              </w:rPr>
              <w:t>三</w:t>
            </w:r>
            <w:r>
              <w:rPr>
                <w:rFonts w:cs="Times New Roman"/>
                <w:color w:val="auto"/>
                <w:sz w:val="24"/>
              </w:rPr>
              <w:t>班制，每班8小时</w:t>
            </w:r>
            <w:r>
              <w:rPr>
                <w:rFonts w:hint="eastAsia" w:cs="Times New Roman"/>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6" w:hRule="atLeast"/>
          <w:jc w:val="center"/>
        </w:trPr>
        <w:tc>
          <w:tcPr>
            <w:tcW w:w="8756" w:type="dxa"/>
            <w:gridSpan w:val="8"/>
            <w:tcBorders>
              <w:bottom w:val="single" w:color="auto" w:sz="4" w:space="0"/>
            </w:tcBorders>
          </w:tcPr>
          <w:p>
            <w:pPr>
              <w:spacing w:line="360" w:lineRule="auto"/>
              <w:rPr>
                <w:rFonts w:eastAsia="黑体" w:cs="Times New Roman"/>
                <w:color w:val="auto"/>
                <w:szCs w:val="28"/>
              </w:rPr>
            </w:pPr>
            <w:r>
              <w:rPr>
                <w:rFonts w:eastAsia="黑体" w:cs="Times New Roman"/>
                <w:color w:val="auto"/>
                <w:szCs w:val="28"/>
              </w:rPr>
              <w:t>与项目有关的污染情况及主要环境问题：</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项目租用</w:t>
            </w:r>
            <w:r>
              <w:rPr>
                <w:rFonts w:hint="eastAsia" w:cs="Times New Roman"/>
                <w:color w:val="auto"/>
                <w:sz w:val="24"/>
                <w:szCs w:val="24"/>
              </w:rPr>
              <w:t>现有闲置</w:t>
            </w:r>
            <w:r>
              <w:rPr>
                <w:rFonts w:cs="Times New Roman"/>
                <w:color w:val="auto"/>
                <w:sz w:val="24"/>
                <w:szCs w:val="24"/>
              </w:rPr>
              <w:t>厂房进行建设，无原有污染情况</w:t>
            </w:r>
            <w:r>
              <w:rPr>
                <w:rFonts w:hint="eastAsia" w:cs="Times New Roman"/>
                <w:color w:val="auto"/>
                <w:sz w:val="24"/>
                <w:szCs w:val="24"/>
              </w:rPr>
              <w:t>。</w:t>
            </w:r>
          </w:p>
          <w:p>
            <w:pPr>
              <w:adjustRightInd w:val="0"/>
              <w:snapToGrid w:val="0"/>
              <w:spacing w:line="360" w:lineRule="auto"/>
              <w:ind w:firstLine="480" w:firstLineChars="200"/>
              <w:rPr>
                <w:rFonts w:cs="Times New Roman"/>
                <w:color w:val="auto"/>
                <w:sz w:val="24"/>
                <w:szCs w:val="24"/>
              </w:rPr>
            </w:pPr>
          </w:p>
          <w:p>
            <w:pPr>
              <w:pStyle w:val="33"/>
              <w:rPr>
                <w:rFonts w:ascii="Times New Roman" w:hAnsi="Times New Roman" w:cs="Times New Roman"/>
                <w:color w:val="auto"/>
              </w:rPr>
            </w:pPr>
          </w:p>
          <w:p>
            <w:pPr>
              <w:pStyle w:val="33"/>
              <w:rPr>
                <w:rFonts w:ascii="Times New Roman" w:hAnsi="Times New Roman" w:cs="Times New Roman"/>
                <w:color w:val="auto"/>
              </w:rPr>
            </w:pPr>
          </w:p>
          <w:p>
            <w:pPr>
              <w:pStyle w:val="33"/>
              <w:rPr>
                <w:rFonts w:ascii="Times New Roman" w:hAnsi="Times New Roman" w:cs="Times New Roman"/>
                <w:color w:val="auto"/>
              </w:rPr>
            </w:pPr>
          </w:p>
          <w:p>
            <w:pPr>
              <w:pStyle w:val="33"/>
              <w:rPr>
                <w:rFonts w:ascii="Times New Roman" w:hAnsi="Times New Roman" w:cs="Times New Roman"/>
                <w:color w:val="auto"/>
              </w:rPr>
            </w:pPr>
          </w:p>
          <w:p>
            <w:pPr>
              <w:pStyle w:val="33"/>
              <w:rPr>
                <w:rFonts w:ascii="Times New Roman" w:hAnsi="Times New Roman" w:cs="Times New Roman"/>
                <w:color w:val="auto"/>
              </w:rPr>
            </w:pPr>
          </w:p>
          <w:p>
            <w:pPr>
              <w:pStyle w:val="33"/>
              <w:rPr>
                <w:rFonts w:ascii="Times New Roman" w:hAnsi="Times New Roman" w:cs="Times New Roman"/>
                <w:color w:val="auto"/>
              </w:rPr>
            </w:pPr>
          </w:p>
          <w:p>
            <w:pPr>
              <w:adjustRightInd w:val="0"/>
              <w:snapToGrid w:val="0"/>
              <w:spacing w:line="360" w:lineRule="auto"/>
              <w:ind w:firstLine="480" w:firstLineChars="200"/>
              <w:rPr>
                <w:rFonts w:cs="Times New Roman"/>
                <w:color w:val="auto"/>
                <w:sz w:val="24"/>
                <w:szCs w:val="24"/>
              </w:rPr>
            </w:pPr>
          </w:p>
          <w:p>
            <w:pPr>
              <w:adjustRightInd w:val="0"/>
              <w:snapToGrid w:val="0"/>
              <w:spacing w:line="360" w:lineRule="auto"/>
              <w:ind w:firstLine="562" w:firstLineChars="200"/>
              <w:rPr>
                <w:rFonts w:cs="Times New Roman"/>
                <w:b/>
                <w:color w:val="auto"/>
                <w:szCs w:val="28"/>
              </w:rPr>
            </w:pPr>
          </w:p>
        </w:tc>
      </w:tr>
    </w:tbl>
    <w:p>
      <w:pPr>
        <w:spacing w:line="360" w:lineRule="auto"/>
        <w:jc w:val="left"/>
        <w:rPr>
          <w:rFonts w:eastAsia="黑体" w:cs="Times New Roman"/>
          <w:color w:val="auto"/>
          <w:sz w:val="30"/>
        </w:rPr>
      </w:pPr>
      <w:r>
        <w:rPr>
          <w:rFonts w:cs="Times New Roman"/>
          <w:b/>
          <w:color w:val="auto"/>
          <w:sz w:val="30"/>
        </w:rPr>
        <w:br w:type="page"/>
      </w:r>
      <w:r>
        <w:rPr>
          <w:rFonts w:eastAsia="黑体" w:cs="Times New Roman"/>
          <w:color w:val="auto"/>
          <w:sz w:val="30"/>
        </w:rPr>
        <w:t>建设项目所在地自然环境简况</w:t>
      </w:r>
    </w:p>
    <w:tbl>
      <w:tblPr>
        <w:tblStyle w:val="26"/>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adjustRightInd w:val="0"/>
              <w:snapToGrid w:val="0"/>
              <w:spacing w:line="460" w:lineRule="exact"/>
              <w:jc w:val="left"/>
              <w:rPr>
                <w:rFonts w:eastAsia="黑体" w:cs="Times New Roman"/>
                <w:color w:val="auto"/>
                <w:sz w:val="26"/>
              </w:rPr>
            </w:pPr>
            <w:r>
              <w:rPr>
                <w:rFonts w:eastAsia="黑体" w:cs="Times New Roman"/>
                <w:color w:val="auto"/>
                <w:spacing w:val="-14"/>
                <w:szCs w:val="28"/>
              </w:rPr>
              <w:t>一、自然环境简况（地形、地貌、地质、气候、气象、水文、植被、生物多样性等）</w:t>
            </w:r>
            <w:r>
              <w:rPr>
                <w:rFonts w:eastAsia="黑体" w:cs="Times New Roman"/>
                <w:color w:val="auto"/>
                <w:sz w:val="26"/>
              </w:rPr>
              <w:t>：</w:t>
            </w:r>
          </w:p>
          <w:p>
            <w:pPr>
              <w:pStyle w:val="7"/>
              <w:keepNext w:val="0"/>
              <w:keepLines w:val="0"/>
              <w:numPr>
                <w:ilvl w:val="0"/>
                <w:numId w:val="3"/>
              </w:numPr>
              <w:adjustRightInd w:val="0"/>
              <w:snapToGrid w:val="0"/>
              <w:spacing w:before="0" w:after="0"/>
              <w:ind w:firstLine="480" w:firstLineChars="200"/>
              <w:rPr>
                <w:rFonts w:eastAsia="黑体"/>
                <w:b w:val="0"/>
                <w:color w:val="auto"/>
                <w:sz w:val="24"/>
                <w:lang w:eastAsia="zh-CN"/>
              </w:rPr>
            </w:pPr>
            <w:r>
              <w:rPr>
                <w:rFonts w:eastAsia="黑体"/>
                <w:b w:val="0"/>
                <w:color w:val="auto"/>
                <w:sz w:val="24"/>
                <w:lang w:eastAsia="zh-CN"/>
              </w:rPr>
              <w:t>地理位置</w:t>
            </w:r>
          </w:p>
          <w:p>
            <w:pPr>
              <w:adjustRightInd w:val="0"/>
              <w:snapToGrid w:val="0"/>
              <w:spacing w:line="460" w:lineRule="exact"/>
              <w:ind w:firstLine="570"/>
              <w:rPr>
                <w:rFonts w:cs="Times New Roman"/>
                <w:color w:val="auto"/>
                <w:spacing w:val="2"/>
                <w:sz w:val="24"/>
              </w:rPr>
            </w:pPr>
            <w:r>
              <w:rPr>
                <w:rFonts w:cs="Times New Roman"/>
                <w:color w:val="auto"/>
                <w:spacing w:val="2"/>
                <w:sz w:val="24"/>
              </w:rPr>
              <w:t>新乡市凤泉区位于新乡市城区北部，太行山余脉凤凰山麓。辖区面积115.6平方公里，耕地面积5958公顷。凤泉区交通十分便利，距市中心约10公里、省会郑州约99公里，京广铁路纵贯全境，东侧紧临京珠高速公路和107国道。</w:t>
            </w:r>
            <w:r>
              <w:rPr>
                <w:color w:val="auto"/>
              </w:rPr>
              <w:fldChar w:fldCharType="begin"/>
            </w:r>
            <w:r>
              <w:rPr>
                <w:color w:val="auto"/>
              </w:rPr>
              <w:instrText xml:space="preserve"> HYPERLINK "http://baike.baidu.com/view/690301.htm" </w:instrText>
            </w:r>
            <w:r>
              <w:rPr>
                <w:color w:val="auto"/>
              </w:rPr>
              <w:fldChar w:fldCharType="separate"/>
            </w:r>
            <w:r>
              <w:rPr>
                <w:rFonts w:cs="Times New Roman"/>
                <w:color w:val="auto"/>
                <w:spacing w:val="2"/>
                <w:sz w:val="24"/>
              </w:rPr>
              <w:t>南水北调中线工程</w:t>
            </w:r>
            <w:r>
              <w:rPr>
                <w:rFonts w:cs="Times New Roman"/>
                <w:color w:val="auto"/>
                <w:spacing w:val="2"/>
                <w:sz w:val="24"/>
              </w:rPr>
              <w:fldChar w:fldCharType="end"/>
            </w:r>
            <w:r>
              <w:rPr>
                <w:rFonts w:cs="Times New Roman"/>
                <w:color w:val="auto"/>
                <w:spacing w:val="2"/>
                <w:sz w:val="24"/>
              </w:rPr>
              <w:t>、济东高速公路、新晋高速公路以及</w:t>
            </w:r>
            <w:r>
              <w:rPr>
                <w:color w:val="auto"/>
              </w:rPr>
              <w:fldChar w:fldCharType="begin"/>
            </w:r>
            <w:r>
              <w:rPr>
                <w:color w:val="auto"/>
              </w:rPr>
              <w:instrText xml:space="preserve"> HYPERLINK "http://baike.baidu.com/view/15106.htm" </w:instrText>
            </w:r>
            <w:r>
              <w:rPr>
                <w:color w:val="auto"/>
              </w:rPr>
              <w:fldChar w:fldCharType="separate"/>
            </w:r>
            <w:r>
              <w:rPr>
                <w:rFonts w:cs="Times New Roman"/>
                <w:color w:val="auto"/>
                <w:spacing w:val="2"/>
                <w:sz w:val="24"/>
              </w:rPr>
              <w:t>西气东输</w:t>
            </w:r>
            <w:r>
              <w:rPr>
                <w:rFonts w:cs="Times New Roman"/>
                <w:color w:val="auto"/>
                <w:spacing w:val="2"/>
                <w:sz w:val="24"/>
              </w:rPr>
              <w:fldChar w:fldCharType="end"/>
            </w:r>
            <w:r>
              <w:rPr>
                <w:rFonts w:cs="Times New Roman"/>
                <w:color w:val="auto"/>
                <w:spacing w:val="2"/>
                <w:sz w:val="24"/>
              </w:rPr>
              <w:t>河南</w:t>
            </w:r>
            <w:r>
              <w:rPr>
                <w:color w:val="auto"/>
              </w:rPr>
              <w:fldChar w:fldCharType="begin"/>
            </w:r>
            <w:r>
              <w:rPr>
                <w:color w:val="auto"/>
              </w:rPr>
              <w:instrText xml:space="preserve"> HYPERLINK "http://baike.baidu.com/view/1198346.htm" </w:instrText>
            </w:r>
            <w:r>
              <w:rPr>
                <w:color w:val="auto"/>
              </w:rPr>
              <w:fldChar w:fldCharType="separate"/>
            </w:r>
            <w:r>
              <w:rPr>
                <w:rFonts w:cs="Times New Roman"/>
                <w:color w:val="auto"/>
                <w:spacing w:val="2"/>
                <w:sz w:val="24"/>
              </w:rPr>
              <w:t>豫北</w:t>
            </w:r>
            <w:r>
              <w:rPr>
                <w:rFonts w:cs="Times New Roman"/>
                <w:color w:val="auto"/>
                <w:spacing w:val="2"/>
                <w:sz w:val="24"/>
              </w:rPr>
              <w:fldChar w:fldCharType="end"/>
            </w:r>
            <w:r>
              <w:rPr>
                <w:rFonts w:cs="Times New Roman"/>
                <w:color w:val="auto"/>
                <w:spacing w:val="2"/>
                <w:sz w:val="24"/>
              </w:rPr>
              <w:t>支线均从境内通过。</w:t>
            </w:r>
          </w:p>
          <w:p>
            <w:pPr>
              <w:adjustRightInd w:val="0"/>
              <w:snapToGrid w:val="0"/>
              <w:spacing w:line="460" w:lineRule="exact"/>
              <w:ind w:firstLine="570"/>
              <w:rPr>
                <w:rFonts w:cs="Times New Roman"/>
                <w:color w:val="auto"/>
                <w:sz w:val="24"/>
              </w:rPr>
            </w:pPr>
            <w:r>
              <w:rPr>
                <w:rFonts w:hint="eastAsia" w:cs="Times New Roman"/>
                <w:color w:val="auto"/>
                <w:spacing w:val="2"/>
                <w:sz w:val="24"/>
                <w:lang w:eastAsia="zh-CN"/>
              </w:rPr>
              <w:t>新乡市动力电池专业园区</w:t>
            </w:r>
            <w:r>
              <w:rPr>
                <w:rFonts w:cs="Times New Roman"/>
                <w:color w:val="auto"/>
                <w:sz w:val="24"/>
              </w:rPr>
              <w:t>，具体地理位置详见附图一。</w:t>
            </w:r>
          </w:p>
          <w:p>
            <w:pPr>
              <w:adjustRightInd w:val="0"/>
              <w:snapToGrid w:val="0"/>
              <w:spacing w:line="460" w:lineRule="exact"/>
              <w:ind w:firstLine="570"/>
              <w:rPr>
                <w:rFonts w:eastAsia="黑体" w:cs="Times New Roman"/>
                <w:color w:val="auto"/>
                <w:sz w:val="24"/>
              </w:rPr>
            </w:pPr>
            <w:r>
              <w:rPr>
                <w:rFonts w:eastAsia="黑体" w:cs="Times New Roman"/>
                <w:color w:val="auto"/>
                <w:sz w:val="24"/>
              </w:rPr>
              <w:t>2、地质构造与地形地貌</w:t>
            </w:r>
          </w:p>
          <w:p>
            <w:pPr>
              <w:adjustRightInd w:val="0"/>
              <w:snapToGrid w:val="0"/>
              <w:spacing w:line="460" w:lineRule="exact"/>
              <w:ind w:firstLine="570"/>
              <w:rPr>
                <w:rFonts w:cs="Times New Roman"/>
                <w:color w:val="auto"/>
                <w:sz w:val="24"/>
              </w:rPr>
            </w:pPr>
            <w:r>
              <w:rPr>
                <w:rFonts w:cs="Times New Roman"/>
                <w:color w:val="auto"/>
                <w:sz w:val="24"/>
              </w:rPr>
              <w:t>项目所在区域所揭露的低层均为第四纪黄河冲积物，土体类型主要为粘性土组。土质均匀，层位稳定，层面坡角平缓，属中软场地土，建筑场地类型为Ⅱ类。根据饱和砂土的液化判别结果，不存在地震液化土层，地震作用下不会发生震陷。</w:t>
            </w:r>
          </w:p>
          <w:p>
            <w:pPr>
              <w:adjustRightInd w:val="0"/>
              <w:snapToGrid w:val="0"/>
              <w:spacing w:line="460" w:lineRule="exact"/>
              <w:ind w:firstLine="570"/>
              <w:rPr>
                <w:rFonts w:cs="Times New Roman"/>
                <w:color w:val="auto"/>
                <w:sz w:val="24"/>
              </w:rPr>
            </w:pPr>
            <w:r>
              <w:rPr>
                <w:rFonts w:cs="Times New Roman"/>
                <w:color w:val="auto"/>
                <w:sz w:val="24"/>
              </w:rPr>
              <w:t>凤泉区地处太行低山丘陵向平原过渡地带，地势北高南低，由西北至东南倾斜，最高为凤凰山主峰，海拔292.7m，最低杨九屯村东南，海拔68.9m。北部为低山丘陵，中部为冲洪积形成的洪积坡倾斜平原，南部是泄洪区汇集洼地，汛期为滞洪区，地势低且平坦，略向东南倾斜。</w:t>
            </w:r>
          </w:p>
          <w:p>
            <w:pPr>
              <w:adjustRightInd w:val="0"/>
              <w:snapToGrid w:val="0"/>
              <w:spacing w:line="460" w:lineRule="exact"/>
              <w:ind w:firstLine="570"/>
              <w:rPr>
                <w:rFonts w:eastAsia="黑体" w:cs="Times New Roman"/>
                <w:color w:val="auto"/>
                <w:sz w:val="24"/>
              </w:rPr>
            </w:pPr>
            <w:r>
              <w:rPr>
                <w:rFonts w:eastAsia="黑体" w:cs="Times New Roman"/>
                <w:color w:val="auto"/>
                <w:sz w:val="24"/>
              </w:rPr>
              <w:t>3、气候气象</w:t>
            </w:r>
          </w:p>
          <w:p>
            <w:pPr>
              <w:spacing w:line="360" w:lineRule="auto"/>
              <w:ind w:firstLine="480" w:firstLineChars="200"/>
              <w:jc w:val="left"/>
              <w:rPr>
                <w:color w:val="auto"/>
                <w:sz w:val="24"/>
                <w:szCs w:val="24"/>
              </w:rPr>
            </w:pPr>
            <w:r>
              <w:rPr>
                <w:color w:val="auto"/>
                <w:sz w:val="24"/>
                <w:szCs w:val="24"/>
              </w:rPr>
              <w:t>新乡市属于典型的暖温带大陆性季风气候，四季分明，降雨集中。冬季寒冷，春季干旱多风，夏季炎热多雨，秋季秋高气爽。</w:t>
            </w:r>
            <w:r>
              <w:rPr>
                <w:rFonts w:hint="eastAsia"/>
                <w:color w:val="auto"/>
                <w:sz w:val="24"/>
                <w:szCs w:val="24"/>
              </w:rPr>
              <w:t>根据</w:t>
            </w:r>
            <w:r>
              <w:rPr>
                <w:color w:val="auto"/>
                <w:sz w:val="24"/>
                <w:szCs w:val="24"/>
              </w:rPr>
              <w:t>新乡气象站（53986）</w:t>
            </w:r>
            <w:r>
              <w:rPr>
                <w:rFonts w:hint="eastAsia"/>
                <w:color w:val="auto"/>
                <w:sz w:val="24"/>
                <w:szCs w:val="24"/>
              </w:rPr>
              <w:t>统计</w:t>
            </w:r>
            <w:r>
              <w:rPr>
                <w:color w:val="auto"/>
                <w:sz w:val="24"/>
                <w:szCs w:val="24"/>
              </w:rPr>
              <w:t>资料，新乡市近20年（1998-2017年）的气象资料统计结果</w:t>
            </w:r>
            <w:r>
              <w:rPr>
                <w:rFonts w:hint="eastAsia"/>
                <w:color w:val="auto"/>
                <w:sz w:val="24"/>
                <w:szCs w:val="24"/>
              </w:rPr>
              <w:t>见表7。</w:t>
            </w:r>
          </w:p>
          <w:p>
            <w:pPr>
              <w:pStyle w:val="21"/>
              <w:ind w:firstLine="420"/>
              <w:rPr>
                <w:color w:val="auto"/>
                <w:szCs w:val="21"/>
              </w:rPr>
            </w:pPr>
            <w:r>
              <w:rPr>
                <w:rStyle w:val="105"/>
                <w:rFonts w:hint="eastAsia"/>
                <w:color w:val="auto"/>
              </w:rPr>
              <w:t xml:space="preserve">                </w:t>
            </w:r>
            <w:r>
              <w:rPr>
                <w:rStyle w:val="105"/>
                <w:color w:val="auto"/>
              </w:rPr>
              <w:t>新乡气象站常规气象项目统计（1998-2017）</w:t>
            </w:r>
          </w:p>
          <w:tbl>
            <w:tblPr>
              <w:tblStyle w:val="26"/>
              <w:tblW w:w="8695" w:type="dxa"/>
              <w:tblInd w:w="0" w:type="dxa"/>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Layout w:type="fixed"/>
              <w:tblCellMar>
                <w:top w:w="0" w:type="dxa"/>
                <w:left w:w="0" w:type="dxa"/>
                <w:bottom w:w="0" w:type="dxa"/>
                <w:right w:w="0" w:type="dxa"/>
              </w:tblCellMar>
            </w:tblPr>
            <w:tblGrid>
              <w:gridCol w:w="1309"/>
              <w:gridCol w:w="2745"/>
              <w:gridCol w:w="1438"/>
              <w:gridCol w:w="1788"/>
              <w:gridCol w:w="1415"/>
            </w:tblGrid>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2"/>
                    <w:rPr>
                      <w:rFonts w:cs="Times New Roman" w:eastAsiaTheme="minorEastAsia"/>
                      <w:b w:val="0"/>
                      <w:bCs/>
                      <w:color w:val="auto"/>
                      <w:sz w:val="18"/>
                      <w:szCs w:val="18"/>
                    </w:rPr>
                  </w:pPr>
                  <w:r>
                    <w:rPr>
                      <w:rFonts w:cs="Times New Roman" w:eastAsiaTheme="minorEastAsia"/>
                      <w:b w:val="0"/>
                      <w:bCs/>
                      <w:color w:val="auto"/>
                      <w:sz w:val="18"/>
                      <w:szCs w:val="18"/>
                    </w:rPr>
                    <w:t>统计项目</w:t>
                  </w:r>
                </w:p>
              </w:tc>
              <w:tc>
                <w:tcPr>
                  <w:tcW w:w="1438" w:type="dxa"/>
                  <w:vAlign w:val="center"/>
                </w:tcPr>
                <w:p>
                  <w:pPr>
                    <w:pStyle w:val="102"/>
                    <w:rPr>
                      <w:rFonts w:cs="Times New Roman" w:eastAsiaTheme="minorEastAsia"/>
                      <w:b w:val="0"/>
                      <w:bCs/>
                      <w:color w:val="auto"/>
                      <w:sz w:val="18"/>
                      <w:szCs w:val="18"/>
                    </w:rPr>
                  </w:pPr>
                  <w:r>
                    <w:rPr>
                      <w:rFonts w:cs="Times New Roman" w:eastAsiaTheme="minorEastAsia"/>
                      <w:b w:val="0"/>
                      <w:bCs/>
                      <w:color w:val="auto"/>
                      <w:sz w:val="18"/>
                      <w:szCs w:val="18"/>
                    </w:rPr>
                    <w:t>统计值</w:t>
                  </w:r>
                </w:p>
              </w:tc>
              <w:tc>
                <w:tcPr>
                  <w:tcW w:w="1788" w:type="dxa"/>
                  <w:vAlign w:val="center"/>
                </w:tcPr>
                <w:p>
                  <w:pPr>
                    <w:pStyle w:val="102"/>
                    <w:rPr>
                      <w:rFonts w:cs="Times New Roman" w:eastAsiaTheme="minorEastAsia"/>
                      <w:b w:val="0"/>
                      <w:bCs/>
                      <w:color w:val="auto"/>
                      <w:sz w:val="18"/>
                      <w:szCs w:val="18"/>
                    </w:rPr>
                  </w:pPr>
                  <w:r>
                    <w:rPr>
                      <w:rFonts w:cs="Times New Roman" w:eastAsiaTheme="minorEastAsia"/>
                      <w:b w:val="0"/>
                      <w:bCs/>
                      <w:color w:val="auto"/>
                      <w:sz w:val="18"/>
                      <w:szCs w:val="18"/>
                    </w:rPr>
                    <w:t>极值出现时间</w:t>
                  </w:r>
                </w:p>
              </w:tc>
              <w:tc>
                <w:tcPr>
                  <w:tcW w:w="1415" w:type="dxa"/>
                  <w:vAlign w:val="center"/>
                </w:tcPr>
                <w:p>
                  <w:pPr>
                    <w:pStyle w:val="102"/>
                    <w:rPr>
                      <w:rFonts w:cs="Times New Roman" w:eastAsiaTheme="minorEastAsia"/>
                      <w:b w:val="0"/>
                      <w:bCs/>
                      <w:color w:val="auto"/>
                      <w:sz w:val="18"/>
                      <w:szCs w:val="18"/>
                    </w:rPr>
                  </w:pPr>
                  <w:r>
                    <w:rPr>
                      <w:rFonts w:cs="Times New Roman" w:eastAsiaTheme="minorEastAsia"/>
                      <w:b w:val="0"/>
                      <w:bCs/>
                      <w:color w:val="auto"/>
                      <w:sz w:val="18"/>
                      <w:szCs w:val="18"/>
                    </w:rPr>
                    <w:t>极值</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多年平均气温（℃）</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15.2</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累年极端最高气温（℃）</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38.3</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2009-06-25</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40.9</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累年极端最低气温（℃）</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-9.4</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2016-01-24</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-13.1</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多年平均气压（hPa）</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1008.0</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多年平均水汽压（hPa）</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13.0</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多年平均相对湿度(%)</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63.9</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多年平均降雨量(mm)</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575.7</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2016-07-09</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414.0</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restart"/>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灾害天气统计</w:t>
                  </w:r>
                </w:p>
              </w:tc>
              <w:tc>
                <w:tcPr>
                  <w:tcW w:w="274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多年平均沙暴日数(d)</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0.3</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continue"/>
                  <w:vAlign w:val="center"/>
                </w:tcPr>
                <w:p>
                  <w:pPr>
                    <w:pStyle w:val="103"/>
                    <w:rPr>
                      <w:rFonts w:cs="Times New Roman" w:eastAsiaTheme="minorEastAsia"/>
                      <w:bCs/>
                      <w:color w:val="auto"/>
                      <w:sz w:val="18"/>
                      <w:szCs w:val="18"/>
                    </w:rPr>
                  </w:pPr>
                </w:p>
              </w:tc>
              <w:tc>
                <w:tcPr>
                  <w:tcW w:w="274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多年平均雷暴日数(d)</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21.6</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continue"/>
                  <w:vAlign w:val="center"/>
                </w:tcPr>
                <w:p>
                  <w:pPr>
                    <w:pStyle w:val="103"/>
                    <w:rPr>
                      <w:rFonts w:cs="Times New Roman" w:eastAsiaTheme="minorEastAsia"/>
                      <w:bCs/>
                      <w:color w:val="auto"/>
                      <w:sz w:val="18"/>
                      <w:szCs w:val="18"/>
                    </w:rPr>
                  </w:pPr>
                </w:p>
              </w:tc>
              <w:tc>
                <w:tcPr>
                  <w:tcW w:w="274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多年平均冰雹日数(d)</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0.3</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continue"/>
                  <w:vAlign w:val="center"/>
                </w:tcPr>
                <w:p>
                  <w:pPr>
                    <w:pStyle w:val="103"/>
                    <w:rPr>
                      <w:rFonts w:cs="Times New Roman" w:eastAsiaTheme="minorEastAsia"/>
                      <w:bCs/>
                      <w:color w:val="auto"/>
                      <w:sz w:val="18"/>
                      <w:szCs w:val="18"/>
                    </w:rPr>
                  </w:pPr>
                </w:p>
              </w:tc>
              <w:tc>
                <w:tcPr>
                  <w:tcW w:w="274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多年平均大风日数(d)</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3.9</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restart"/>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多年实测极大风速（m/s）、相应风向</w:t>
                  </w:r>
                </w:p>
              </w:tc>
              <w:tc>
                <w:tcPr>
                  <w:tcW w:w="1438" w:type="dxa"/>
                  <w:vMerge w:val="restart"/>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8.1</w:t>
                  </w:r>
                </w:p>
              </w:tc>
              <w:tc>
                <w:tcPr>
                  <w:tcW w:w="1788" w:type="dxa"/>
                  <w:vMerge w:val="restart"/>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2002-06-01</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23.8</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continue"/>
                  <w:vAlign w:val="center"/>
                </w:tcPr>
                <w:p>
                  <w:pPr>
                    <w:pStyle w:val="103"/>
                    <w:rPr>
                      <w:rFonts w:cs="Times New Roman" w:eastAsiaTheme="minorEastAsia"/>
                      <w:bCs/>
                      <w:color w:val="auto"/>
                      <w:sz w:val="18"/>
                      <w:szCs w:val="18"/>
                    </w:rPr>
                  </w:pPr>
                </w:p>
              </w:tc>
              <w:tc>
                <w:tcPr>
                  <w:tcW w:w="1438" w:type="dxa"/>
                  <w:vMerge w:val="continue"/>
                  <w:vAlign w:val="center"/>
                </w:tcPr>
                <w:p>
                  <w:pPr>
                    <w:pStyle w:val="103"/>
                    <w:rPr>
                      <w:rFonts w:cs="Times New Roman" w:eastAsiaTheme="minorEastAsia"/>
                      <w:bCs/>
                      <w:color w:val="auto"/>
                      <w:sz w:val="18"/>
                      <w:szCs w:val="18"/>
                    </w:rPr>
                  </w:pPr>
                </w:p>
              </w:tc>
              <w:tc>
                <w:tcPr>
                  <w:tcW w:w="1788" w:type="dxa"/>
                  <w:vMerge w:val="continue"/>
                  <w:vAlign w:val="center"/>
                </w:tcPr>
                <w:p>
                  <w:pPr>
                    <w:pStyle w:val="103"/>
                    <w:rPr>
                      <w:rFonts w:cs="Times New Roman" w:eastAsiaTheme="minorEastAsia"/>
                      <w:bCs/>
                      <w:color w:val="auto"/>
                      <w:sz w:val="18"/>
                      <w:szCs w:val="18"/>
                    </w:rPr>
                  </w:pP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N</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多年平均风速（m/s）</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2.1</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restart"/>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多年主导风向、风向频率(%)</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ENE</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continue"/>
                  <w:vAlign w:val="center"/>
                </w:tcPr>
                <w:p>
                  <w:pPr>
                    <w:pStyle w:val="103"/>
                    <w:rPr>
                      <w:rFonts w:cs="Times New Roman" w:eastAsiaTheme="minorEastAsia"/>
                      <w:bCs/>
                      <w:color w:val="auto"/>
                      <w:sz w:val="18"/>
                      <w:szCs w:val="18"/>
                    </w:rPr>
                  </w:pP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17.0</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r>
              <w:tblPrEx>
                <w:tblBorders>
                  <w:top w:val="single" w:color="000001" w:sz="8" w:space="0"/>
                  <w:left w:val="none" w:color="auto" w:sz="0" w:space="0"/>
                  <w:bottom w:val="single" w:color="000001" w:sz="8"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多年静风频率(风速&lt;0.2m/s)(%)</w:t>
                  </w:r>
                </w:p>
              </w:tc>
              <w:tc>
                <w:tcPr>
                  <w:tcW w:w="143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11.8</w:t>
                  </w:r>
                </w:p>
              </w:tc>
              <w:tc>
                <w:tcPr>
                  <w:tcW w:w="1788"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c>
                <w:tcPr>
                  <w:tcW w:w="1415" w:type="dxa"/>
                  <w:vAlign w:val="center"/>
                </w:tcPr>
                <w:p>
                  <w:pPr>
                    <w:pStyle w:val="103"/>
                    <w:rPr>
                      <w:rFonts w:cs="Times New Roman" w:eastAsiaTheme="minorEastAsia"/>
                      <w:bCs/>
                      <w:color w:val="auto"/>
                      <w:sz w:val="18"/>
                      <w:szCs w:val="18"/>
                    </w:rPr>
                  </w:pPr>
                  <w:r>
                    <w:rPr>
                      <w:rFonts w:cs="Times New Roman" w:eastAsiaTheme="minorEastAsia"/>
                      <w:bCs/>
                      <w:color w:val="auto"/>
                      <w:sz w:val="18"/>
                      <w:szCs w:val="18"/>
                    </w:rPr>
                    <w:t>/</w:t>
                  </w:r>
                </w:p>
              </w:tc>
            </w:tr>
          </w:tbl>
          <w:p>
            <w:pPr>
              <w:spacing w:line="360" w:lineRule="auto"/>
              <w:ind w:firstLine="480" w:firstLineChars="200"/>
              <w:rPr>
                <w:rFonts w:eastAsia="黑体" w:cs="Times New Roman"/>
                <w:color w:val="auto"/>
                <w:sz w:val="24"/>
              </w:rPr>
            </w:pPr>
            <w:r>
              <w:rPr>
                <w:rFonts w:eastAsia="黑体" w:cs="Times New Roman"/>
                <w:color w:val="auto"/>
                <w:sz w:val="24"/>
              </w:rPr>
              <w:t>4、水文特征</w:t>
            </w:r>
          </w:p>
          <w:p>
            <w:pPr>
              <w:spacing w:line="360" w:lineRule="auto"/>
              <w:ind w:firstLine="480" w:firstLineChars="200"/>
              <w:rPr>
                <w:rFonts w:cs="Times New Roman"/>
                <w:color w:val="auto"/>
                <w:sz w:val="24"/>
              </w:rPr>
            </w:pPr>
            <w:r>
              <w:rPr>
                <w:rFonts w:cs="Times New Roman"/>
                <w:color w:val="auto"/>
                <w:sz w:val="24"/>
              </w:rPr>
              <w:t>（1）地表水</w:t>
            </w:r>
            <w:r>
              <w:rPr>
                <w:rFonts w:hint="eastAsia" w:cs="Times New Roman"/>
                <w:color w:val="auto"/>
                <w:sz w:val="24"/>
              </w:rPr>
              <w:t>：</w:t>
            </w:r>
            <w:r>
              <w:rPr>
                <w:rFonts w:cs="Times New Roman"/>
                <w:color w:val="auto"/>
                <w:sz w:val="24"/>
              </w:rPr>
              <w:t>项目所在区域地表水主要有民生渠和共产主义渠，属海河流域。</w:t>
            </w:r>
          </w:p>
          <w:p>
            <w:pPr>
              <w:spacing w:line="360" w:lineRule="auto"/>
              <w:ind w:firstLine="480" w:firstLineChars="200"/>
              <w:rPr>
                <w:rFonts w:cs="Times New Roman"/>
                <w:color w:val="auto"/>
                <w:sz w:val="24"/>
              </w:rPr>
            </w:pPr>
            <w:r>
              <w:rPr>
                <w:rFonts w:cs="Times New Roman"/>
                <w:color w:val="auto"/>
                <w:sz w:val="24"/>
              </w:rPr>
              <w:fldChar w:fldCharType="begin"/>
            </w:r>
            <w:r>
              <w:rPr>
                <w:rFonts w:cs="Times New Roman"/>
                <w:color w:val="auto"/>
                <w:sz w:val="24"/>
              </w:rPr>
              <w:instrText xml:space="preserve"> = 1 \* GB3 \* MERGEFORMAT </w:instrText>
            </w:r>
            <w:r>
              <w:rPr>
                <w:rFonts w:cs="Times New Roman"/>
                <w:color w:val="auto"/>
                <w:sz w:val="24"/>
              </w:rPr>
              <w:fldChar w:fldCharType="separate"/>
            </w:r>
            <w:r>
              <w:rPr>
                <w:rFonts w:cs="Times New Roman"/>
                <w:color w:val="auto"/>
                <w:sz w:val="24"/>
              </w:rPr>
              <w:t>①</w:t>
            </w:r>
            <w:r>
              <w:rPr>
                <w:rFonts w:cs="Times New Roman"/>
                <w:color w:val="auto"/>
                <w:sz w:val="24"/>
              </w:rPr>
              <w:fldChar w:fldCharType="end"/>
            </w:r>
            <w:r>
              <w:rPr>
                <w:rFonts w:cs="Times New Roman"/>
                <w:color w:val="auto"/>
                <w:sz w:val="24"/>
              </w:rPr>
              <w:t>共产主义渠：共产主义渠为人工开挖的河流，自获嘉县小段庄入新乡市，从卫辉市小河口出境，全长约88km,。规划水体功能为</w:t>
            </w:r>
            <w:r>
              <w:rPr>
                <w:rFonts w:cs="Times New Roman"/>
                <w:color w:val="auto"/>
                <w:sz w:val="24"/>
              </w:rPr>
              <w:fldChar w:fldCharType="begin"/>
            </w:r>
            <w:r>
              <w:rPr>
                <w:rFonts w:cs="Times New Roman"/>
                <w:color w:val="auto"/>
                <w:sz w:val="24"/>
              </w:rPr>
              <w:instrText xml:space="preserve"> = 5 \* ROMAN </w:instrText>
            </w:r>
            <w:r>
              <w:rPr>
                <w:rFonts w:cs="Times New Roman"/>
                <w:color w:val="auto"/>
                <w:sz w:val="24"/>
              </w:rPr>
              <w:fldChar w:fldCharType="separate"/>
            </w:r>
            <w:r>
              <w:rPr>
                <w:rFonts w:cs="Times New Roman"/>
                <w:color w:val="auto"/>
                <w:sz w:val="24"/>
              </w:rPr>
              <w:t>V</w:t>
            </w:r>
            <w:r>
              <w:rPr>
                <w:rFonts w:cs="Times New Roman"/>
                <w:color w:val="auto"/>
                <w:sz w:val="24"/>
              </w:rPr>
              <w:fldChar w:fldCharType="end"/>
            </w:r>
            <w:r>
              <w:rPr>
                <w:rFonts w:cs="Times New Roman"/>
                <w:color w:val="auto"/>
                <w:sz w:val="24"/>
              </w:rPr>
              <w:t>类，目前其水质已超出</w:t>
            </w:r>
            <w:r>
              <w:rPr>
                <w:rFonts w:cs="Times New Roman"/>
                <w:color w:val="auto"/>
                <w:sz w:val="24"/>
              </w:rPr>
              <w:fldChar w:fldCharType="begin"/>
            </w:r>
            <w:r>
              <w:rPr>
                <w:rFonts w:cs="Times New Roman"/>
                <w:color w:val="auto"/>
                <w:sz w:val="24"/>
              </w:rPr>
              <w:instrText xml:space="preserve"> = 5 \* ROMAN </w:instrText>
            </w:r>
            <w:r>
              <w:rPr>
                <w:rFonts w:cs="Times New Roman"/>
                <w:color w:val="auto"/>
                <w:sz w:val="24"/>
              </w:rPr>
              <w:fldChar w:fldCharType="separate"/>
            </w:r>
            <w:r>
              <w:rPr>
                <w:rFonts w:cs="Times New Roman"/>
                <w:color w:val="auto"/>
                <w:sz w:val="24"/>
              </w:rPr>
              <w:t>V</w:t>
            </w:r>
            <w:r>
              <w:rPr>
                <w:rFonts w:cs="Times New Roman"/>
                <w:color w:val="auto"/>
                <w:sz w:val="24"/>
              </w:rPr>
              <w:fldChar w:fldCharType="end"/>
            </w:r>
            <w:r>
              <w:rPr>
                <w:rFonts w:cs="Times New Roman"/>
                <w:color w:val="auto"/>
                <w:sz w:val="24"/>
              </w:rPr>
              <w:t>类标准要求。</w:t>
            </w:r>
          </w:p>
          <w:p>
            <w:pPr>
              <w:adjustRightInd w:val="0"/>
              <w:snapToGrid w:val="0"/>
              <w:spacing w:line="360" w:lineRule="auto"/>
              <w:ind w:firstLine="480" w:firstLineChars="200"/>
              <w:rPr>
                <w:rFonts w:cs="Times New Roman"/>
                <w:color w:val="auto"/>
                <w:sz w:val="24"/>
              </w:rPr>
            </w:pPr>
            <w:r>
              <w:rPr>
                <w:rFonts w:cs="Times New Roman"/>
                <w:color w:val="auto"/>
                <w:sz w:val="24"/>
              </w:rPr>
              <w:fldChar w:fldCharType="begin"/>
            </w:r>
            <w:r>
              <w:rPr>
                <w:rFonts w:cs="Times New Roman"/>
                <w:color w:val="auto"/>
                <w:sz w:val="24"/>
              </w:rPr>
              <w:instrText xml:space="preserve"> = 2 \* GB3 \* MERGEFORMAT </w:instrText>
            </w:r>
            <w:r>
              <w:rPr>
                <w:rFonts w:cs="Times New Roman"/>
                <w:color w:val="auto"/>
                <w:sz w:val="24"/>
              </w:rPr>
              <w:fldChar w:fldCharType="separate"/>
            </w:r>
            <w:r>
              <w:rPr>
                <w:rFonts w:cs="Times New Roman"/>
                <w:color w:val="auto"/>
                <w:sz w:val="24"/>
              </w:rPr>
              <w:t>②</w:t>
            </w:r>
            <w:r>
              <w:rPr>
                <w:rFonts w:cs="Times New Roman"/>
                <w:color w:val="auto"/>
                <w:sz w:val="24"/>
              </w:rPr>
              <w:fldChar w:fldCharType="end"/>
            </w:r>
            <w:r>
              <w:rPr>
                <w:rFonts w:cs="Times New Roman"/>
                <w:color w:val="auto"/>
                <w:sz w:val="24"/>
              </w:rPr>
              <w:t>民生渠：民生渠是共渠的支流，全长12.5km，是沿途主要的纳污河流，由于接纳了大量生产、生活废水，目前其水质已超过地面水V类标准要求，主要污染物为COD、氨氮。</w:t>
            </w:r>
          </w:p>
          <w:p>
            <w:pPr>
              <w:adjustRightInd w:val="0"/>
              <w:snapToGrid w:val="0"/>
              <w:spacing w:line="360" w:lineRule="auto"/>
              <w:ind w:firstLine="480" w:firstLineChars="200"/>
              <w:rPr>
                <w:rFonts w:cs="Times New Roman"/>
                <w:color w:val="auto"/>
                <w:sz w:val="24"/>
              </w:rPr>
            </w:pPr>
            <w:r>
              <w:rPr>
                <w:rFonts w:cs="Times New Roman"/>
                <w:color w:val="auto"/>
                <w:sz w:val="24"/>
              </w:rPr>
              <w:fldChar w:fldCharType="begin"/>
            </w:r>
            <w:r>
              <w:rPr>
                <w:rFonts w:cs="Times New Roman"/>
                <w:color w:val="auto"/>
                <w:sz w:val="24"/>
              </w:rPr>
              <w:instrText xml:space="preserve"> = 3 \* GB3 </w:instrText>
            </w:r>
            <w:r>
              <w:rPr>
                <w:rFonts w:cs="Times New Roman"/>
                <w:color w:val="auto"/>
                <w:sz w:val="24"/>
              </w:rPr>
              <w:fldChar w:fldCharType="separate"/>
            </w:r>
            <w:r>
              <w:rPr>
                <w:rFonts w:cs="Times New Roman"/>
                <w:color w:val="auto"/>
                <w:sz w:val="24"/>
              </w:rPr>
              <w:t>③</w:t>
            </w:r>
            <w:r>
              <w:rPr>
                <w:rFonts w:cs="Times New Roman"/>
                <w:color w:val="auto"/>
                <w:sz w:val="24"/>
              </w:rPr>
              <w:fldChar w:fldCharType="end"/>
            </w:r>
            <w:r>
              <w:rPr>
                <w:rFonts w:cs="Times New Roman"/>
                <w:color w:val="auto"/>
                <w:sz w:val="24"/>
              </w:rPr>
              <w:t>北堤河：</w:t>
            </w:r>
            <w:r>
              <w:rPr>
                <w:rFonts w:cs="Times New Roman"/>
                <w:color w:val="auto"/>
                <w:sz w:val="24"/>
                <w:szCs w:val="28"/>
              </w:rPr>
              <w:t>共渠的支流，是沿途主要的纳污河流，由于接纳了大量生产、生活废水，目前其水质已超过地面水V类标准要求。</w:t>
            </w:r>
          </w:p>
          <w:p>
            <w:pPr>
              <w:adjustRightInd w:val="0"/>
              <w:snapToGrid w:val="0"/>
              <w:spacing w:line="360" w:lineRule="auto"/>
              <w:ind w:firstLine="480" w:firstLineChars="200"/>
              <w:rPr>
                <w:rFonts w:cs="Times New Roman"/>
                <w:color w:val="auto"/>
                <w:sz w:val="24"/>
              </w:rPr>
            </w:pPr>
            <w:r>
              <w:rPr>
                <w:rFonts w:cs="Times New Roman"/>
                <w:color w:val="auto"/>
                <w:sz w:val="24"/>
              </w:rPr>
              <w:t>距离项目厂址最近的地表水体为项目</w:t>
            </w:r>
            <w:r>
              <w:rPr>
                <w:rFonts w:hint="eastAsia" w:cs="Times New Roman"/>
                <w:color w:val="auto"/>
                <w:sz w:val="24"/>
              </w:rPr>
              <w:t>东侧的北堤河</w:t>
            </w:r>
            <w:r>
              <w:rPr>
                <w:rFonts w:cs="Times New Roman"/>
                <w:color w:val="auto"/>
                <w:sz w:val="24"/>
              </w:rPr>
              <w:t>。</w:t>
            </w:r>
          </w:p>
          <w:p>
            <w:pPr>
              <w:adjustRightInd w:val="0"/>
              <w:snapToGrid w:val="0"/>
              <w:spacing w:line="360" w:lineRule="auto"/>
              <w:ind w:firstLine="480" w:firstLineChars="200"/>
              <w:rPr>
                <w:rFonts w:cs="Times New Roman"/>
                <w:color w:val="auto"/>
                <w:sz w:val="24"/>
              </w:rPr>
            </w:pPr>
            <w:r>
              <w:rPr>
                <w:rFonts w:cs="Times New Roman"/>
                <w:color w:val="auto"/>
                <w:sz w:val="24"/>
              </w:rPr>
              <w:t>（2）地下水</w:t>
            </w:r>
            <w:r>
              <w:rPr>
                <w:rFonts w:hint="eastAsia" w:cs="Times New Roman"/>
                <w:color w:val="auto"/>
                <w:sz w:val="24"/>
              </w:rPr>
              <w:t>：</w:t>
            </w:r>
            <w:r>
              <w:rPr>
                <w:rFonts w:cs="Times New Roman"/>
                <w:color w:val="auto"/>
                <w:sz w:val="24"/>
              </w:rPr>
              <w:t>该地区地下水资源丰富。经探测表明：该地区浅层水顶板埋深4－8m，底板埋深71－87m，以中砂为主。中层水顶板埋深73－97m，底板埋深124－137m，以中细砂为主，地下水矿化度小于0.7g/L。地下水流向从西南至东北。</w:t>
            </w:r>
          </w:p>
          <w:p>
            <w:pPr>
              <w:adjustRightInd w:val="0"/>
              <w:snapToGrid w:val="0"/>
              <w:spacing w:line="360" w:lineRule="auto"/>
              <w:ind w:firstLine="480" w:firstLineChars="200"/>
              <w:rPr>
                <w:rFonts w:eastAsia="黑体" w:cs="Times New Roman"/>
                <w:color w:val="auto"/>
                <w:sz w:val="24"/>
              </w:rPr>
            </w:pPr>
            <w:r>
              <w:rPr>
                <w:rFonts w:eastAsia="黑体" w:cs="Times New Roman"/>
                <w:color w:val="auto"/>
                <w:sz w:val="24"/>
              </w:rPr>
              <w:t>5、土壤与植被</w:t>
            </w:r>
          </w:p>
          <w:p>
            <w:pPr>
              <w:adjustRightInd w:val="0"/>
              <w:snapToGrid w:val="0"/>
              <w:spacing w:line="360" w:lineRule="auto"/>
              <w:ind w:firstLine="480" w:firstLineChars="200"/>
              <w:rPr>
                <w:rFonts w:cs="Times New Roman"/>
                <w:color w:val="auto"/>
                <w:sz w:val="24"/>
              </w:rPr>
            </w:pPr>
            <w:r>
              <w:rPr>
                <w:rFonts w:cs="Times New Roman"/>
                <w:color w:val="auto"/>
                <w:sz w:val="24"/>
              </w:rPr>
              <w:t>新乡市土壤分两大类：潮土和褐土。卫河两岸属潮土类，北部丘陵属褐土类。泻洪区属潮土向褐土过度的湿潮土。由于成土母质、地形及熟化条件的差异，潮土类中有二合土、淤土、青砂土和盐碱土。褐土类中有粗骨土、红粘土、红垆土等。新乡市自南向北，土壤类型由简单到复杂，土壤表层质地由轻变重。</w:t>
            </w:r>
          </w:p>
          <w:p>
            <w:pPr>
              <w:adjustRightInd w:val="0"/>
              <w:snapToGrid w:val="0"/>
              <w:spacing w:line="360" w:lineRule="auto"/>
              <w:ind w:firstLine="480" w:firstLineChars="200"/>
              <w:rPr>
                <w:rFonts w:cs="Times New Roman"/>
                <w:b/>
                <w:color w:val="auto"/>
                <w:kern w:val="0"/>
                <w:sz w:val="24"/>
                <w:szCs w:val="24"/>
              </w:rPr>
            </w:pPr>
            <w:r>
              <w:rPr>
                <w:rFonts w:cs="Times New Roman"/>
                <w:color w:val="auto"/>
                <w:sz w:val="24"/>
              </w:rPr>
              <w:t>项目所在区域土壤分属潮土向褐土过渡的湿潮土、沙土。区内地表植被主要是林草及农作物，主要树种有国槐、刺槐、泡桐、柳树等；主要灌木有白蜡条、胡枝子等；主要草类有白草、黄背草、蒿类；主要农作物有小麦、玉米、红薯、花生以及小杂粮等。</w:t>
            </w:r>
          </w:p>
          <w:p>
            <w:pPr>
              <w:spacing w:line="360" w:lineRule="auto"/>
              <w:rPr>
                <w:rFonts w:eastAsia="黑体" w:cs="Times New Roman"/>
                <w:color w:val="auto"/>
                <w:szCs w:val="28"/>
              </w:rPr>
            </w:pPr>
            <w:r>
              <w:rPr>
                <w:rFonts w:eastAsia="黑体" w:cs="Times New Roman"/>
                <w:color w:val="auto"/>
                <w:szCs w:val="28"/>
              </w:rPr>
              <w:t>二、相关规划</w:t>
            </w:r>
          </w:p>
          <w:p>
            <w:pPr>
              <w:spacing w:line="360" w:lineRule="auto"/>
              <w:textAlignment w:val="baseline"/>
              <w:rPr>
                <w:rFonts w:eastAsia="黑体" w:cs="Times New Roman"/>
                <w:color w:val="auto"/>
                <w:sz w:val="24"/>
                <w:szCs w:val="24"/>
              </w:rPr>
            </w:pPr>
            <w:r>
              <w:rPr>
                <w:rFonts w:eastAsia="黑体" w:cs="Times New Roman"/>
                <w:color w:val="auto"/>
                <w:sz w:val="24"/>
                <w:szCs w:val="24"/>
              </w:rPr>
              <w:t>1、《新乡市动力电池专业园区发展规划（2017-2020）》</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新乡市动力电池专业园区发展规划（2017-2020）》由新乡市凤泉区人民政府组织编制，新乡市人民政府于2017年11月发布《新乡市人民政府关于印发新乡市动力电池专业园区发展规划(2017-2020年)的通知》（新政文（2017）131号），该规划已经于2017年9月27日市政府第77次常务会议审议通过,并印发各县(市)、区人民政府,市人民政府各部门贯彻执行。同时，该专业园区已经编制了《新乡市动力电池专业园区发展规划(2017-2020年)环境影响报告书》，并通过新乡市生态环境保护局审批，审批文号“新环书审[2019]1号”，结合规划及规划环评对规划内容介绍如下：</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（1）规划范围</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新乡市动力电池专业园区位于凤泉区，分东、西两个片区，规划面积为6.16平方公里。</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东片区位于凤泉区耿黄乡和宝西办事处，规划面积3.02平方公里，规划范围：北至宝山西路，西至新辉路和与辉县市区界，南至长济高速，东边界自北向南依次是龙潭路、纬十三路、道西街；</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西片区位于凤泉区大块镇，规划面积3.14平方公里，规划范围：北边界自西向东依次为块陈路、经三路、中心路，西边界自北向南依次是经六路、李大路、新辉路，南至与牧野区区界，东至经一路。</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本项目选址位于新乡市动力电池专业园区西片区。</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（2）</w:t>
            </w:r>
            <w:bookmarkStart w:id="6" w:name="_Toc492380468"/>
            <w:r>
              <w:rPr>
                <w:rFonts w:cs="Times New Roman"/>
                <w:color w:val="auto"/>
                <w:sz w:val="24"/>
                <w:szCs w:val="24"/>
              </w:rPr>
              <w:t>规划期限</w:t>
            </w:r>
            <w:bookmarkEnd w:id="6"/>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规划基准年为2016年；</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规划年限为2017—2020年，展望到2025年。</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（3）发展定位</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新乡市动力电池专业园区的定位为：</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1、中西部动力电池研发生产基地</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突出发展动力电池产业，做大产业规模、完善产业链条，形成集聚效应，努力打造中西部重要的动力电池产业研发生产基地。</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2、郑洛新国家自主创新示范区先行区，</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动力电池专业园区是全市先进制造业专业园区，是郑洛新国家自主创新示范区新乡片区打造造产业集群集聚发展样板区的重要支撑。规划期内，动力电池专业园区将坚持创新驱动，用好郑洛新国家自主创新示范区支持政策，突出主体、平台、机制三个环节，用好自主创新、开放创新、协同创新三个途径，把动力电池专业园区建设成为产业集群集聚发展、科技协同开放创新、体制机制创新的先行区。</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3、凤泉区经济重要增长极</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动力电池专业园区作为未来凤泉区主要的产业集中发展空间，其增长极功能主要表现在：动力电池产业发展符合国家、省市鼓励和凤泉区做大做强的产业方向，企业数量的增多和经营效益的提高，促使全区经济总量逐步扩大，而且产业园区的产值在地区生产总值中比重逐步增加，是全区最重要的经济增长点，以园区内产业的发展带动一产、三产等发展。</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4、全区现代化城市空间生长极</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作为传统工业区，凤泉区虽然面积不大，但城镇化水平较低；城区内部空间布局不合理，遍布停产、半停产企业，城市面貌陈旧；配套功能不完善，城区交通、环境、住房等基础设施及教育、医疗、安全等公共服务配套设施相对滞后。</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生产功能是城市四大功能（生产、生活、交通、游憩）之一，产业园区是城市的重要功能区。以产业园区建设带动城市空间拓展、配套功能完善，是城市发展的重要动力模式，产业园区是凤泉区城市的空间生长极。</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（4）总体布局</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规划结合专业园区区位交通、用地条件和建设条件等因素，考虑专业园区空间形态以及合理的空间布局结构，规划形成“两轴、两片区”的空间布局结构。</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两轴：沿新辉路南北向空间联系轴和沿宝山西路-块陈路东西向空间联系轴。</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两片区：东部动力电池及装备片区、西部电源材料及配件片区。</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项目选址位于新乡市动力电池专业园区西片区，属于电源材料及配件片区，详见附图六，项目属于</w:t>
            </w:r>
            <w:r>
              <w:rPr>
                <w:rFonts w:hint="eastAsia" w:cs="Times New Roman"/>
                <w:color w:val="auto"/>
                <w:sz w:val="24"/>
                <w:szCs w:val="24"/>
              </w:rPr>
              <w:t>锂电池</w:t>
            </w:r>
            <w:r>
              <w:rPr>
                <w:rFonts w:cs="Times New Roman"/>
                <w:color w:val="auto"/>
                <w:sz w:val="24"/>
                <w:szCs w:val="24"/>
              </w:rPr>
              <w:t>制造，符合新乡市动力电池专业园区总体布局要求。</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（5）基础设施规划</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fldChar w:fldCharType="begin"/>
            </w:r>
            <w:r>
              <w:rPr>
                <w:rFonts w:cs="Times New Roman"/>
                <w:color w:val="auto"/>
                <w:sz w:val="24"/>
                <w:szCs w:val="24"/>
              </w:rPr>
              <w:instrText xml:space="preserve"> = 1 \* GB3 </w:instrText>
            </w:r>
            <w:r>
              <w:rPr>
                <w:rFonts w:cs="Times New Roman"/>
                <w:color w:val="auto"/>
                <w:sz w:val="24"/>
                <w:szCs w:val="24"/>
              </w:rPr>
              <w:fldChar w:fldCharType="separate"/>
            </w:r>
            <w:r>
              <w:rPr>
                <w:rFonts w:ascii="宋体" w:cs="Times New Roman"/>
                <w:color w:val="auto"/>
                <w:sz w:val="24"/>
                <w:szCs w:val="24"/>
              </w:rPr>
              <w:t>①</w:t>
            </w:r>
            <w:r>
              <w:rPr>
                <w:rFonts w:cs="Times New Roman"/>
                <w:color w:val="auto"/>
                <w:sz w:val="24"/>
                <w:szCs w:val="24"/>
              </w:rPr>
              <w:fldChar w:fldCharType="end"/>
            </w:r>
            <w:r>
              <w:rPr>
                <w:rFonts w:cs="Times New Roman"/>
                <w:color w:val="auto"/>
                <w:sz w:val="24"/>
                <w:szCs w:val="24"/>
              </w:rPr>
              <w:t>给水工程规划</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东片区用水由凤泉区现有的5.0万立方米/日的自来水厂供给，西片区用水由大块镇镇区现有自来水厂（规划供水能力升级至4.0万立方米/日）供给。两处水厂的水源近期采用地下水，远期采用南水北调水。</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整个园区的给水管网采用生产、生活、消防共用的给水系统。供水干管沿主次干路成环状布置，供水支管沿主要支路成枝状布置，形成环状与枝状形结合的供水系统。规划将东片区给水管网与凤泉城区给水管网相衔接，西片区给水管网与大块镇镇区给水管网相衔接，以提高园区供水的安全性与可靠性。</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项目选址位于西片区，经调查，目前厂址区域暂未实现集中供水，企业采用自备井进行供水，评价要求待厂址区域实现集中供水后企业采用集中供水作为水源。</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fldChar w:fldCharType="begin"/>
            </w:r>
            <w:r>
              <w:rPr>
                <w:rFonts w:cs="Times New Roman"/>
                <w:color w:val="auto"/>
                <w:sz w:val="24"/>
                <w:szCs w:val="24"/>
              </w:rPr>
              <w:instrText xml:space="preserve"> = 2 \* GB3 </w:instrText>
            </w:r>
            <w:r>
              <w:rPr>
                <w:rFonts w:cs="Times New Roman"/>
                <w:color w:val="auto"/>
                <w:sz w:val="24"/>
                <w:szCs w:val="24"/>
              </w:rPr>
              <w:fldChar w:fldCharType="separate"/>
            </w:r>
            <w:r>
              <w:rPr>
                <w:rFonts w:ascii="宋体" w:cs="Times New Roman"/>
                <w:color w:val="auto"/>
                <w:sz w:val="24"/>
                <w:szCs w:val="24"/>
              </w:rPr>
              <w:t>②</w:t>
            </w:r>
            <w:r>
              <w:rPr>
                <w:rFonts w:cs="Times New Roman"/>
                <w:color w:val="auto"/>
                <w:sz w:val="24"/>
                <w:szCs w:val="24"/>
              </w:rPr>
              <w:fldChar w:fldCharType="end"/>
            </w:r>
            <w:r>
              <w:rPr>
                <w:rFonts w:cs="Times New Roman"/>
                <w:color w:val="auto"/>
                <w:sz w:val="24"/>
                <w:szCs w:val="24"/>
              </w:rPr>
              <w:t>排水工程规划</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东片区采用雨、污分流的排水体制，污水进入凤泉城区污水管网，经在建的设计污水处理能力3.0万立方米/日的凤泉区污水处理厂（位于站前路与新中大道交叉口东南）处理后排放。</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西片区排水系统采用雨、污水分流制。规划在经一路与民生渠相交处东北角新建一座占地3.85公顷、处理能力3.0万立方米/日的大块镇污水处理厂，西片区污水进入大块镇镇区新建污水处理厂后，经处理达标后排放。</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东、西片区内的雨水管网均采用枝状布置。东片区雨水根据地形及地面自然坡度，雨水就近排入民生渠；西片区雨水经管网收集后，经过沿民生渠设置的雨水泵站提升后，最终排入民生渠。</w:t>
            </w:r>
          </w:p>
          <w:p>
            <w:pPr>
              <w:tabs>
                <w:tab w:val="left" w:pos="7013"/>
              </w:tabs>
              <w:autoSpaceDE w:val="0"/>
              <w:autoSpaceDN w:val="0"/>
              <w:adjustRightInd w:val="0"/>
              <w:snapToGrid w:val="0"/>
              <w:spacing w:line="360" w:lineRule="auto"/>
              <w:ind w:firstLine="480" w:firstLineChars="200"/>
              <w:jc w:val="left"/>
              <w:rPr>
                <w:rFonts w:cs="Times New Roman"/>
                <w:b/>
                <w:color w:val="auto"/>
                <w:sz w:val="24"/>
                <w:u w:val="single"/>
              </w:rPr>
            </w:pPr>
            <w:r>
              <w:rPr>
                <w:rFonts w:cs="Times New Roman"/>
                <w:color w:val="auto"/>
                <w:sz w:val="24"/>
                <w:szCs w:val="24"/>
              </w:rPr>
              <w:t>项目选址位于西片区，目前规划的大块镇污水处理厂</w:t>
            </w:r>
            <w:r>
              <w:rPr>
                <w:rFonts w:hint="eastAsia" w:cs="Times New Roman"/>
                <w:color w:val="auto"/>
                <w:sz w:val="24"/>
                <w:szCs w:val="24"/>
              </w:rPr>
              <w:t>已建成，但暂未投入运行</w:t>
            </w:r>
            <w:r>
              <w:rPr>
                <w:rFonts w:cs="Times New Roman"/>
                <w:color w:val="auto"/>
                <w:sz w:val="24"/>
                <w:szCs w:val="24"/>
              </w:rPr>
              <w:t>，且目前厂址区域未铺设污水管网</w:t>
            </w:r>
            <w:r>
              <w:rPr>
                <w:rFonts w:hint="eastAsia" w:cs="Times New Roman"/>
                <w:color w:val="auto"/>
                <w:sz w:val="24"/>
                <w:szCs w:val="24"/>
              </w:rPr>
              <w:t>。</w:t>
            </w:r>
            <w:r>
              <w:rPr>
                <w:rFonts w:hint="eastAsia" w:cs="Times New Roman"/>
                <w:color w:val="auto"/>
                <w:sz w:val="24"/>
              </w:rPr>
              <w:t>评价要求项目生活污水近期经化粪池处理后定期清运，远期待厂区区域铺设污水管网且接管至大块镇污水处理厂，同时大块镇污水处理厂正常运行后，排入大块镇污水处理厂进行进一步处理。</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（6）环境准入条件</w:t>
            </w:r>
          </w:p>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项目选址位于新乡市动力电池专业园区西片区，根据《新乡市动力电池专业园区发展规划(2017-2020年)环境影响报告书》，建议西片区环境保护准入条件如下：</w:t>
            </w:r>
          </w:p>
          <w:p>
            <w:pPr>
              <w:tabs>
                <w:tab w:val="left" w:pos="7200"/>
              </w:tabs>
              <w:spacing w:line="480" w:lineRule="exact"/>
              <w:ind w:firstLine="464" w:firstLineChars="200"/>
              <w:rPr>
                <w:rFonts w:cs="Times New Roman"/>
                <w:color w:val="auto"/>
                <w:spacing w:val="-4"/>
                <w:sz w:val="24"/>
                <w:szCs w:val="21"/>
              </w:rPr>
            </w:pPr>
            <w:r>
              <w:rPr>
                <w:rFonts w:cs="Times New Roman"/>
                <w:color w:val="auto"/>
                <w:spacing w:val="-4"/>
                <w:sz w:val="24"/>
                <w:szCs w:val="21"/>
              </w:rPr>
              <w:fldChar w:fldCharType="begin"/>
            </w:r>
            <w:r>
              <w:rPr>
                <w:rFonts w:cs="Times New Roman"/>
                <w:color w:val="auto"/>
                <w:spacing w:val="-4"/>
                <w:sz w:val="24"/>
                <w:szCs w:val="21"/>
              </w:rPr>
              <w:instrText xml:space="preserve"> = 1 \* GB3 </w:instrText>
            </w:r>
            <w:r>
              <w:rPr>
                <w:rFonts w:cs="Times New Roman"/>
                <w:color w:val="auto"/>
                <w:spacing w:val="-4"/>
                <w:sz w:val="24"/>
                <w:szCs w:val="21"/>
              </w:rPr>
              <w:fldChar w:fldCharType="separate"/>
            </w:r>
            <w:r>
              <w:rPr>
                <w:rFonts w:cs="Times New Roman"/>
                <w:color w:val="auto"/>
                <w:spacing w:val="-4"/>
                <w:sz w:val="24"/>
                <w:szCs w:val="21"/>
              </w:rPr>
              <w:t>①</w:t>
            </w:r>
            <w:r>
              <w:rPr>
                <w:rFonts w:cs="Times New Roman"/>
                <w:color w:val="auto"/>
                <w:spacing w:val="-4"/>
                <w:sz w:val="24"/>
                <w:szCs w:val="21"/>
              </w:rPr>
              <w:fldChar w:fldCharType="end"/>
            </w:r>
            <w:r>
              <w:rPr>
                <w:rFonts w:cs="Times New Roman"/>
                <w:color w:val="auto"/>
                <w:spacing w:val="-4"/>
                <w:sz w:val="24"/>
                <w:szCs w:val="21"/>
              </w:rPr>
              <w:t>鼓励西部片区在优先引进科技含量高、污染小、能耗低，生产工艺、设备处于先进水平项目入区，鼓励引进具有高附加值、低环境污染的新型电池材料生产项目。</w:t>
            </w:r>
          </w:p>
          <w:p>
            <w:pPr>
              <w:tabs>
                <w:tab w:val="left" w:pos="7200"/>
              </w:tabs>
              <w:spacing w:line="480" w:lineRule="exact"/>
              <w:ind w:firstLine="480" w:firstLineChars="200"/>
              <w:rPr>
                <w:rFonts w:cs="Times New Roman"/>
                <w:color w:val="auto"/>
                <w:sz w:val="24"/>
                <w:szCs w:val="21"/>
              </w:rPr>
            </w:pPr>
            <w:r>
              <w:rPr>
                <w:rFonts w:cs="Times New Roman"/>
                <w:color w:val="auto"/>
                <w:sz w:val="24"/>
                <w:szCs w:val="21"/>
              </w:rPr>
              <w:fldChar w:fldCharType="begin"/>
            </w:r>
            <w:r>
              <w:rPr>
                <w:rFonts w:cs="Times New Roman"/>
                <w:color w:val="auto"/>
                <w:sz w:val="24"/>
                <w:szCs w:val="21"/>
              </w:rPr>
              <w:instrText xml:space="preserve"> = 2 \* GB3 </w:instrText>
            </w:r>
            <w:r>
              <w:rPr>
                <w:rFonts w:cs="Times New Roman"/>
                <w:color w:val="auto"/>
                <w:sz w:val="24"/>
                <w:szCs w:val="21"/>
              </w:rPr>
              <w:fldChar w:fldCharType="separate"/>
            </w:r>
            <w:r>
              <w:rPr>
                <w:rFonts w:cs="Times New Roman"/>
                <w:color w:val="auto"/>
                <w:sz w:val="24"/>
                <w:szCs w:val="21"/>
              </w:rPr>
              <w:t>②</w:t>
            </w:r>
            <w:r>
              <w:rPr>
                <w:rFonts w:cs="Times New Roman"/>
                <w:color w:val="auto"/>
                <w:sz w:val="24"/>
                <w:szCs w:val="21"/>
              </w:rPr>
              <w:fldChar w:fldCharType="end"/>
            </w:r>
            <w:r>
              <w:rPr>
                <w:rFonts w:cs="Times New Roman"/>
                <w:color w:val="auto"/>
                <w:sz w:val="24"/>
                <w:szCs w:val="21"/>
              </w:rPr>
              <w:t>与电池材料相关的且对周围环境敏感点影响可接受的二类化工项目应入驻西片区。</w:t>
            </w:r>
          </w:p>
          <w:p>
            <w:pPr>
              <w:tabs>
                <w:tab w:val="left" w:pos="7200"/>
              </w:tabs>
              <w:spacing w:line="480" w:lineRule="exact"/>
              <w:ind w:firstLine="480" w:firstLineChars="200"/>
              <w:rPr>
                <w:rFonts w:cs="Times New Roman"/>
                <w:color w:val="auto"/>
                <w:sz w:val="24"/>
                <w:szCs w:val="24"/>
              </w:rPr>
            </w:pPr>
            <w:r>
              <w:rPr>
                <w:rFonts w:cs="Times New Roman"/>
                <w:color w:val="auto"/>
                <w:sz w:val="24"/>
                <w:szCs w:val="24"/>
              </w:rPr>
              <w:fldChar w:fldCharType="begin"/>
            </w:r>
            <w:r>
              <w:rPr>
                <w:rFonts w:cs="Times New Roman"/>
                <w:color w:val="auto"/>
                <w:sz w:val="24"/>
                <w:szCs w:val="24"/>
              </w:rPr>
              <w:instrText xml:space="preserve"> = 3 \* GB3 </w:instrText>
            </w:r>
            <w:r>
              <w:rPr>
                <w:rFonts w:cs="Times New Roman"/>
                <w:color w:val="auto"/>
                <w:sz w:val="24"/>
                <w:szCs w:val="24"/>
              </w:rPr>
              <w:fldChar w:fldCharType="separate"/>
            </w:r>
            <w:r>
              <w:rPr>
                <w:rFonts w:cs="Times New Roman"/>
                <w:color w:val="auto"/>
                <w:sz w:val="24"/>
                <w:szCs w:val="24"/>
              </w:rPr>
              <w:t>③</w:t>
            </w:r>
            <w:r>
              <w:rPr>
                <w:rFonts w:cs="Times New Roman"/>
                <w:color w:val="auto"/>
                <w:sz w:val="24"/>
                <w:szCs w:val="24"/>
              </w:rPr>
              <w:fldChar w:fldCharType="end"/>
            </w:r>
            <w:r>
              <w:rPr>
                <w:rFonts w:cs="Times New Roman"/>
                <w:color w:val="auto"/>
                <w:sz w:val="24"/>
                <w:szCs w:val="24"/>
              </w:rPr>
              <w:t>新建非铅酸电池回收项目应入驻西片区。</w:t>
            </w:r>
          </w:p>
          <w:p>
            <w:pPr>
              <w:tabs>
                <w:tab w:val="left" w:pos="7200"/>
              </w:tabs>
              <w:spacing w:line="480" w:lineRule="exact"/>
              <w:ind w:firstLine="480" w:firstLineChars="200"/>
              <w:rPr>
                <w:rFonts w:cs="Times New Roman"/>
                <w:color w:val="auto"/>
                <w:sz w:val="24"/>
                <w:szCs w:val="21"/>
              </w:rPr>
            </w:pPr>
            <w:r>
              <w:rPr>
                <w:rFonts w:cs="Times New Roman"/>
                <w:color w:val="auto"/>
                <w:sz w:val="24"/>
                <w:szCs w:val="21"/>
              </w:rPr>
              <w:fldChar w:fldCharType="begin"/>
            </w:r>
            <w:r>
              <w:rPr>
                <w:rFonts w:cs="Times New Roman"/>
                <w:color w:val="auto"/>
                <w:sz w:val="24"/>
                <w:szCs w:val="21"/>
              </w:rPr>
              <w:instrText xml:space="preserve"> = 4 \* GB3 </w:instrText>
            </w:r>
            <w:r>
              <w:rPr>
                <w:rFonts w:cs="Times New Roman"/>
                <w:color w:val="auto"/>
                <w:sz w:val="24"/>
                <w:szCs w:val="21"/>
              </w:rPr>
              <w:fldChar w:fldCharType="separate"/>
            </w:r>
            <w:r>
              <w:rPr>
                <w:rFonts w:cs="Times New Roman"/>
                <w:color w:val="auto"/>
                <w:sz w:val="24"/>
                <w:szCs w:val="21"/>
              </w:rPr>
              <w:t>④</w:t>
            </w:r>
            <w:r>
              <w:rPr>
                <w:rFonts w:cs="Times New Roman"/>
                <w:color w:val="auto"/>
                <w:sz w:val="24"/>
                <w:szCs w:val="21"/>
              </w:rPr>
              <w:fldChar w:fldCharType="end"/>
            </w:r>
            <w:r>
              <w:rPr>
                <w:rFonts w:cs="Times New Roman"/>
                <w:color w:val="auto"/>
                <w:sz w:val="24"/>
                <w:szCs w:val="21"/>
              </w:rPr>
              <w:t>入园企业建设规模应符合国家产业政策的最小经济规模要求。</w:t>
            </w:r>
          </w:p>
          <w:p>
            <w:pPr>
              <w:tabs>
                <w:tab w:val="left" w:pos="7200"/>
              </w:tabs>
              <w:spacing w:line="480" w:lineRule="exact"/>
              <w:ind w:firstLine="480" w:firstLineChars="200"/>
              <w:rPr>
                <w:rFonts w:cs="Times New Roman"/>
                <w:color w:val="auto"/>
                <w:sz w:val="24"/>
                <w:szCs w:val="21"/>
              </w:rPr>
            </w:pPr>
            <w:r>
              <w:rPr>
                <w:rFonts w:cs="Times New Roman"/>
                <w:color w:val="auto"/>
                <w:sz w:val="24"/>
                <w:szCs w:val="21"/>
              </w:rPr>
              <w:fldChar w:fldCharType="begin"/>
            </w:r>
            <w:r>
              <w:rPr>
                <w:rFonts w:cs="Times New Roman"/>
                <w:color w:val="auto"/>
                <w:sz w:val="24"/>
                <w:szCs w:val="21"/>
              </w:rPr>
              <w:instrText xml:space="preserve"> = 5 \* GB3 </w:instrText>
            </w:r>
            <w:r>
              <w:rPr>
                <w:rFonts w:cs="Times New Roman"/>
                <w:color w:val="auto"/>
                <w:sz w:val="24"/>
                <w:szCs w:val="21"/>
              </w:rPr>
              <w:fldChar w:fldCharType="separate"/>
            </w:r>
            <w:r>
              <w:rPr>
                <w:rFonts w:cs="Times New Roman"/>
                <w:color w:val="auto"/>
                <w:sz w:val="24"/>
                <w:szCs w:val="21"/>
              </w:rPr>
              <w:t>⑤</w:t>
            </w:r>
            <w:r>
              <w:rPr>
                <w:rFonts w:cs="Times New Roman"/>
                <w:color w:val="auto"/>
                <w:sz w:val="24"/>
                <w:szCs w:val="21"/>
              </w:rPr>
              <w:fldChar w:fldCharType="end"/>
            </w:r>
            <w:r>
              <w:rPr>
                <w:rFonts w:cs="Times New Roman"/>
                <w:color w:val="auto"/>
                <w:sz w:val="24"/>
                <w:szCs w:val="21"/>
              </w:rPr>
              <w:t>新、改扩建项目必须符合国家、省市产业政策及相关行业准入要求，清洁生产水平达到国内先进水平，鼓励能够形成良好循环经济链条的项目可优先入区。</w:t>
            </w:r>
          </w:p>
          <w:p>
            <w:pPr>
              <w:tabs>
                <w:tab w:val="left" w:pos="7200"/>
              </w:tabs>
              <w:spacing w:line="480" w:lineRule="exact"/>
              <w:ind w:firstLine="480" w:firstLineChars="200"/>
              <w:rPr>
                <w:rFonts w:cs="Times New Roman"/>
                <w:color w:val="auto"/>
                <w:sz w:val="24"/>
                <w:szCs w:val="21"/>
              </w:rPr>
            </w:pPr>
            <w:r>
              <w:rPr>
                <w:rFonts w:cs="Times New Roman"/>
                <w:color w:val="auto"/>
                <w:sz w:val="24"/>
                <w:szCs w:val="21"/>
              </w:rPr>
              <w:fldChar w:fldCharType="begin"/>
            </w:r>
            <w:r>
              <w:rPr>
                <w:rFonts w:cs="Times New Roman"/>
                <w:color w:val="auto"/>
                <w:sz w:val="24"/>
                <w:szCs w:val="21"/>
              </w:rPr>
              <w:instrText xml:space="preserve"> = 6 \* GB3 </w:instrText>
            </w:r>
            <w:r>
              <w:rPr>
                <w:rFonts w:cs="Times New Roman"/>
                <w:color w:val="auto"/>
                <w:sz w:val="24"/>
                <w:szCs w:val="21"/>
              </w:rPr>
              <w:fldChar w:fldCharType="separate"/>
            </w:r>
            <w:r>
              <w:rPr>
                <w:rFonts w:cs="Times New Roman"/>
                <w:color w:val="auto"/>
                <w:sz w:val="24"/>
                <w:szCs w:val="21"/>
              </w:rPr>
              <w:t>⑥</w:t>
            </w:r>
            <w:r>
              <w:rPr>
                <w:rFonts w:cs="Times New Roman"/>
                <w:color w:val="auto"/>
                <w:sz w:val="24"/>
                <w:szCs w:val="21"/>
              </w:rPr>
              <w:fldChar w:fldCharType="end"/>
            </w:r>
            <w:r>
              <w:rPr>
                <w:rFonts w:cs="Times New Roman"/>
                <w:color w:val="auto"/>
                <w:sz w:val="24"/>
                <w:szCs w:val="21"/>
              </w:rPr>
              <w:t>鼓励发展符合园区功能布局和产业规划，采用先进生产工艺和设备、自动化程度高，具有可靠的污染治理技术或轻污染项目。</w:t>
            </w:r>
          </w:p>
          <w:p>
            <w:pPr>
              <w:adjustRightInd w:val="0"/>
              <w:snapToGrid w:val="0"/>
              <w:spacing w:line="480" w:lineRule="exact"/>
              <w:ind w:firstLine="480" w:firstLineChars="200"/>
              <w:rPr>
                <w:rFonts w:cs="Times New Roman"/>
                <w:color w:val="auto"/>
                <w:sz w:val="24"/>
                <w:szCs w:val="21"/>
              </w:rPr>
            </w:pPr>
            <w:r>
              <w:rPr>
                <w:rFonts w:cs="Times New Roman"/>
                <w:color w:val="auto"/>
                <w:sz w:val="24"/>
                <w:szCs w:val="21"/>
              </w:rPr>
              <w:fldChar w:fldCharType="begin"/>
            </w:r>
            <w:r>
              <w:rPr>
                <w:rFonts w:cs="Times New Roman"/>
                <w:color w:val="auto"/>
                <w:sz w:val="24"/>
                <w:szCs w:val="21"/>
              </w:rPr>
              <w:instrText xml:space="preserve"> = 7 \* GB3 </w:instrText>
            </w:r>
            <w:r>
              <w:rPr>
                <w:rFonts w:cs="Times New Roman"/>
                <w:color w:val="auto"/>
                <w:sz w:val="24"/>
                <w:szCs w:val="21"/>
              </w:rPr>
              <w:fldChar w:fldCharType="separate"/>
            </w:r>
            <w:r>
              <w:rPr>
                <w:rFonts w:cs="Times New Roman"/>
                <w:color w:val="auto"/>
                <w:sz w:val="24"/>
                <w:szCs w:val="21"/>
              </w:rPr>
              <w:t>⑦</w:t>
            </w:r>
            <w:r>
              <w:rPr>
                <w:rFonts w:cs="Times New Roman"/>
                <w:color w:val="auto"/>
                <w:sz w:val="24"/>
                <w:szCs w:val="21"/>
              </w:rPr>
              <w:fldChar w:fldCharType="end"/>
            </w:r>
            <w:r>
              <w:rPr>
                <w:rFonts w:cs="Times New Roman"/>
                <w:color w:val="auto"/>
                <w:sz w:val="24"/>
                <w:szCs w:val="21"/>
              </w:rPr>
              <w:t>鼓励污水深度治理、中水回用项目、资源综合利用项目入驻。</w:t>
            </w:r>
          </w:p>
          <w:p>
            <w:pPr>
              <w:adjustRightInd w:val="0"/>
              <w:snapToGrid w:val="0"/>
              <w:spacing w:line="480" w:lineRule="exact"/>
              <w:ind w:firstLine="480" w:firstLineChars="200"/>
              <w:rPr>
                <w:rFonts w:cs="Times New Roman"/>
                <w:color w:val="auto"/>
                <w:sz w:val="24"/>
                <w:szCs w:val="21"/>
              </w:rPr>
            </w:pPr>
            <w:r>
              <w:rPr>
                <w:color w:val="auto"/>
                <w:sz w:val="24"/>
                <w:szCs w:val="21"/>
              </w:rPr>
              <w:t>本项目</w:t>
            </w:r>
            <w:r>
              <w:rPr>
                <w:rFonts w:hint="eastAsia"/>
                <w:color w:val="auto"/>
                <w:sz w:val="24"/>
                <w:szCs w:val="21"/>
              </w:rPr>
              <w:t>属于柴油机尾气净化装置生产项目，根据凤泉区科技和工业信息化局出具的情况说明，项目为引进高新专利技术，具有一定创新性的项目</w:t>
            </w:r>
            <w:r>
              <w:rPr>
                <w:color w:val="auto"/>
                <w:sz w:val="24"/>
                <w:szCs w:val="21"/>
              </w:rPr>
              <w:t>，</w:t>
            </w:r>
            <w:r>
              <w:rPr>
                <w:rFonts w:hint="eastAsia"/>
                <w:color w:val="auto"/>
                <w:sz w:val="24"/>
                <w:szCs w:val="21"/>
              </w:rPr>
              <w:t>且</w:t>
            </w:r>
            <w:r>
              <w:rPr>
                <w:color w:val="auto"/>
                <w:sz w:val="24"/>
                <w:szCs w:val="21"/>
              </w:rPr>
              <w:t>生产过程中污染小 、能耗低，符合西片区准入条件要求。</w:t>
            </w:r>
          </w:p>
          <w:p>
            <w:pPr>
              <w:adjustRightInd w:val="0"/>
              <w:snapToGrid w:val="0"/>
              <w:spacing w:line="480" w:lineRule="exact"/>
              <w:ind w:firstLine="480" w:firstLineChars="200"/>
              <w:rPr>
                <w:rFonts w:cs="Times New Roman"/>
                <w:color w:val="auto"/>
                <w:sz w:val="24"/>
                <w:szCs w:val="24"/>
              </w:rPr>
            </w:pPr>
            <w:r>
              <w:rPr>
                <w:rFonts w:cs="Times New Roman"/>
                <w:color w:val="auto"/>
                <w:sz w:val="24"/>
                <w:szCs w:val="21"/>
              </w:rPr>
              <w:t>（7）</w:t>
            </w:r>
            <w:r>
              <w:rPr>
                <w:rFonts w:cs="Times New Roman"/>
                <w:color w:val="auto"/>
                <w:sz w:val="24"/>
                <w:szCs w:val="24"/>
              </w:rPr>
              <w:t>环境准入负面清单</w:t>
            </w:r>
          </w:p>
          <w:p>
            <w:pPr>
              <w:adjustRightInd w:val="0"/>
              <w:snapToGrid w:val="0"/>
              <w:spacing w:line="480" w:lineRule="exact"/>
              <w:ind w:firstLine="480" w:firstLineChars="200"/>
              <w:rPr>
                <w:rFonts w:cs="Times New Roman"/>
                <w:color w:val="auto"/>
                <w:sz w:val="24"/>
                <w:szCs w:val="24"/>
              </w:rPr>
            </w:pPr>
            <w:r>
              <w:rPr>
                <w:rFonts w:cs="Times New Roman"/>
                <w:color w:val="auto"/>
                <w:sz w:val="24"/>
                <w:szCs w:val="24"/>
              </w:rPr>
              <w:t>项目选址位于新乡市动力电池专业园区西片区，根据《新乡市动力电池专业园区发展规划(2017-2020年)环境影响报告书》，西片区环境准入负面清单及本项目对比情况见表</w:t>
            </w:r>
            <w:r>
              <w:rPr>
                <w:rFonts w:hint="eastAsia" w:cs="Times New Roman"/>
                <w:color w:val="auto"/>
                <w:sz w:val="24"/>
                <w:szCs w:val="24"/>
              </w:rPr>
              <w:t>8</w:t>
            </w:r>
            <w:r>
              <w:rPr>
                <w:rFonts w:cs="Times New Roman"/>
                <w:color w:val="auto"/>
                <w:sz w:val="24"/>
                <w:szCs w:val="24"/>
              </w:rPr>
              <w:t>：</w:t>
            </w:r>
          </w:p>
          <w:p>
            <w:pPr>
              <w:pStyle w:val="21"/>
              <w:ind w:firstLine="420"/>
              <w:rPr>
                <w:rFonts w:cs="Times New Roman"/>
                <w:color w:val="auto"/>
                <w:szCs w:val="21"/>
              </w:rPr>
            </w:pPr>
            <w:r>
              <w:rPr>
                <w:color w:val="auto"/>
              </w:rPr>
              <w:t xml:space="preserve">    西片区环境准入负面清单与本项目对比情况一览表</w:t>
            </w:r>
          </w:p>
          <w:tbl>
            <w:tblPr>
              <w:tblStyle w:val="26"/>
              <w:tblW w:w="8561"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15" w:type="dxa"/>
                <w:left w:w="15" w:type="dxa"/>
                <w:bottom w:w="15" w:type="dxa"/>
                <w:right w:w="15" w:type="dxa"/>
              </w:tblCellMar>
            </w:tblPr>
            <w:tblGrid>
              <w:gridCol w:w="628"/>
              <w:gridCol w:w="2627"/>
              <w:gridCol w:w="3450"/>
              <w:gridCol w:w="1856"/>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97" w:hRule="atLeast"/>
                <w:tblHeader/>
                <w:jc w:val="center"/>
              </w:trPr>
              <w:tc>
                <w:tcPr>
                  <w:tcW w:w="628" w:type="dxa"/>
                  <w:vMerge w:val="restart"/>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项目</w:t>
                  </w:r>
                </w:p>
              </w:tc>
              <w:tc>
                <w:tcPr>
                  <w:tcW w:w="6077" w:type="dxa"/>
                  <w:gridSpan w:val="2"/>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bCs/>
                      <w:color w:val="auto"/>
                      <w:sz w:val="18"/>
                      <w:szCs w:val="18"/>
                    </w:rPr>
                    <w:t>环境准入负面清单</w:t>
                  </w:r>
                </w:p>
              </w:tc>
              <w:tc>
                <w:tcPr>
                  <w:tcW w:w="1856" w:type="dxa"/>
                  <w:vAlign w:val="center"/>
                </w:tcPr>
                <w:p>
                  <w:pPr>
                    <w:tabs>
                      <w:tab w:val="left" w:pos="7200"/>
                    </w:tabs>
                    <w:spacing w:line="300" w:lineRule="exact"/>
                    <w:jc w:val="center"/>
                    <w:rPr>
                      <w:rFonts w:cs="Times New Roman"/>
                      <w:bCs/>
                      <w:color w:val="auto"/>
                      <w:sz w:val="18"/>
                      <w:szCs w:val="18"/>
                    </w:rPr>
                  </w:pPr>
                  <w:r>
                    <w:rPr>
                      <w:rFonts w:cs="Times New Roman"/>
                      <w:bCs/>
                      <w:color w:val="auto"/>
                      <w:sz w:val="18"/>
                      <w:szCs w:val="18"/>
                    </w:rPr>
                    <w:t>本项目情况</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97" w:hRule="atLeast"/>
                <w:tblHeader/>
                <w:jc w:val="center"/>
              </w:trPr>
              <w:tc>
                <w:tcPr>
                  <w:tcW w:w="628" w:type="dxa"/>
                  <w:vMerge w:val="continue"/>
                  <w:tcMar>
                    <w:left w:w="57" w:type="dxa"/>
                    <w:right w:w="57" w:type="dxa"/>
                  </w:tcMar>
                  <w:vAlign w:val="center"/>
                </w:tcPr>
                <w:p>
                  <w:pPr>
                    <w:tabs>
                      <w:tab w:val="left" w:pos="7200"/>
                    </w:tabs>
                    <w:spacing w:line="300" w:lineRule="exact"/>
                    <w:jc w:val="center"/>
                    <w:rPr>
                      <w:rFonts w:cs="Times New Roman"/>
                      <w:color w:val="auto"/>
                      <w:sz w:val="18"/>
                      <w:szCs w:val="18"/>
                    </w:rPr>
                  </w:pPr>
                </w:p>
              </w:tc>
              <w:tc>
                <w:tcPr>
                  <w:tcW w:w="2627"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限制类</w:t>
                  </w:r>
                </w:p>
              </w:tc>
              <w:tc>
                <w:tcPr>
                  <w:tcW w:w="3450"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禁止类</w:t>
                  </w:r>
                </w:p>
              </w:tc>
              <w:tc>
                <w:tcPr>
                  <w:tcW w:w="1856" w:type="dxa"/>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628"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空间布局及土地规划</w:t>
                  </w:r>
                </w:p>
              </w:tc>
              <w:tc>
                <w:tcPr>
                  <w:tcW w:w="2627" w:type="dxa"/>
                  <w:tcMar>
                    <w:left w:w="57" w:type="dxa"/>
                    <w:right w:w="57" w:type="dxa"/>
                  </w:tcMar>
                  <w:vAlign w:val="center"/>
                </w:tcPr>
                <w:p>
                  <w:pPr>
                    <w:tabs>
                      <w:tab w:val="left" w:pos="7200"/>
                    </w:tabs>
                    <w:spacing w:line="260" w:lineRule="exact"/>
                    <w:jc w:val="center"/>
                    <w:rPr>
                      <w:rFonts w:cs="Times New Roman"/>
                      <w:color w:val="auto"/>
                      <w:sz w:val="18"/>
                      <w:szCs w:val="18"/>
                    </w:rPr>
                  </w:pPr>
                  <w:r>
                    <w:rPr>
                      <w:rFonts w:cs="Times New Roman"/>
                      <w:color w:val="auto"/>
                      <w:sz w:val="18"/>
                      <w:szCs w:val="18"/>
                    </w:rPr>
                    <w:t>1、限制与园区土地利用规划、产业定位和功能区划不相符的现有企业进行扩建（科技含量高、污染小、能耗低，生产工艺、设备处于先进水平的现有企业除外）。</w:t>
                  </w:r>
                </w:p>
              </w:tc>
              <w:tc>
                <w:tcPr>
                  <w:tcW w:w="3450" w:type="dxa"/>
                  <w:tcMar>
                    <w:left w:w="57" w:type="dxa"/>
                    <w:right w:w="57" w:type="dxa"/>
                  </w:tcMar>
                  <w:vAlign w:val="center"/>
                </w:tcPr>
                <w:p>
                  <w:pPr>
                    <w:tabs>
                      <w:tab w:val="left" w:pos="7200"/>
                    </w:tabs>
                    <w:spacing w:line="260" w:lineRule="exact"/>
                    <w:jc w:val="center"/>
                    <w:rPr>
                      <w:rFonts w:cs="Times New Roman"/>
                      <w:color w:val="auto"/>
                      <w:sz w:val="18"/>
                      <w:szCs w:val="18"/>
                    </w:rPr>
                  </w:pPr>
                  <w:r>
                    <w:rPr>
                      <w:rFonts w:cs="Times New Roman"/>
                      <w:color w:val="auto"/>
                      <w:sz w:val="18"/>
                      <w:szCs w:val="18"/>
                    </w:rPr>
                    <w:t>1、禁止化工项目入驻（与主导产业相关的二类化工项目除外）；</w:t>
                  </w:r>
                </w:p>
                <w:p>
                  <w:pPr>
                    <w:tabs>
                      <w:tab w:val="left" w:pos="7200"/>
                    </w:tabs>
                    <w:spacing w:line="260" w:lineRule="exact"/>
                    <w:jc w:val="center"/>
                    <w:rPr>
                      <w:rFonts w:cs="Times New Roman"/>
                      <w:color w:val="auto"/>
                      <w:sz w:val="18"/>
                      <w:szCs w:val="18"/>
                    </w:rPr>
                  </w:pPr>
                  <w:r>
                    <w:rPr>
                      <w:rFonts w:cs="Times New Roman"/>
                      <w:color w:val="auto"/>
                      <w:sz w:val="18"/>
                      <w:szCs w:val="18"/>
                    </w:rPr>
                    <w:t>2、禁止现有不符合园区土地利用规划企业扩大用地规模；</w:t>
                  </w:r>
                </w:p>
                <w:p>
                  <w:pPr>
                    <w:tabs>
                      <w:tab w:val="left" w:pos="7200"/>
                    </w:tabs>
                    <w:spacing w:line="260" w:lineRule="exact"/>
                    <w:jc w:val="center"/>
                    <w:rPr>
                      <w:rFonts w:cs="Times New Roman"/>
                      <w:color w:val="auto"/>
                      <w:sz w:val="18"/>
                      <w:szCs w:val="18"/>
                    </w:rPr>
                  </w:pPr>
                  <w:r>
                    <w:rPr>
                      <w:rFonts w:cs="Times New Roman"/>
                      <w:color w:val="auto"/>
                      <w:sz w:val="18"/>
                      <w:szCs w:val="18"/>
                    </w:rPr>
                    <w:t>3、禁止不符合园区土地利用规划的项目入区。</w:t>
                  </w:r>
                </w:p>
              </w:tc>
              <w:tc>
                <w:tcPr>
                  <w:tcW w:w="1856" w:type="dxa"/>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项目属于柴油机尾气净化装置生产项目，根据凤泉区科技和工业信息化局出具的情况说明，项目为引进高新专利技术，具有一定创新性的项目</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628"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产业政策及行业准入</w:t>
                  </w:r>
                </w:p>
              </w:tc>
              <w:tc>
                <w:tcPr>
                  <w:tcW w:w="2627" w:type="dxa"/>
                  <w:tcMar>
                    <w:left w:w="57" w:type="dxa"/>
                    <w:right w:w="57" w:type="dxa"/>
                  </w:tcMar>
                  <w:vAlign w:val="center"/>
                </w:tcPr>
                <w:p>
                  <w:pPr>
                    <w:tabs>
                      <w:tab w:val="left" w:pos="7200"/>
                    </w:tabs>
                    <w:spacing w:line="260" w:lineRule="exact"/>
                    <w:jc w:val="center"/>
                    <w:rPr>
                      <w:rFonts w:cs="Times New Roman"/>
                      <w:color w:val="auto"/>
                      <w:sz w:val="18"/>
                      <w:szCs w:val="18"/>
                    </w:rPr>
                  </w:pPr>
                  <w:r>
                    <w:rPr>
                      <w:rFonts w:cs="Times New Roman"/>
                      <w:color w:val="auto"/>
                      <w:sz w:val="18"/>
                      <w:szCs w:val="18"/>
                    </w:rPr>
                    <w:t>1、限制发展原料和产品为非环境友好型的项目。</w:t>
                  </w:r>
                </w:p>
              </w:tc>
              <w:tc>
                <w:tcPr>
                  <w:tcW w:w="3450" w:type="dxa"/>
                  <w:tcMar>
                    <w:left w:w="57" w:type="dxa"/>
                    <w:right w:w="57" w:type="dxa"/>
                  </w:tcMar>
                  <w:vAlign w:val="center"/>
                </w:tcPr>
                <w:p>
                  <w:pPr>
                    <w:tabs>
                      <w:tab w:val="left" w:pos="7200"/>
                    </w:tabs>
                    <w:spacing w:line="260" w:lineRule="exact"/>
                    <w:jc w:val="center"/>
                    <w:rPr>
                      <w:rFonts w:cs="Times New Roman"/>
                      <w:color w:val="auto"/>
                      <w:sz w:val="18"/>
                      <w:szCs w:val="18"/>
                    </w:rPr>
                  </w:pPr>
                  <w:r>
                    <w:rPr>
                      <w:rFonts w:cs="Times New Roman"/>
                      <w:color w:val="auto"/>
                      <w:sz w:val="18"/>
                      <w:szCs w:val="18"/>
                    </w:rPr>
                    <w:t>1、禁止新建国家《产业结构调整指导目录（2011年本）（2013年修正）》中限制、淘汰类的建设项目；</w:t>
                  </w:r>
                </w:p>
                <w:p>
                  <w:pPr>
                    <w:tabs>
                      <w:tab w:val="left" w:pos="7200"/>
                    </w:tabs>
                    <w:spacing w:line="260" w:lineRule="exact"/>
                    <w:jc w:val="center"/>
                    <w:rPr>
                      <w:rFonts w:cs="Times New Roman"/>
                      <w:color w:val="auto"/>
                      <w:sz w:val="18"/>
                      <w:szCs w:val="18"/>
                    </w:rPr>
                  </w:pPr>
                  <w:r>
                    <w:rPr>
                      <w:rFonts w:cs="Times New Roman"/>
                      <w:color w:val="auto"/>
                      <w:sz w:val="18"/>
                      <w:szCs w:val="18"/>
                    </w:rPr>
                    <w:t>2、禁止新增重金属污染物排放的相应项目（涉及铅、镉、铬、砷、汞等，符合省、市重大产业布局的项目除外）；</w:t>
                  </w:r>
                </w:p>
                <w:p>
                  <w:pPr>
                    <w:tabs>
                      <w:tab w:val="left" w:pos="7200"/>
                    </w:tabs>
                    <w:spacing w:line="260" w:lineRule="exact"/>
                    <w:jc w:val="center"/>
                    <w:rPr>
                      <w:rFonts w:cs="Times New Roman"/>
                      <w:color w:val="auto"/>
                      <w:sz w:val="18"/>
                      <w:szCs w:val="18"/>
                    </w:rPr>
                  </w:pPr>
                  <w:r>
                    <w:rPr>
                      <w:rFonts w:cs="Times New Roman"/>
                      <w:color w:val="auto"/>
                      <w:sz w:val="18"/>
                      <w:szCs w:val="18"/>
                    </w:rPr>
                    <w:t>3、禁止高毒、高污染的工业企业入驻；</w:t>
                  </w:r>
                </w:p>
                <w:p>
                  <w:pPr>
                    <w:tabs>
                      <w:tab w:val="left" w:pos="7200"/>
                    </w:tabs>
                    <w:spacing w:line="260" w:lineRule="exact"/>
                    <w:jc w:val="center"/>
                    <w:rPr>
                      <w:rFonts w:cs="Times New Roman"/>
                      <w:bCs/>
                      <w:color w:val="auto"/>
                      <w:sz w:val="18"/>
                      <w:szCs w:val="18"/>
                    </w:rPr>
                  </w:pPr>
                  <w:r>
                    <w:rPr>
                      <w:rFonts w:cs="Times New Roman"/>
                      <w:color w:val="auto"/>
                      <w:sz w:val="18"/>
                      <w:szCs w:val="18"/>
                    </w:rPr>
                    <w:t>4、禁止铅酸电池回收项目入驻</w:t>
                  </w:r>
                  <w:r>
                    <w:rPr>
                      <w:rFonts w:cs="Times New Roman"/>
                      <w:bCs/>
                      <w:color w:val="auto"/>
                      <w:sz w:val="18"/>
                      <w:szCs w:val="18"/>
                    </w:rPr>
                    <w:t>；</w:t>
                  </w:r>
                </w:p>
                <w:p>
                  <w:pPr>
                    <w:tabs>
                      <w:tab w:val="left" w:pos="7200"/>
                    </w:tabs>
                    <w:spacing w:line="260" w:lineRule="exact"/>
                    <w:jc w:val="center"/>
                    <w:rPr>
                      <w:rFonts w:cs="Times New Roman"/>
                      <w:bCs/>
                      <w:color w:val="auto"/>
                      <w:sz w:val="18"/>
                      <w:szCs w:val="18"/>
                    </w:rPr>
                  </w:pPr>
                  <w:r>
                    <w:rPr>
                      <w:rFonts w:cs="Times New Roman"/>
                      <w:color w:val="auto"/>
                      <w:sz w:val="18"/>
                      <w:szCs w:val="18"/>
                    </w:rPr>
                    <w:t>5、禁止新建铅酸电池项目入驻</w:t>
                  </w:r>
                  <w:r>
                    <w:rPr>
                      <w:rFonts w:cs="Times New Roman"/>
                      <w:bCs/>
                      <w:color w:val="auto"/>
                      <w:sz w:val="18"/>
                      <w:szCs w:val="18"/>
                    </w:rPr>
                    <w:t>。</w:t>
                  </w:r>
                </w:p>
              </w:tc>
              <w:tc>
                <w:tcPr>
                  <w:tcW w:w="1856" w:type="dxa"/>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不涉及</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628"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污染物排放及资源利用</w:t>
                  </w:r>
                </w:p>
              </w:tc>
              <w:tc>
                <w:tcPr>
                  <w:tcW w:w="2627" w:type="dxa"/>
                  <w:tcMar>
                    <w:left w:w="57" w:type="dxa"/>
                    <w:right w:w="57" w:type="dxa"/>
                  </w:tcMar>
                  <w:vAlign w:val="center"/>
                </w:tcPr>
                <w:p>
                  <w:pPr>
                    <w:tabs>
                      <w:tab w:val="left" w:pos="7200"/>
                    </w:tabs>
                    <w:spacing w:line="260" w:lineRule="exact"/>
                    <w:jc w:val="center"/>
                    <w:rPr>
                      <w:rFonts w:cs="Times New Roman"/>
                      <w:color w:val="auto"/>
                      <w:sz w:val="18"/>
                      <w:szCs w:val="18"/>
                    </w:rPr>
                  </w:pPr>
                  <w:r>
                    <w:rPr>
                      <w:rFonts w:cs="Times New Roman"/>
                      <w:color w:val="auto"/>
                      <w:sz w:val="18"/>
                      <w:szCs w:val="18"/>
                    </w:rPr>
                    <w:t>1、限制污染防治和资源利用技术不成熟、污染物不能达标排放的项目。</w:t>
                  </w:r>
                </w:p>
                <w:p>
                  <w:pPr>
                    <w:tabs>
                      <w:tab w:val="left" w:pos="7200"/>
                    </w:tabs>
                    <w:spacing w:line="260" w:lineRule="exact"/>
                    <w:jc w:val="center"/>
                    <w:rPr>
                      <w:rFonts w:cs="Times New Roman"/>
                      <w:color w:val="auto"/>
                      <w:sz w:val="18"/>
                      <w:szCs w:val="18"/>
                    </w:rPr>
                  </w:pPr>
                  <w:r>
                    <w:rPr>
                      <w:rFonts w:cs="Times New Roman"/>
                      <w:color w:val="auto"/>
                      <w:sz w:val="18"/>
                      <w:szCs w:val="18"/>
                    </w:rPr>
                    <w:t>2、限制高耗水、高耗能、高污染项目入驻。</w:t>
                  </w:r>
                </w:p>
              </w:tc>
              <w:tc>
                <w:tcPr>
                  <w:tcW w:w="3450" w:type="dxa"/>
                  <w:tcMar>
                    <w:left w:w="57" w:type="dxa"/>
                    <w:right w:w="57" w:type="dxa"/>
                  </w:tcMar>
                  <w:vAlign w:val="center"/>
                </w:tcPr>
                <w:p>
                  <w:pPr>
                    <w:tabs>
                      <w:tab w:val="left" w:pos="7200"/>
                    </w:tabs>
                    <w:spacing w:line="260" w:lineRule="exact"/>
                    <w:jc w:val="center"/>
                    <w:rPr>
                      <w:rFonts w:cs="Times New Roman"/>
                      <w:color w:val="auto"/>
                      <w:sz w:val="18"/>
                      <w:szCs w:val="18"/>
                    </w:rPr>
                  </w:pPr>
                  <w:r>
                    <w:rPr>
                      <w:rFonts w:cs="Times New Roman"/>
                      <w:color w:val="auto"/>
                      <w:sz w:val="18"/>
                      <w:szCs w:val="18"/>
                    </w:rPr>
                    <w:t>1.禁止新建燃煤锅炉项目；</w:t>
                  </w:r>
                </w:p>
                <w:p>
                  <w:pPr>
                    <w:tabs>
                      <w:tab w:val="left" w:pos="7200"/>
                    </w:tabs>
                    <w:spacing w:line="260" w:lineRule="exact"/>
                    <w:jc w:val="center"/>
                    <w:rPr>
                      <w:rFonts w:cs="Times New Roman"/>
                      <w:color w:val="auto"/>
                      <w:sz w:val="18"/>
                      <w:szCs w:val="18"/>
                    </w:rPr>
                  </w:pPr>
                  <w:r>
                    <w:rPr>
                      <w:rFonts w:cs="Times New Roman"/>
                      <w:color w:val="auto"/>
                      <w:sz w:val="18"/>
                      <w:szCs w:val="18"/>
                    </w:rPr>
                    <w:t>2.禁止清洁生产水平达不到国内先进水平的项目；</w:t>
                  </w:r>
                </w:p>
                <w:p>
                  <w:pPr>
                    <w:tabs>
                      <w:tab w:val="left" w:pos="7200"/>
                    </w:tabs>
                    <w:spacing w:line="260" w:lineRule="exact"/>
                    <w:jc w:val="center"/>
                    <w:rPr>
                      <w:rFonts w:cs="Times New Roman"/>
                      <w:color w:val="auto"/>
                      <w:sz w:val="18"/>
                      <w:szCs w:val="18"/>
                    </w:rPr>
                  </w:pPr>
                  <w:r>
                    <w:rPr>
                      <w:rFonts w:cs="Times New Roman"/>
                      <w:color w:val="auto"/>
                      <w:sz w:val="18"/>
                      <w:szCs w:val="18"/>
                    </w:rPr>
                    <w:t>3、禁止引入排放《污水综合排放标准》（GB8978-1996）中表1、第一类污染物（总镍除外）的项目（符合省、市重大产业布局的项目除外）；</w:t>
                  </w:r>
                </w:p>
                <w:p>
                  <w:pPr>
                    <w:tabs>
                      <w:tab w:val="left" w:pos="7200"/>
                    </w:tabs>
                    <w:spacing w:line="260" w:lineRule="exact"/>
                    <w:jc w:val="center"/>
                    <w:rPr>
                      <w:rFonts w:cs="Times New Roman"/>
                      <w:color w:val="auto"/>
                      <w:sz w:val="18"/>
                      <w:szCs w:val="18"/>
                    </w:rPr>
                  </w:pPr>
                  <w:r>
                    <w:rPr>
                      <w:rFonts w:cs="Times New Roman"/>
                      <w:color w:val="auto"/>
                      <w:sz w:val="18"/>
                      <w:szCs w:val="18"/>
                    </w:rPr>
                    <w:t>4、禁止化工、涂装、包装印刷行业中涉及高VOC排放的企业入驻。</w:t>
                  </w:r>
                </w:p>
              </w:tc>
              <w:tc>
                <w:tcPr>
                  <w:tcW w:w="1856" w:type="dxa"/>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不涉及</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628"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环境风险</w:t>
                  </w:r>
                </w:p>
              </w:tc>
              <w:tc>
                <w:tcPr>
                  <w:tcW w:w="2627"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sz w:val="18"/>
                      <w:szCs w:val="18"/>
                    </w:rPr>
                    <w:t>1、限制新建无可靠风险防范措施且存在重大危险源项目。</w:t>
                  </w:r>
                </w:p>
              </w:tc>
              <w:tc>
                <w:tcPr>
                  <w:tcW w:w="3450" w:type="dxa"/>
                  <w:tcMar>
                    <w:left w:w="57" w:type="dxa"/>
                    <w:right w:w="57" w:type="dxa"/>
                  </w:tcMar>
                  <w:vAlign w:val="center"/>
                </w:tcPr>
                <w:p>
                  <w:pPr>
                    <w:tabs>
                      <w:tab w:val="left" w:pos="7200"/>
                    </w:tabs>
                    <w:spacing w:line="300" w:lineRule="exact"/>
                    <w:jc w:val="center"/>
                    <w:rPr>
                      <w:rFonts w:cs="Times New Roman"/>
                      <w:color w:val="auto"/>
                      <w:sz w:val="18"/>
                      <w:szCs w:val="18"/>
                    </w:rPr>
                  </w:pPr>
                  <w:r>
                    <w:rPr>
                      <w:rFonts w:cs="Times New Roman"/>
                      <w:color w:val="auto"/>
                      <w:kern w:val="0"/>
                      <w:sz w:val="18"/>
                      <w:szCs w:val="18"/>
                    </w:rPr>
                    <w:t>1、禁止新建与环境敏感目标间距不能满足建设项目环评文件或者行业规定的防护距离要求的项目。</w:t>
                  </w:r>
                </w:p>
              </w:tc>
              <w:tc>
                <w:tcPr>
                  <w:tcW w:w="1856" w:type="dxa"/>
                  <w:vAlign w:val="center"/>
                </w:tcPr>
                <w:p>
                  <w:pPr>
                    <w:tabs>
                      <w:tab w:val="left" w:pos="7200"/>
                    </w:tabs>
                    <w:spacing w:line="300" w:lineRule="exact"/>
                    <w:jc w:val="center"/>
                    <w:rPr>
                      <w:rFonts w:cs="Times New Roman"/>
                      <w:color w:val="auto"/>
                      <w:kern w:val="0"/>
                      <w:sz w:val="18"/>
                      <w:szCs w:val="18"/>
                    </w:rPr>
                  </w:pPr>
                  <w:r>
                    <w:rPr>
                      <w:rFonts w:cs="Times New Roman"/>
                      <w:color w:val="auto"/>
                      <w:sz w:val="18"/>
                      <w:szCs w:val="18"/>
                    </w:rPr>
                    <w:t>不涉及</w:t>
                  </w:r>
                </w:p>
              </w:tc>
            </w:tr>
          </w:tbl>
          <w:p>
            <w:pPr>
              <w:adjustRightInd w:val="0"/>
              <w:snapToGrid w:val="0"/>
              <w:spacing w:line="360" w:lineRule="auto"/>
              <w:ind w:firstLine="480" w:firstLineChars="200"/>
              <w:rPr>
                <w:rFonts w:cs="Times New Roman"/>
                <w:color w:val="auto"/>
                <w:sz w:val="24"/>
                <w:szCs w:val="24"/>
              </w:rPr>
            </w:pPr>
            <w:r>
              <w:rPr>
                <w:rFonts w:cs="Times New Roman"/>
                <w:color w:val="auto"/>
                <w:sz w:val="24"/>
                <w:szCs w:val="24"/>
              </w:rPr>
              <w:t>本项目</w:t>
            </w:r>
            <w:r>
              <w:rPr>
                <w:rFonts w:hint="eastAsia" w:cs="Times New Roman"/>
                <w:color w:val="auto"/>
                <w:sz w:val="24"/>
                <w:szCs w:val="24"/>
              </w:rPr>
              <w:t>柴油机尾气净化装置生产项目，根据凤泉区科技和工业信息化局出具的情况说明，项目为引进高新专利技术，具有一定创新性的项目</w:t>
            </w:r>
            <w:r>
              <w:rPr>
                <w:rFonts w:cs="Times New Roman"/>
                <w:color w:val="auto"/>
                <w:sz w:val="24"/>
                <w:szCs w:val="24"/>
              </w:rPr>
              <w:t>，项目用地为工业用地，符合园区土地利用规划，项目不属于西片区环境准入负面清单中的限制类及禁止类项目。</w:t>
            </w:r>
          </w:p>
          <w:p>
            <w:pPr>
              <w:adjustRightInd w:val="0"/>
              <w:snapToGrid w:val="0"/>
              <w:spacing w:line="360" w:lineRule="auto"/>
              <w:ind w:firstLine="480" w:firstLineChars="200"/>
              <w:rPr>
                <w:rFonts w:cs="Times New Roman"/>
                <w:b/>
                <w:color w:val="auto"/>
                <w:sz w:val="24"/>
                <w:szCs w:val="24"/>
              </w:rPr>
            </w:pPr>
            <w:r>
              <w:rPr>
                <w:rFonts w:cs="Times New Roman"/>
                <w:color w:val="auto"/>
                <w:sz w:val="24"/>
                <w:szCs w:val="24"/>
              </w:rPr>
              <w:t>综上，项目选址位于新乡市动力电池专业园区西部电源材料及配件片区，项目用地为工业用地</w:t>
            </w:r>
            <w:r>
              <w:rPr>
                <w:rFonts w:hint="eastAsia" w:cs="Times New Roman"/>
                <w:color w:val="auto"/>
                <w:sz w:val="24"/>
                <w:szCs w:val="24"/>
              </w:rPr>
              <w:t>；根据凤泉区科技和工业信息化局出具的情况说明，项目为引进高新专利技术，具有一定创新性（见附件四），</w:t>
            </w:r>
            <w:r>
              <w:rPr>
                <w:rFonts w:cs="Times New Roman"/>
                <w:color w:val="auto"/>
                <w:sz w:val="24"/>
                <w:szCs w:val="24"/>
              </w:rPr>
              <w:t>项目建设符合西片区环境准入条件要求，不属于西片区环境准入负面清单中的限制类及禁止类项目</w:t>
            </w:r>
            <w:r>
              <w:rPr>
                <w:rFonts w:hint="eastAsia" w:cs="Times New Roman"/>
                <w:color w:val="auto"/>
                <w:sz w:val="24"/>
                <w:szCs w:val="24"/>
              </w:rPr>
              <w:t>；</w:t>
            </w:r>
            <w:r>
              <w:rPr>
                <w:rFonts w:cs="Times New Roman"/>
                <w:color w:val="auto"/>
                <w:sz w:val="24"/>
                <w:szCs w:val="24"/>
              </w:rPr>
              <w:t>根据</w:t>
            </w:r>
            <w:r>
              <w:rPr>
                <w:rFonts w:hint="eastAsia" w:cs="Times New Roman"/>
                <w:color w:val="auto"/>
                <w:sz w:val="24"/>
                <w:szCs w:val="24"/>
              </w:rPr>
              <w:t>新乡市凤泉区产业集聚区管理委员会</w:t>
            </w:r>
            <w:r>
              <w:rPr>
                <w:rFonts w:cs="Times New Roman"/>
                <w:color w:val="auto"/>
                <w:sz w:val="24"/>
                <w:szCs w:val="24"/>
              </w:rPr>
              <w:t>出具的证明（详见附件三），项目选址符合新乡市动力电池专用园区产业布局规划、土地利用规划及总体规划要求。</w:t>
            </w:r>
          </w:p>
          <w:p>
            <w:pPr>
              <w:spacing w:line="460" w:lineRule="exact"/>
              <w:rPr>
                <w:rFonts w:eastAsia="黑体" w:cs="Times New Roman"/>
                <w:bCs/>
                <w:color w:val="auto"/>
                <w:sz w:val="24"/>
                <w:szCs w:val="24"/>
              </w:rPr>
            </w:pPr>
            <w:r>
              <w:rPr>
                <w:rFonts w:eastAsia="黑体" w:cs="Times New Roman"/>
                <w:bCs/>
                <w:color w:val="auto"/>
                <w:sz w:val="24"/>
                <w:szCs w:val="24"/>
              </w:rPr>
              <w:t>2、饮用水源地保护区</w:t>
            </w:r>
          </w:p>
          <w:p>
            <w:pPr>
              <w:widowControl/>
              <w:adjustRightInd w:val="0"/>
              <w:snapToGrid w:val="0"/>
              <w:spacing w:line="460" w:lineRule="exact"/>
              <w:ind w:firstLine="480" w:firstLineChars="200"/>
              <w:jc w:val="left"/>
              <w:rPr>
                <w:rFonts w:cs="Times New Roman"/>
                <w:color w:val="auto"/>
                <w:sz w:val="24"/>
                <w:szCs w:val="24"/>
              </w:rPr>
            </w:pPr>
            <w:r>
              <w:rPr>
                <w:rFonts w:cs="Times New Roman"/>
                <w:color w:val="auto"/>
                <w:sz w:val="24"/>
                <w:szCs w:val="24"/>
              </w:rPr>
              <w:t>（1）新乡市饮用水水源地保护区规划</w:t>
            </w:r>
          </w:p>
          <w:p>
            <w:pPr>
              <w:adjustRightInd w:val="0"/>
              <w:snapToGrid w:val="0"/>
              <w:spacing w:line="460" w:lineRule="exact"/>
              <w:ind w:firstLine="480"/>
              <w:rPr>
                <w:rFonts w:cs="Times New Roman"/>
                <w:color w:val="auto"/>
                <w:sz w:val="24"/>
                <w:szCs w:val="24"/>
              </w:rPr>
            </w:pPr>
            <w:r>
              <w:rPr>
                <w:rFonts w:cs="Times New Roman"/>
                <w:color w:val="auto"/>
                <w:sz w:val="24"/>
                <w:szCs w:val="24"/>
              </w:rPr>
              <w:t>《新乡市城市饮用水水源地保护区划分报告》（2007.5）已由河南省人民政府以豫政办[2007]125号文批复，具体划分结果如下表。</w:t>
            </w:r>
          </w:p>
          <w:p>
            <w:pPr>
              <w:pStyle w:val="21"/>
              <w:ind w:firstLine="420"/>
              <w:rPr>
                <w:color w:val="auto"/>
              </w:rPr>
            </w:pPr>
            <w:r>
              <w:rPr>
                <w:rFonts w:hint="eastAsia"/>
                <w:color w:val="auto"/>
              </w:rPr>
              <w:t xml:space="preserve">            </w:t>
            </w:r>
            <w:r>
              <w:rPr>
                <w:color w:val="auto"/>
              </w:rPr>
              <w:t>新乡市城市集中饮用水源地</w:t>
            </w:r>
          </w:p>
          <w:tbl>
            <w:tblPr>
              <w:tblStyle w:val="26"/>
              <w:tblW w:w="87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845"/>
              <w:gridCol w:w="3213"/>
              <w:gridCol w:w="30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46" w:type="dxa"/>
                  <w:vAlign w:val="center"/>
                </w:tcPr>
                <w:p>
                  <w:pPr>
                    <w:jc w:val="center"/>
                    <w:rPr>
                      <w:rFonts w:cs="Times New Roman"/>
                      <w:color w:val="auto"/>
                      <w:sz w:val="18"/>
                      <w:szCs w:val="18"/>
                    </w:rPr>
                  </w:pPr>
                  <w:r>
                    <w:rPr>
                      <w:rFonts w:cs="Times New Roman"/>
                      <w:color w:val="auto"/>
                      <w:sz w:val="18"/>
                      <w:szCs w:val="18"/>
                    </w:rPr>
                    <w:t>序号</w:t>
                  </w:r>
                </w:p>
              </w:tc>
              <w:tc>
                <w:tcPr>
                  <w:tcW w:w="1845" w:type="dxa"/>
                  <w:vAlign w:val="center"/>
                </w:tcPr>
                <w:p>
                  <w:pPr>
                    <w:jc w:val="center"/>
                    <w:rPr>
                      <w:rFonts w:cs="Times New Roman"/>
                      <w:color w:val="auto"/>
                      <w:sz w:val="18"/>
                      <w:szCs w:val="18"/>
                    </w:rPr>
                  </w:pPr>
                  <w:r>
                    <w:rPr>
                      <w:rFonts w:cs="Times New Roman"/>
                      <w:color w:val="auto"/>
                      <w:sz w:val="18"/>
                      <w:szCs w:val="18"/>
                    </w:rPr>
                    <w:t>水源地名称</w:t>
                  </w:r>
                </w:p>
              </w:tc>
              <w:tc>
                <w:tcPr>
                  <w:tcW w:w="3213" w:type="dxa"/>
                  <w:vAlign w:val="center"/>
                </w:tcPr>
                <w:p>
                  <w:pPr>
                    <w:jc w:val="center"/>
                    <w:rPr>
                      <w:rFonts w:cs="Times New Roman"/>
                      <w:color w:val="auto"/>
                      <w:sz w:val="18"/>
                      <w:szCs w:val="18"/>
                    </w:rPr>
                  </w:pPr>
                  <w:r>
                    <w:rPr>
                      <w:rFonts w:cs="Times New Roman"/>
                      <w:color w:val="auto"/>
                      <w:sz w:val="18"/>
                      <w:szCs w:val="18"/>
                    </w:rPr>
                    <w:t>一级保护区</w:t>
                  </w:r>
                </w:p>
              </w:tc>
              <w:tc>
                <w:tcPr>
                  <w:tcW w:w="3042" w:type="dxa"/>
                  <w:vAlign w:val="center"/>
                </w:tcPr>
                <w:p>
                  <w:pPr>
                    <w:jc w:val="center"/>
                    <w:rPr>
                      <w:rFonts w:cs="Times New Roman"/>
                      <w:color w:val="auto"/>
                      <w:sz w:val="18"/>
                      <w:szCs w:val="18"/>
                    </w:rPr>
                  </w:pPr>
                  <w:r>
                    <w:rPr>
                      <w:rFonts w:cs="Times New Roman"/>
                      <w:color w:val="auto"/>
                      <w:sz w:val="18"/>
                      <w:szCs w:val="18"/>
                    </w:rPr>
                    <w:t>二级保护区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jc w:val="center"/>
                    <w:rPr>
                      <w:rFonts w:cs="Times New Roman"/>
                      <w:color w:val="auto"/>
                      <w:sz w:val="18"/>
                      <w:szCs w:val="18"/>
                    </w:rPr>
                  </w:pPr>
                  <w:r>
                    <w:rPr>
                      <w:rFonts w:cs="Times New Roman"/>
                      <w:color w:val="auto"/>
                      <w:sz w:val="18"/>
                      <w:szCs w:val="18"/>
                    </w:rPr>
                    <w:t>1</w:t>
                  </w:r>
                </w:p>
              </w:tc>
              <w:tc>
                <w:tcPr>
                  <w:tcW w:w="1845" w:type="dxa"/>
                  <w:vAlign w:val="center"/>
                </w:tcPr>
                <w:p>
                  <w:pPr>
                    <w:jc w:val="center"/>
                    <w:rPr>
                      <w:rFonts w:cs="Times New Roman"/>
                      <w:color w:val="auto"/>
                      <w:sz w:val="18"/>
                      <w:szCs w:val="18"/>
                    </w:rPr>
                  </w:pPr>
                  <w:r>
                    <w:rPr>
                      <w:rFonts w:cs="Times New Roman"/>
                      <w:color w:val="auto"/>
                      <w:sz w:val="18"/>
                      <w:szCs w:val="18"/>
                    </w:rPr>
                    <w:t>四水厂地下水饮用水源保护区</w:t>
                  </w:r>
                </w:p>
              </w:tc>
              <w:tc>
                <w:tcPr>
                  <w:tcW w:w="3213" w:type="dxa"/>
                  <w:vAlign w:val="center"/>
                </w:tcPr>
                <w:p>
                  <w:pPr>
                    <w:jc w:val="center"/>
                    <w:rPr>
                      <w:rFonts w:cs="Times New Roman"/>
                      <w:color w:val="auto"/>
                      <w:sz w:val="18"/>
                      <w:szCs w:val="18"/>
                    </w:rPr>
                  </w:pPr>
                  <w:r>
                    <w:rPr>
                      <w:rFonts w:cs="Times New Roman"/>
                      <w:color w:val="auto"/>
                      <w:sz w:val="18"/>
                      <w:szCs w:val="18"/>
                    </w:rPr>
                    <w:t>西曹和东曹村北以北，2号井和11号井连线向北150米以南，22号井向东150米以西，12—1号井西150米以东以及输水管线两侧10米的区域。</w:t>
                  </w:r>
                </w:p>
              </w:tc>
              <w:tc>
                <w:tcPr>
                  <w:tcW w:w="3042" w:type="dxa"/>
                  <w:vAlign w:val="center"/>
                </w:tcPr>
                <w:p>
                  <w:pPr>
                    <w:jc w:val="center"/>
                    <w:rPr>
                      <w:rFonts w:cs="Times New Roman"/>
                      <w:color w:val="auto"/>
                      <w:sz w:val="18"/>
                      <w:szCs w:val="18"/>
                    </w:rPr>
                  </w:pPr>
                  <w:r>
                    <w:rPr>
                      <w:rFonts w:cs="Times New Roman"/>
                      <w:color w:val="auto"/>
                      <w:sz w:val="18"/>
                      <w:szCs w:val="18"/>
                    </w:rPr>
                    <w:t>西曹、中曹村和余庄南及七里营村北以北，西石碑和东石碑村南及高村和西贾城村北以南，21号桥以西，敦留店村西以东的区域。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jc w:val="center"/>
                    <w:rPr>
                      <w:rFonts w:cs="Times New Roman"/>
                      <w:color w:val="auto"/>
                      <w:sz w:val="18"/>
                      <w:szCs w:val="18"/>
                    </w:rPr>
                  </w:pPr>
                  <w:r>
                    <w:rPr>
                      <w:rFonts w:cs="Times New Roman"/>
                      <w:color w:val="auto"/>
                      <w:sz w:val="18"/>
                      <w:szCs w:val="18"/>
                    </w:rPr>
                    <w:t>2</w:t>
                  </w:r>
                </w:p>
              </w:tc>
              <w:tc>
                <w:tcPr>
                  <w:tcW w:w="1845" w:type="dxa"/>
                  <w:vAlign w:val="center"/>
                </w:tcPr>
                <w:p>
                  <w:pPr>
                    <w:jc w:val="center"/>
                    <w:rPr>
                      <w:rFonts w:cs="Times New Roman"/>
                      <w:color w:val="auto"/>
                      <w:sz w:val="18"/>
                      <w:szCs w:val="18"/>
                    </w:rPr>
                  </w:pPr>
                  <w:r>
                    <w:rPr>
                      <w:rFonts w:cs="Times New Roman"/>
                      <w:color w:val="auto"/>
                      <w:sz w:val="18"/>
                      <w:szCs w:val="18"/>
                    </w:rPr>
                    <w:t>凤泉水厂地下水饮用水源保护区</w:t>
                  </w:r>
                </w:p>
              </w:tc>
              <w:tc>
                <w:tcPr>
                  <w:tcW w:w="3213" w:type="dxa"/>
                  <w:vAlign w:val="center"/>
                </w:tcPr>
                <w:p>
                  <w:pPr>
                    <w:jc w:val="center"/>
                    <w:rPr>
                      <w:rFonts w:cs="Times New Roman"/>
                      <w:color w:val="auto"/>
                      <w:sz w:val="18"/>
                      <w:szCs w:val="18"/>
                    </w:rPr>
                  </w:pPr>
                  <w:r>
                    <w:rPr>
                      <w:rFonts w:cs="Times New Roman"/>
                      <w:color w:val="auto"/>
                      <w:sz w:val="18"/>
                      <w:szCs w:val="18"/>
                    </w:rPr>
                    <w:t>以水厂东、西两院的院墙为界向外10米以及输水管线两侧10米的区域。</w:t>
                  </w:r>
                </w:p>
              </w:tc>
              <w:tc>
                <w:tcPr>
                  <w:tcW w:w="3042" w:type="dxa"/>
                  <w:vAlign w:val="center"/>
                </w:tcPr>
                <w:p>
                  <w:pPr>
                    <w:jc w:val="center"/>
                    <w:rPr>
                      <w:rFonts w:cs="Times New Roman"/>
                      <w:color w:val="auto"/>
                      <w:sz w:val="18"/>
                      <w:szCs w:val="18"/>
                    </w:rPr>
                  </w:pPr>
                  <w:r>
                    <w:rPr>
                      <w:rFonts w:cs="Times New Roman"/>
                      <w:color w:val="auto"/>
                      <w:sz w:val="18"/>
                      <w:szCs w:val="18"/>
                    </w:rPr>
                    <w:t>东以团结路为界，其他三面以水厂院墙为界，向外100米的区域。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jc w:val="center"/>
                    <w:rPr>
                      <w:rFonts w:cs="Times New Roman"/>
                      <w:color w:val="auto"/>
                      <w:sz w:val="18"/>
                      <w:szCs w:val="18"/>
                    </w:rPr>
                  </w:pPr>
                  <w:r>
                    <w:rPr>
                      <w:rFonts w:cs="Times New Roman"/>
                      <w:color w:val="auto"/>
                      <w:sz w:val="18"/>
                      <w:szCs w:val="18"/>
                    </w:rPr>
                    <w:t>3</w:t>
                  </w:r>
                </w:p>
              </w:tc>
              <w:tc>
                <w:tcPr>
                  <w:tcW w:w="1845" w:type="dxa"/>
                  <w:vAlign w:val="center"/>
                </w:tcPr>
                <w:p>
                  <w:pPr>
                    <w:jc w:val="center"/>
                    <w:rPr>
                      <w:rFonts w:cs="Times New Roman"/>
                      <w:color w:val="auto"/>
                      <w:sz w:val="18"/>
                      <w:szCs w:val="18"/>
                    </w:rPr>
                  </w:pPr>
                  <w:r>
                    <w:rPr>
                      <w:rFonts w:cs="Times New Roman"/>
                      <w:color w:val="auto"/>
                      <w:sz w:val="18"/>
                      <w:szCs w:val="18"/>
                    </w:rPr>
                    <w:t>卫辉市塔岗水库地表水饮用水源保护区</w:t>
                  </w:r>
                </w:p>
              </w:tc>
              <w:tc>
                <w:tcPr>
                  <w:tcW w:w="3213" w:type="dxa"/>
                  <w:vAlign w:val="center"/>
                </w:tcPr>
                <w:p>
                  <w:pPr>
                    <w:jc w:val="center"/>
                    <w:rPr>
                      <w:rFonts w:cs="Times New Roman"/>
                      <w:color w:val="auto"/>
                      <w:sz w:val="18"/>
                      <w:szCs w:val="18"/>
                    </w:rPr>
                  </w:pPr>
                  <w:r>
                    <w:rPr>
                      <w:rFonts w:cs="Times New Roman"/>
                      <w:color w:val="auto"/>
                      <w:sz w:val="18"/>
                      <w:szCs w:val="18"/>
                    </w:rPr>
                    <w:t>取水口外围300米的水域、正常水位线取水口一侧200米的陆域及输水管道两侧10米的陆域。</w:t>
                  </w:r>
                </w:p>
              </w:tc>
              <w:tc>
                <w:tcPr>
                  <w:tcW w:w="3042" w:type="dxa"/>
                  <w:vAlign w:val="center"/>
                </w:tcPr>
                <w:p>
                  <w:pPr>
                    <w:jc w:val="center"/>
                    <w:rPr>
                      <w:rFonts w:cs="Times New Roman"/>
                      <w:color w:val="auto"/>
                      <w:sz w:val="18"/>
                      <w:szCs w:val="18"/>
                    </w:rPr>
                  </w:pPr>
                  <w:r>
                    <w:rPr>
                      <w:rFonts w:cs="Times New Roman"/>
                      <w:color w:val="auto"/>
                      <w:sz w:val="18"/>
                      <w:szCs w:val="18"/>
                    </w:rPr>
                    <w:t>一级保护区外的水域及山脊线内、入库河流上游3000米的陆域。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6" w:type="dxa"/>
                  <w:vAlign w:val="center"/>
                </w:tcPr>
                <w:p>
                  <w:pPr>
                    <w:jc w:val="center"/>
                    <w:rPr>
                      <w:rFonts w:cs="Times New Roman"/>
                      <w:color w:val="auto"/>
                      <w:sz w:val="18"/>
                      <w:szCs w:val="18"/>
                    </w:rPr>
                  </w:pPr>
                  <w:r>
                    <w:rPr>
                      <w:rFonts w:cs="Times New Roman"/>
                      <w:color w:val="auto"/>
                      <w:sz w:val="18"/>
                      <w:szCs w:val="18"/>
                    </w:rPr>
                    <w:t>4</w:t>
                  </w:r>
                </w:p>
              </w:tc>
              <w:tc>
                <w:tcPr>
                  <w:tcW w:w="1845" w:type="dxa"/>
                  <w:vAlign w:val="center"/>
                </w:tcPr>
                <w:p>
                  <w:pPr>
                    <w:jc w:val="center"/>
                    <w:rPr>
                      <w:rFonts w:cs="Times New Roman"/>
                      <w:color w:val="auto"/>
                      <w:sz w:val="18"/>
                      <w:szCs w:val="18"/>
                    </w:rPr>
                  </w:pPr>
                  <w:r>
                    <w:rPr>
                      <w:rFonts w:cs="Times New Roman"/>
                      <w:color w:val="auto"/>
                      <w:sz w:val="18"/>
                      <w:szCs w:val="18"/>
                    </w:rPr>
                    <w:t>辉县市段屯地下水饮用水源保护区</w:t>
                  </w:r>
                </w:p>
              </w:tc>
              <w:tc>
                <w:tcPr>
                  <w:tcW w:w="3213" w:type="dxa"/>
                  <w:vAlign w:val="center"/>
                </w:tcPr>
                <w:p>
                  <w:pPr>
                    <w:jc w:val="center"/>
                    <w:rPr>
                      <w:rFonts w:cs="Times New Roman"/>
                      <w:color w:val="auto"/>
                      <w:sz w:val="18"/>
                      <w:szCs w:val="18"/>
                    </w:rPr>
                  </w:pPr>
                  <w:r>
                    <w:rPr>
                      <w:rFonts w:cs="Times New Roman"/>
                      <w:color w:val="auto"/>
                      <w:sz w:val="18"/>
                      <w:szCs w:val="18"/>
                    </w:rPr>
                    <w:t>井群外围线以外30米的区域及输水管道两侧10米的陆域。</w:t>
                  </w:r>
                </w:p>
              </w:tc>
              <w:tc>
                <w:tcPr>
                  <w:tcW w:w="3042" w:type="dxa"/>
                  <w:vAlign w:val="center"/>
                </w:tcPr>
                <w:p>
                  <w:pPr>
                    <w:jc w:val="center"/>
                    <w:rPr>
                      <w:rFonts w:cs="Times New Roman"/>
                      <w:color w:val="auto"/>
                      <w:sz w:val="18"/>
                      <w:szCs w:val="18"/>
                    </w:rPr>
                  </w:pPr>
                  <w:r>
                    <w:rPr>
                      <w:rFonts w:cs="Times New Roman"/>
                      <w:color w:val="auto"/>
                      <w:sz w:val="18"/>
                      <w:szCs w:val="18"/>
                    </w:rPr>
                    <w:t>卫柿路以北，东外环路以东，井群外围线外300米以西和以南的区域。</w:t>
                  </w:r>
                </w:p>
              </w:tc>
            </w:tr>
          </w:tbl>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项目选址距离凤泉区水厂地下饮用水源地二级保护区边界约</w:t>
            </w:r>
            <w:r>
              <w:rPr>
                <w:rFonts w:hint="eastAsia" w:cs="Times New Roman"/>
                <w:color w:val="auto"/>
                <w:sz w:val="24"/>
                <w:szCs w:val="24"/>
              </w:rPr>
              <w:t>7.2</w:t>
            </w:r>
            <w:r>
              <w:rPr>
                <w:rFonts w:cs="Times New Roman"/>
                <w:color w:val="auto"/>
                <w:sz w:val="24"/>
                <w:szCs w:val="24"/>
              </w:rPr>
              <w:t>km，不在其保护范围内。</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（2）南水北调中线工程</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根据《南水北调中线一期工程总干渠（河南段）两侧饮用水水源保护区划》（豫调办[2018]56号），总干渠明确段：根据地下水水位与总干渠渠底高程的关系，分为以下几种类型：</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1、地下水水位低于总干渠渠底的区段</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一级保护区范围自总干渠管理范围边线（防护栏网）外延50米；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二级保护区范围自一级保护区边线外延150米。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2、地下水水位高于总干渠渠底的渠段</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（1）微~弱透水性地层</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一级保护区范围自总干渠管理范围边线（防护栏网）外延50米；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二级保护区范围自一级保护区边线外延500米。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（2）弱~中等透水性地层</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一级保护区范围自总干渠管理范围边线（防护栏网）外延100米；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二级保护区范围自一级保护区边线外延1000米。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（3）强透水性地层</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一级保护区范围自总干渠管理范围边线（防护栏网）外延200米；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二级保护区范围自一级保护区边线外延2000米、1500米。</w:t>
            </w:r>
          </w:p>
          <w:p>
            <w:pPr>
              <w:adjustRightInd w:val="0"/>
              <w:snapToGrid w:val="0"/>
              <w:spacing w:line="360" w:lineRule="auto"/>
              <w:ind w:firstLine="360" w:firstLineChars="150"/>
              <w:rPr>
                <w:rFonts w:cs="Times New Roman"/>
                <w:color w:val="auto"/>
                <w:sz w:val="24"/>
                <w:szCs w:val="24"/>
              </w:rPr>
            </w:pPr>
            <w:r>
              <w:rPr>
                <w:rFonts w:cs="Times New Roman"/>
                <w:color w:val="auto"/>
                <w:sz w:val="24"/>
                <w:szCs w:val="24"/>
              </w:rPr>
              <w:t>项目距离南水北调工程</w:t>
            </w:r>
            <w:r>
              <w:rPr>
                <w:rStyle w:val="32"/>
                <w:rFonts w:ascii="Times New Roman" w:hAnsi="Times New Roman" w:cs="Times New Roman"/>
                <w:b w:val="0"/>
                <w:bCs/>
                <w:color w:val="auto"/>
                <w:sz w:val="24"/>
                <w:szCs w:val="24"/>
                <w:lang w:eastAsia="zh-CN"/>
              </w:rPr>
              <w:t>右岸</w:t>
            </w:r>
            <w:r>
              <w:rPr>
                <w:rFonts w:cs="Times New Roman"/>
                <w:color w:val="auto"/>
                <w:sz w:val="24"/>
                <w:szCs w:val="24"/>
              </w:rPr>
              <w:t>约</w:t>
            </w:r>
            <w:r>
              <w:rPr>
                <w:rFonts w:hint="eastAsia" w:cs="Times New Roman"/>
                <w:color w:val="auto"/>
                <w:sz w:val="24"/>
                <w:szCs w:val="24"/>
              </w:rPr>
              <w:t>5.9</w:t>
            </w:r>
            <w:r>
              <w:rPr>
                <w:rFonts w:cs="Times New Roman"/>
                <w:color w:val="auto"/>
                <w:sz w:val="24"/>
                <w:szCs w:val="24"/>
              </w:rPr>
              <w:t>km，对应渠段为南水北调总干渠明渠段（潞王坟段），根据《南水北调新乡市保护区范围图（潞王坟段）》，项目对应南水北调总干渠一级保护区范围为自总干渠管理范围边线（防护栏网）外延50米；二级保护区范围自一级保护区边线外延150米。项目选址距离南水北调总干渠二级保护区边界约</w:t>
            </w:r>
            <w:r>
              <w:rPr>
                <w:rFonts w:hint="eastAsia" w:cs="Times New Roman"/>
                <w:color w:val="auto"/>
                <w:sz w:val="24"/>
                <w:szCs w:val="24"/>
              </w:rPr>
              <w:t>5.7</w:t>
            </w:r>
            <w:r>
              <w:rPr>
                <w:rFonts w:cs="Times New Roman"/>
                <w:color w:val="auto"/>
                <w:sz w:val="24"/>
                <w:szCs w:val="24"/>
              </w:rPr>
              <w:t>km，不在其保护区范围内</w:t>
            </w:r>
            <w:r>
              <w:rPr>
                <w:rFonts w:hint="eastAsia" w:cs="Times New Roman"/>
                <w:color w:val="auto"/>
                <w:sz w:val="24"/>
                <w:szCs w:val="24"/>
              </w:rPr>
              <w:t>，</w:t>
            </w:r>
            <w:r>
              <w:rPr>
                <w:rFonts w:cs="Times New Roman"/>
                <w:color w:val="auto"/>
                <w:sz w:val="24"/>
                <w:szCs w:val="24"/>
              </w:rPr>
              <w:t>项目建设不会对其产生影响</w:t>
            </w:r>
            <w:r>
              <w:rPr>
                <w:rFonts w:hint="eastAsia" w:cs="Times New Roman"/>
                <w:color w:val="auto"/>
                <w:sz w:val="24"/>
                <w:szCs w:val="24"/>
              </w:rPr>
              <w:t>。</w:t>
            </w:r>
          </w:p>
          <w:p>
            <w:pPr>
              <w:adjustRightInd w:val="0"/>
              <w:snapToGrid w:val="0"/>
              <w:spacing w:line="360" w:lineRule="auto"/>
              <w:ind w:firstLine="360" w:firstLineChars="150"/>
              <w:rPr>
                <w:rFonts w:cs="Times New Roman"/>
                <w:color w:val="auto"/>
                <w:sz w:val="24"/>
                <w:szCs w:val="24"/>
              </w:rPr>
            </w:pPr>
          </w:p>
          <w:p>
            <w:pPr>
              <w:adjustRightInd w:val="0"/>
              <w:snapToGrid w:val="0"/>
              <w:spacing w:line="360" w:lineRule="auto"/>
              <w:ind w:firstLine="360" w:firstLineChars="150"/>
              <w:rPr>
                <w:rFonts w:cs="Times New Roman"/>
                <w:color w:val="auto"/>
                <w:sz w:val="24"/>
                <w:szCs w:val="24"/>
              </w:rPr>
            </w:pPr>
          </w:p>
          <w:p>
            <w:pPr>
              <w:adjustRightInd w:val="0"/>
              <w:snapToGrid w:val="0"/>
              <w:spacing w:line="360" w:lineRule="auto"/>
              <w:ind w:firstLine="360" w:firstLineChars="150"/>
              <w:rPr>
                <w:rFonts w:cs="Times New Roman"/>
                <w:color w:val="auto"/>
                <w:sz w:val="24"/>
                <w:szCs w:val="24"/>
              </w:rPr>
            </w:pPr>
          </w:p>
          <w:p>
            <w:pPr>
              <w:adjustRightInd w:val="0"/>
              <w:snapToGrid w:val="0"/>
              <w:spacing w:line="360" w:lineRule="auto"/>
              <w:ind w:firstLine="360" w:firstLineChars="150"/>
              <w:rPr>
                <w:rFonts w:cs="Times New Roman"/>
                <w:color w:val="auto"/>
                <w:sz w:val="24"/>
                <w:szCs w:val="24"/>
              </w:rPr>
            </w:pPr>
          </w:p>
          <w:p>
            <w:pPr>
              <w:adjustRightInd w:val="0"/>
              <w:snapToGrid w:val="0"/>
              <w:spacing w:line="360" w:lineRule="auto"/>
              <w:ind w:firstLine="361" w:firstLineChars="150"/>
              <w:rPr>
                <w:rFonts w:cs="Times New Roman"/>
                <w:b/>
                <w:bCs/>
                <w:color w:val="auto"/>
                <w:sz w:val="24"/>
              </w:rPr>
            </w:pPr>
          </w:p>
        </w:tc>
      </w:tr>
    </w:tbl>
    <w:p>
      <w:pPr>
        <w:spacing w:line="360" w:lineRule="auto"/>
        <w:jc w:val="left"/>
        <w:rPr>
          <w:rFonts w:eastAsia="黑体" w:cs="Times New Roman"/>
          <w:color w:val="auto"/>
          <w:sz w:val="30"/>
        </w:rPr>
      </w:pPr>
      <w:r>
        <w:rPr>
          <w:rFonts w:cs="Times New Roman"/>
          <w:b/>
          <w:color w:val="auto"/>
          <w:sz w:val="30"/>
        </w:rPr>
        <w:br w:type="page"/>
      </w:r>
      <w:r>
        <w:rPr>
          <w:rFonts w:eastAsia="黑体" w:cs="Times New Roman"/>
          <w:color w:val="auto"/>
          <w:sz w:val="30"/>
        </w:rPr>
        <w:t>环境质量状况</w:t>
      </w:r>
    </w:p>
    <w:tbl>
      <w:tblPr>
        <w:tblStyle w:val="26"/>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897" w:type="dxa"/>
          </w:tcPr>
          <w:p>
            <w:pPr>
              <w:pStyle w:val="3"/>
              <w:adjustRightInd w:val="0"/>
              <w:snapToGrid w:val="0"/>
              <w:rPr>
                <w:rFonts w:eastAsia="黑体"/>
                <w:b w:val="0"/>
                <w:bCs/>
                <w:color w:val="auto"/>
                <w:sz w:val="28"/>
                <w:szCs w:val="28"/>
                <w:lang w:eastAsia="zh-CN"/>
              </w:rPr>
            </w:pPr>
            <w:r>
              <w:rPr>
                <w:rFonts w:eastAsia="黑体"/>
                <w:b w:val="0"/>
                <w:bCs/>
                <w:color w:val="auto"/>
                <w:sz w:val="28"/>
                <w:szCs w:val="28"/>
                <w:lang w:eastAsia="zh-CN"/>
              </w:rPr>
              <w:t>建设项目所在地区域环境质量现状及主要环境问题（环境空气、地表水、地下水、声环境、生态环境等）：</w:t>
            </w:r>
          </w:p>
          <w:p>
            <w:pPr>
              <w:adjustRightInd w:val="0"/>
              <w:snapToGrid w:val="0"/>
              <w:spacing w:line="360" w:lineRule="auto"/>
              <w:ind w:firstLine="480" w:firstLineChars="200"/>
              <w:rPr>
                <w:rFonts w:eastAsia="黑体" w:cs="Times New Roman"/>
                <w:bCs/>
                <w:color w:val="auto"/>
                <w:sz w:val="24"/>
                <w:szCs w:val="24"/>
              </w:rPr>
            </w:pPr>
            <w:r>
              <w:rPr>
                <w:rFonts w:eastAsia="黑体" w:cs="Times New Roman"/>
                <w:bCs/>
                <w:color w:val="auto"/>
                <w:sz w:val="24"/>
                <w:szCs w:val="24"/>
              </w:rPr>
              <w:t>1、环境空气质量现状</w:t>
            </w:r>
          </w:p>
          <w:p>
            <w:pPr>
              <w:spacing w:line="360" w:lineRule="auto"/>
              <w:ind w:firstLine="480" w:firstLineChars="200"/>
              <w:rPr>
                <w:rFonts w:cs="Times New Roman"/>
                <w:color w:val="auto"/>
                <w:sz w:val="24"/>
                <w:szCs w:val="24"/>
              </w:rPr>
            </w:pPr>
            <w:r>
              <w:rPr>
                <w:rFonts w:hint="eastAsia" w:cs="Times New Roman"/>
                <w:color w:val="auto"/>
                <w:sz w:val="24"/>
                <w:szCs w:val="24"/>
              </w:rPr>
              <w:t>根据大气功能划分原则，项目所在区域为二类功能区，环境空气质量应执行《环境空气质量标准》（GB3095-2012）二级标准。</w:t>
            </w:r>
            <w:r>
              <w:rPr>
                <w:rFonts w:cs="Times New Roman"/>
                <w:color w:val="auto"/>
                <w:sz w:val="24"/>
                <w:szCs w:val="24"/>
              </w:rPr>
              <w:t>根据《新乡市201</w:t>
            </w:r>
            <w:r>
              <w:rPr>
                <w:rFonts w:hint="eastAsia" w:cs="Times New Roman"/>
                <w:color w:val="auto"/>
                <w:sz w:val="24"/>
                <w:szCs w:val="24"/>
              </w:rPr>
              <w:t>8</w:t>
            </w:r>
            <w:r>
              <w:rPr>
                <w:rFonts w:cs="Times New Roman"/>
                <w:color w:val="auto"/>
                <w:sz w:val="24"/>
                <w:szCs w:val="24"/>
              </w:rPr>
              <w:t>年环境质量年报》，区域空气质量现状数据如下表所示。</w:t>
            </w:r>
          </w:p>
          <w:p>
            <w:pPr>
              <w:pStyle w:val="21"/>
              <w:ind w:firstLine="420"/>
              <w:rPr>
                <w:color w:val="auto"/>
              </w:rPr>
            </w:pPr>
            <w:r>
              <w:rPr>
                <w:rFonts w:hint="eastAsia"/>
                <w:color w:val="auto"/>
              </w:rPr>
              <w:t xml:space="preserve">             </w:t>
            </w:r>
            <w:r>
              <w:rPr>
                <w:color w:val="auto"/>
              </w:rPr>
              <w:t>区域空气质量现状评价表</w:t>
            </w:r>
          </w:p>
          <w:tbl>
            <w:tblPr>
              <w:tblStyle w:val="26"/>
              <w:tblW w:w="86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36"/>
              <w:gridCol w:w="1798"/>
              <w:gridCol w:w="1771"/>
              <w:gridCol w:w="1718"/>
              <w:gridCol w:w="1057"/>
              <w:gridCol w:w="100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84" w:hRule="atLeast"/>
                <w:jc w:val="center"/>
              </w:trPr>
              <w:tc>
                <w:tcPr>
                  <w:tcW w:w="1336" w:type="dxa"/>
                  <w:tcBorders>
                    <w:top w:val="single" w:color="auto" w:sz="8" w:space="0"/>
                    <w:left w:val="nil"/>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污染物</w:t>
                  </w:r>
                </w:p>
              </w:tc>
              <w:tc>
                <w:tcPr>
                  <w:tcW w:w="1798"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年评价指标</w:t>
                  </w:r>
                </w:p>
              </w:tc>
              <w:tc>
                <w:tcPr>
                  <w:tcW w:w="1771"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现状浓度/（μg/m</w:t>
                  </w:r>
                  <w:r>
                    <w:rPr>
                      <w:rFonts w:cs="Times New Roman"/>
                      <w:color w:val="auto"/>
                      <w:sz w:val="18"/>
                      <w:szCs w:val="18"/>
                      <w:vertAlign w:val="superscript"/>
                    </w:rPr>
                    <w:t>3</w:t>
                  </w:r>
                  <w:r>
                    <w:rPr>
                      <w:rFonts w:cs="Times New Roman"/>
                      <w:color w:val="auto"/>
                      <w:sz w:val="18"/>
                      <w:szCs w:val="18"/>
                    </w:rPr>
                    <w:t>）</w:t>
                  </w:r>
                </w:p>
              </w:tc>
              <w:tc>
                <w:tcPr>
                  <w:tcW w:w="1718"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标准值/（μg/m</w:t>
                  </w:r>
                  <w:r>
                    <w:rPr>
                      <w:rFonts w:cs="Times New Roman"/>
                      <w:color w:val="auto"/>
                      <w:sz w:val="18"/>
                      <w:szCs w:val="18"/>
                      <w:vertAlign w:val="superscript"/>
                    </w:rPr>
                    <w:t>3</w:t>
                  </w:r>
                  <w:r>
                    <w:rPr>
                      <w:rFonts w:cs="Times New Roman"/>
                      <w:color w:val="auto"/>
                      <w:sz w:val="18"/>
                      <w:szCs w:val="18"/>
                    </w:rPr>
                    <w:t>）</w:t>
                  </w:r>
                </w:p>
              </w:tc>
              <w:tc>
                <w:tcPr>
                  <w:tcW w:w="1057" w:type="dxa"/>
                  <w:tcBorders>
                    <w:top w:val="single" w:color="auto" w:sz="8"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占标率/%</w:t>
                  </w:r>
                </w:p>
              </w:tc>
              <w:tc>
                <w:tcPr>
                  <w:tcW w:w="1001" w:type="dxa"/>
                  <w:tcBorders>
                    <w:top w:val="single" w:color="auto" w:sz="8" w:space="0"/>
                    <w:left w:val="single" w:color="auto" w:sz="4" w:space="0"/>
                    <w:bottom w:val="single" w:color="auto" w:sz="4"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68" w:hRule="atLeast"/>
                <w:jc w:val="center"/>
              </w:trPr>
              <w:tc>
                <w:tcPr>
                  <w:tcW w:w="133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PM</w:t>
                  </w:r>
                  <w:r>
                    <w:rPr>
                      <w:rFonts w:cs="Times New Roman"/>
                      <w:color w:val="auto"/>
                      <w:sz w:val="18"/>
                      <w:szCs w:val="18"/>
                      <w:vertAlign w:val="subscript"/>
                    </w:rPr>
                    <w:t>10</w:t>
                  </w:r>
                </w:p>
              </w:tc>
              <w:tc>
                <w:tcPr>
                  <w:tcW w:w="179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年平均质量浓度</w:t>
                  </w:r>
                </w:p>
              </w:tc>
              <w:tc>
                <w:tcPr>
                  <w:tcW w:w="177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105</w:t>
                  </w:r>
                </w:p>
              </w:tc>
              <w:tc>
                <w:tcPr>
                  <w:tcW w:w="171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70</w:t>
                  </w:r>
                </w:p>
              </w:tc>
              <w:tc>
                <w:tcPr>
                  <w:tcW w:w="105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150</w:t>
                  </w:r>
                </w:p>
              </w:tc>
              <w:tc>
                <w:tcPr>
                  <w:tcW w:w="1001"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84" w:hRule="atLeast"/>
                <w:jc w:val="center"/>
              </w:trPr>
              <w:tc>
                <w:tcPr>
                  <w:tcW w:w="133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PM</w:t>
                  </w:r>
                  <w:r>
                    <w:rPr>
                      <w:rFonts w:cs="Times New Roman"/>
                      <w:color w:val="auto"/>
                      <w:sz w:val="18"/>
                      <w:szCs w:val="18"/>
                      <w:vertAlign w:val="subscript"/>
                    </w:rPr>
                    <w:t>2.5</w:t>
                  </w:r>
                </w:p>
              </w:tc>
              <w:tc>
                <w:tcPr>
                  <w:tcW w:w="179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tcPr>
                <w:p>
                  <w:pPr>
                    <w:pStyle w:val="97"/>
                    <w:adjustRightInd/>
                    <w:snapToGrid/>
                    <w:spacing w:line="240" w:lineRule="auto"/>
                    <w:rPr>
                      <w:rFonts w:cs="Times New Roman"/>
                      <w:color w:val="auto"/>
                      <w:sz w:val="18"/>
                      <w:szCs w:val="18"/>
                    </w:rPr>
                  </w:pPr>
                  <w:r>
                    <w:rPr>
                      <w:rFonts w:cs="Times New Roman"/>
                      <w:color w:val="auto"/>
                      <w:sz w:val="18"/>
                      <w:szCs w:val="18"/>
                    </w:rPr>
                    <w:t>年平均质量浓度</w:t>
                  </w:r>
                </w:p>
              </w:tc>
              <w:tc>
                <w:tcPr>
                  <w:tcW w:w="177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61</w:t>
                  </w:r>
                </w:p>
              </w:tc>
              <w:tc>
                <w:tcPr>
                  <w:tcW w:w="171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35</w:t>
                  </w:r>
                </w:p>
              </w:tc>
              <w:tc>
                <w:tcPr>
                  <w:tcW w:w="105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174.3</w:t>
                  </w:r>
                </w:p>
              </w:tc>
              <w:tc>
                <w:tcPr>
                  <w:tcW w:w="1001"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08" w:hRule="atLeast"/>
                <w:jc w:val="center"/>
              </w:trPr>
              <w:tc>
                <w:tcPr>
                  <w:tcW w:w="133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SO</w:t>
                  </w:r>
                  <w:r>
                    <w:rPr>
                      <w:rFonts w:cs="Times New Roman"/>
                      <w:color w:val="auto"/>
                      <w:sz w:val="18"/>
                      <w:szCs w:val="18"/>
                      <w:vertAlign w:val="subscript"/>
                    </w:rPr>
                    <w:t>2</w:t>
                  </w:r>
                </w:p>
              </w:tc>
              <w:tc>
                <w:tcPr>
                  <w:tcW w:w="179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tcPr>
                <w:p>
                  <w:pPr>
                    <w:pStyle w:val="97"/>
                    <w:adjustRightInd/>
                    <w:snapToGrid/>
                    <w:spacing w:line="240" w:lineRule="auto"/>
                    <w:rPr>
                      <w:rFonts w:cs="Times New Roman"/>
                      <w:color w:val="auto"/>
                      <w:sz w:val="18"/>
                      <w:szCs w:val="18"/>
                    </w:rPr>
                  </w:pPr>
                  <w:r>
                    <w:rPr>
                      <w:rFonts w:cs="Times New Roman"/>
                      <w:color w:val="auto"/>
                      <w:sz w:val="18"/>
                      <w:szCs w:val="18"/>
                    </w:rPr>
                    <w:t>年平均质量浓度</w:t>
                  </w:r>
                </w:p>
              </w:tc>
              <w:tc>
                <w:tcPr>
                  <w:tcW w:w="177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19</w:t>
                  </w:r>
                </w:p>
              </w:tc>
              <w:tc>
                <w:tcPr>
                  <w:tcW w:w="171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60</w:t>
                  </w:r>
                </w:p>
              </w:tc>
              <w:tc>
                <w:tcPr>
                  <w:tcW w:w="105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31.7</w:t>
                  </w:r>
                </w:p>
              </w:tc>
              <w:tc>
                <w:tcPr>
                  <w:tcW w:w="1001"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08" w:hRule="atLeast"/>
                <w:jc w:val="center"/>
              </w:trPr>
              <w:tc>
                <w:tcPr>
                  <w:tcW w:w="133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NO</w:t>
                  </w:r>
                  <w:r>
                    <w:rPr>
                      <w:rFonts w:cs="Times New Roman"/>
                      <w:color w:val="auto"/>
                      <w:sz w:val="18"/>
                      <w:szCs w:val="18"/>
                      <w:vertAlign w:val="subscript"/>
                    </w:rPr>
                    <w:t>2</w:t>
                  </w:r>
                </w:p>
              </w:tc>
              <w:tc>
                <w:tcPr>
                  <w:tcW w:w="179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tcPr>
                <w:p>
                  <w:pPr>
                    <w:pStyle w:val="97"/>
                    <w:adjustRightInd/>
                    <w:snapToGrid/>
                    <w:spacing w:line="240" w:lineRule="auto"/>
                    <w:rPr>
                      <w:rFonts w:cs="Times New Roman"/>
                      <w:color w:val="auto"/>
                      <w:sz w:val="18"/>
                      <w:szCs w:val="18"/>
                    </w:rPr>
                  </w:pPr>
                  <w:r>
                    <w:rPr>
                      <w:rFonts w:cs="Times New Roman"/>
                      <w:color w:val="auto"/>
                      <w:sz w:val="18"/>
                      <w:szCs w:val="18"/>
                    </w:rPr>
                    <w:t>年平均质量浓度</w:t>
                  </w:r>
                </w:p>
              </w:tc>
              <w:tc>
                <w:tcPr>
                  <w:tcW w:w="177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49</w:t>
                  </w:r>
                </w:p>
              </w:tc>
              <w:tc>
                <w:tcPr>
                  <w:tcW w:w="171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40</w:t>
                  </w:r>
                </w:p>
              </w:tc>
              <w:tc>
                <w:tcPr>
                  <w:tcW w:w="105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122.5</w:t>
                  </w:r>
                </w:p>
              </w:tc>
              <w:tc>
                <w:tcPr>
                  <w:tcW w:w="1001"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284" w:hRule="atLeast"/>
                <w:jc w:val="center"/>
              </w:trPr>
              <w:tc>
                <w:tcPr>
                  <w:tcW w:w="1336" w:type="dxa"/>
                  <w:tcBorders>
                    <w:top w:val="single" w:color="auto" w:sz="4" w:space="0"/>
                    <w:left w:val="nil"/>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CO</w:t>
                  </w:r>
                </w:p>
              </w:tc>
              <w:tc>
                <w:tcPr>
                  <w:tcW w:w="179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第95百分位浓度</w:t>
                  </w:r>
                </w:p>
              </w:tc>
              <w:tc>
                <w:tcPr>
                  <w:tcW w:w="1771"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2.</w:t>
                  </w:r>
                  <w:r>
                    <w:rPr>
                      <w:rFonts w:cs="Times New Roman"/>
                      <w:color w:val="auto"/>
                      <w:sz w:val="18"/>
                      <w:szCs w:val="18"/>
                    </w:rPr>
                    <w:t>3mg/m</w:t>
                  </w:r>
                  <w:r>
                    <w:rPr>
                      <w:rFonts w:cs="Times New Roman"/>
                      <w:color w:val="auto"/>
                      <w:sz w:val="18"/>
                      <w:szCs w:val="18"/>
                      <w:vertAlign w:val="superscript"/>
                    </w:rPr>
                    <w:t>3</w:t>
                  </w:r>
                </w:p>
              </w:tc>
              <w:tc>
                <w:tcPr>
                  <w:tcW w:w="1718"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4mg/m</w:t>
                  </w:r>
                  <w:r>
                    <w:rPr>
                      <w:rFonts w:cs="Times New Roman"/>
                      <w:color w:val="auto"/>
                      <w:sz w:val="18"/>
                      <w:szCs w:val="18"/>
                      <w:vertAlign w:val="superscript"/>
                    </w:rPr>
                    <w:t>3</w:t>
                  </w:r>
                </w:p>
              </w:tc>
              <w:tc>
                <w:tcPr>
                  <w:tcW w:w="1057" w:type="dxa"/>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57.5</w:t>
                  </w:r>
                </w:p>
              </w:tc>
              <w:tc>
                <w:tcPr>
                  <w:tcW w:w="1001" w:type="dxa"/>
                  <w:tcBorders>
                    <w:top w:val="single" w:color="auto" w:sz="4" w:space="0"/>
                    <w:left w:val="single" w:color="auto" w:sz="4" w:space="0"/>
                    <w:bottom w:val="single" w:color="auto" w:sz="4"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173" w:hRule="atLeast"/>
                <w:jc w:val="center"/>
              </w:trPr>
              <w:tc>
                <w:tcPr>
                  <w:tcW w:w="1336" w:type="dxa"/>
                  <w:tcBorders>
                    <w:top w:val="single" w:color="auto" w:sz="4" w:space="0"/>
                    <w:left w:val="nil"/>
                    <w:bottom w:val="single" w:color="auto" w:sz="8"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O</w:t>
                  </w:r>
                  <w:r>
                    <w:rPr>
                      <w:rFonts w:cs="Times New Roman"/>
                      <w:color w:val="auto"/>
                      <w:sz w:val="18"/>
                      <w:szCs w:val="18"/>
                      <w:vertAlign w:val="subscript"/>
                    </w:rPr>
                    <w:t>3</w:t>
                  </w:r>
                </w:p>
              </w:tc>
              <w:tc>
                <w:tcPr>
                  <w:tcW w:w="1798"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第90百分位浓度</w:t>
                  </w:r>
                </w:p>
              </w:tc>
              <w:tc>
                <w:tcPr>
                  <w:tcW w:w="1771"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202</w:t>
                  </w:r>
                </w:p>
              </w:tc>
              <w:tc>
                <w:tcPr>
                  <w:tcW w:w="1718"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160</w:t>
                  </w:r>
                </w:p>
              </w:tc>
              <w:tc>
                <w:tcPr>
                  <w:tcW w:w="1057" w:type="dxa"/>
                  <w:tcBorders>
                    <w:top w:val="single" w:color="auto" w:sz="4" w:space="0"/>
                    <w:left w:val="single" w:color="auto" w:sz="4" w:space="0"/>
                    <w:bottom w:val="single" w:color="auto" w:sz="8" w:space="0"/>
                    <w:right w:val="single" w:color="auto" w:sz="4" w:space="0"/>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hint="eastAsia" w:cs="Times New Roman"/>
                      <w:color w:val="auto"/>
                      <w:sz w:val="18"/>
                      <w:szCs w:val="18"/>
                    </w:rPr>
                    <w:t>126.3</w:t>
                  </w:r>
                </w:p>
              </w:tc>
              <w:tc>
                <w:tcPr>
                  <w:tcW w:w="1001" w:type="dxa"/>
                  <w:tcBorders>
                    <w:top w:val="single" w:color="auto" w:sz="4" w:space="0"/>
                    <w:left w:val="single" w:color="auto" w:sz="4" w:space="0"/>
                    <w:bottom w:val="single" w:color="auto" w:sz="8" w:space="0"/>
                    <w:right w:val="nil"/>
                  </w:tcBorders>
                  <w:tcMar>
                    <w:top w:w="57" w:type="dxa"/>
                    <w:left w:w="85" w:type="dxa"/>
                    <w:bottom w:w="57" w:type="dxa"/>
                    <w:right w:w="85" w:type="dxa"/>
                  </w:tcMar>
                  <w:vAlign w:val="center"/>
                </w:tcPr>
                <w:p>
                  <w:pPr>
                    <w:pStyle w:val="97"/>
                    <w:adjustRightInd/>
                    <w:snapToGrid/>
                    <w:spacing w:line="240" w:lineRule="auto"/>
                    <w:rPr>
                      <w:rFonts w:cs="Times New Roman"/>
                      <w:color w:val="auto"/>
                      <w:sz w:val="18"/>
                      <w:szCs w:val="18"/>
                    </w:rPr>
                  </w:pPr>
                  <w:r>
                    <w:rPr>
                      <w:rFonts w:cs="Times New Roman"/>
                      <w:color w:val="auto"/>
                      <w:sz w:val="18"/>
                      <w:szCs w:val="18"/>
                    </w:rPr>
                    <w:t>超标</w:t>
                  </w:r>
                </w:p>
              </w:tc>
            </w:tr>
          </w:tbl>
          <w:p>
            <w:pPr>
              <w:spacing w:line="336" w:lineRule="auto"/>
              <w:ind w:firstLine="480" w:firstLineChars="200"/>
              <w:rPr>
                <w:rFonts w:cs="Times New Roman"/>
                <w:color w:val="auto"/>
                <w:sz w:val="24"/>
                <w:szCs w:val="24"/>
              </w:rPr>
            </w:pPr>
            <w:r>
              <w:rPr>
                <w:rFonts w:cs="Times New Roman"/>
                <w:color w:val="auto"/>
                <w:sz w:val="24"/>
                <w:szCs w:val="24"/>
              </w:rPr>
              <w:t>其中PM</w:t>
            </w:r>
            <w:r>
              <w:rPr>
                <w:rFonts w:cs="Times New Roman"/>
                <w:color w:val="auto"/>
                <w:sz w:val="24"/>
                <w:szCs w:val="24"/>
                <w:vertAlign w:val="subscript"/>
              </w:rPr>
              <w:t>10</w:t>
            </w:r>
            <w:r>
              <w:rPr>
                <w:rFonts w:cs="Times New Roman"/>
                <w:color w:val="auto"/>
                <w:sz w:val="24"/>
                <w:szCs w:val="24"/>
              </w:rPr>
              <w:t>、PM</w:t>
            </w:r>
            <w:r>
              <w:rPr>
                <w:rFonts w:cs="Times New Roman"/>
                <w:color w:val="auto"/>
                <w:sz w:val="24"/>
                <w:szCs w:val="24"/>
                <w:vertAlign w:val="subscript"/>
              </w:rPr>
              <w:t>2.5</w:t>
            </w:r>
            <w:r>
              <w:rPr>
                <w:rFonts w:cs="Times New Roman"/>
                <w:color w:val="auto"/>
                <w:sz w:val="24"/>
                <w:szCs w:val="24"/>
              </w:rPr>
              <w:t>、NO</w:t>
            </w:r>
            <w:r>
              <w:rPr>
                <w:rFonts w:cs="Times New Roman"/>
                <w:color w:val="auto"/>
                <w:sz w:val="24"/>
                <w:szCs w:val="24"/>
                <w:vertAlign w:val="subscript"/>
              </w:rPr>
              <w:t>2</w:t>
            </w:r>
            <w:r>
              <w:rPr>
                <w:rFonts w:cs="Times New Roman"/>
                <w:color w:val="auto"/>
                <w:sz w:val="24"/>
                <w:szCs w:val="24"/>
              </w:rPr>
              <w:t>和O</w:t>
            </w:r>
            <w:r>
              <w:rPr>
                <w:rFonts w:cs="Times New Roman"/>
                <w:color w:val="auto"/>
                <w:sz w:val="24"/>
                <w:szCs w:val="24"/>
                <w:vertAlign w:val="subscript"/>
              </w:rPr>
              <w:t>3</w:t>
            </w:r>
            <w:r>
              <w:rPr>
                <w:rFonts w:cs="Times New Roman"/>
                <w:color w:val="auto"/>
                <w:sz w:val="24"/>
                <w:szCs w:val="24"/>
              </w:rPr>
              <w:t>均不能够满足《环境空气质量标准》（GB3095-2012）二级标准要求。</w:t>
            </w:r>
            <w:r>
              <w:rPr>
                <w:rFonts w:hint="eastAsia" w:cs="Times New Roman"/>
                <w:color w:val="auto"/>
                <w:sz w:val="24"/>
                <w:szCs w:val="24"/>
              </w:rPr>
              <w:t>根据</w:t>
            </w:r>
            <w:r>
              <w:rPr>
                <w:rFonts w:cs="Times New Roman"/>
                <w:bCs/>
                <w:color w:val="auto"/>
                <w:sz w:val="24"/>
                <w:szCs w:val="24"/>
              </w:rPr>
              <w:t>《环境影响评价技术导则  大气环境》(HJ2.2-2018)</w:t>
            </w:r>
            <w:r>
              <w:rPr>
                <w:rFonts w:hint="eastAsia" w:cs="Times New Roman"/>
                <w:bCs/>
                <w:color w:val="auto"/>
                <w:sz w:val="24"/>
                <w:szCs w:val="24"/>
              </w:rPr>
              <w:t>，</w:t>
            </w:r>
            <w:r>
              <w:rPr>
                <w:rFonts w:hint="eastAsia" w:cs="Times New Roman"/>
                <w:color w:val="auto"/>
                <w:sz w:val="24"/>
                <w:szCs w:val="24"/>
              </w:rPr>
              <w:t>本项目所在区域</w:t>
            </w:r>
            <w:r>
              <w:rPr>
                <w:rFonts w:cs="Times New Roman"/>
                <w:color w:val="auto"/>
                <w:sz w:val="24"/>
                <w:szCs w:val="24"/>
              </w:rPr>
              <w:t>属于</w:t>
            </w:r>
            <w:r>
              <w:rPr>
                <w:rFonts w:hint="eastAsia" w:cs="Times New Roman"/>
                <w:color w:val="auto"/>
                <w:sz w:val="24"/>
                <w:szCs w:val="24"/>
              </w:rPr>
              <w:t>不</w:t>
            </w:r>
            <w:r>
              <w:rPr>
                <w:rFonts w:cs="Times New Roman"/>
                <w:color w:val="auto"/>
                <w:sz w:val="24"/>
                <w:szCs w:val="24"/>
              </w:rPr>
              <w:t>达标区。</w:t>
            </w:r>
          </w:p>
          <w:p>
            <w:pPr>
              <w:spacing w:line="336" w:lineRule="auto"/>
              <w:ind w:firstLine="480" w:firstLineChars="200"/>
              <w:rPr>
                <w:rFonts w:cs="Times New Roman"/>
                <w:color w:val="auto"/>
                <w:sz w:val="24"/>
                <w:szCs w:val="24"/>
              </w:rPr>
            </w:pPr>
            <w:r>
              <w:rPr>
                <w:rFonts w:cs="Times New Roman"/>
                <w:color w:val="auto"/>
                <w:sz w:val="24"/>
                <w:szCs w:val="24"/>
              </w:rPr>
              <w:t>201</w:t>
            </w:r>
            <w:r>
              <w:rPr>
                <w:rFonts w:hint="eastAsia" w:cs="Times New Roman"/>
                <w:color w:val="auto"/>
                <w:sz w:val="24"/>
                <w:szCs w:val="24"/>
              </w:rPr>
              <w:t>8</w:t>
            </w:r>
            <w:r>
              <w:rPr>
                <w:rFonts w:cs="Times New Roman"/>
                <w:color w:val="auto"/>
                <w:sz w:val="24"/>
                <w:szCs w:val="24"/>
              </w:rPr>
              <w:t>年，新乡市城市环境空气PM</w:t>
            </w:r>
            <w:r>
              <w:rPr>
                <w:rFonts w:cs="Times New Roman"/>
                <w:color w:val="auto"/>
                <w:sz w:val="24"/>
                <w:szCs w:val="24"/>
                <w:vertAlign w:val="subscript"/>
              </w:rPr>
              <w:t>10</w:t>
            </w:r>
            <w:r>
              <w:rPr>
                <w:rFonts w:cs="Times New Roman"/>
                <w:color w:val="auto"/>
                <w:sz w:val="24"/>
                <w:szCs w:val="24"/>
              </w:rPr>
              <w:t>同比下降</w:t>
            </w:r>
            <w:r>
              <w:rPr>
                <w:rFonts w:hint="eastAsia" w:cs="Times New Roman"/>
                <w:color w:val="auto"/>
                <w:sz w:val="24"/>
                <w:szCs w:val="24"/>
              </w:rPr>
              <w:t>4</w:t>
            </w:r>
            <w:r>
              <w:rPr>
                <w:rFonts w:cs="Times New Roman"/>
                <w:color w:val="auto"/>
                <w:sz w:val="24"/>
                <w:szCs w:val="24"/>
              </w:rPr>
              <w:t>微克/立方米，降幅</w:t>
            </w:r>
            <w:r>
              <w:rPr>
                <w:rFonts w:hint="eastAsia" w:cs="Times New Roman"/>
                <w:color w:val="auto"/>
                <w:sz w:val="24"/>
                <w:szCs w:val="24"/>
              </w:rPr>
              <w:t>3.7</w:t>
            </w:r>
            <w:r>
              <w:rPr>
                <w:rFonts w:cs="Times New Roman"/>
                <w:color w:val="auto"/>
                <w:sz w:val="24"/>
                <w:szCs w:val="24"/>
              </w:rPr>
              <w:t>%；PM</w:t>
            </w:r>
            <w:r>
              <w:rPr>
                <w:rFonts w:cs="Times New Roman"/>
                <w:color w:val="auto"/>
                <w:sz w:val="24"/>
                <w:szCs w:val="24"/>
                <w:vertAlign w:val="subscript"/>
              </w:rPr>
              <w:t>2.5</w:t>
            </w:r>
            <w:r>
              <w:rPr>
                <w:rFonts w:cs="Times New Roman"/>
                <w:color w:val="auto"/>
                <w:sz w:val="24"/>
                <w:szCs w:val="24"/>
              </w:rPr>
              <w:t>同比下降</w:t>
            </w:r>
            <w:r>
              <w:rPr>
                <w:rFonts w:hint="eastAsia" w:cs="Times New Roman"/>
                <w:color w:val="auto"/>
                <w:sz w:val="24"/>
                <w:szCs w:val="24"/>
              </w:rPr>
              <w:t>2</w:t>
            </w:r>
            <w:r>
              <w:rPr>
                <w:rFonts w:cs="Times New Roman"/>
                <w:color w:val="auto"/>
                <w:sz w:val="24"/>
                <w:szCs w:val="24"/>
              </w:rPr>
              <w:t>微克/立方米，降幅</w:t>
            </w:r>
            <w:r>
              <w:rPr>
                <w:rFonts w:hint="eastAsia" w:cs="Times New Roman"/>
                <w:color w:val="auto"/>
                <w:sz w:val="24"/>
                <w:szCs w:val="24"/>
              </w:rPr>
              <w:t>3.2</w:t>
            </w:r>
            <w:r>
              <w:rPr>
                <w:rFonts w:cs="Times New Roman"/>
                <w:color w:val="auto"/>
                <w:sz w:val="24"/>
                <w:szCs w:val="24"/>
              </w:rPr>
              <w:t>%；SO</w:t>
            </w:r>
            <w:r>
              <w:rPr>
                <w:rFonts w:cs="Times New Roman"/>
                <w:color w:val="auto"/>
                <w:sz w:val="24"/>
                <w:szCs w:val="24"/>
                <w:vertAlign w:val="subscript"/>
              </w:rPr>
              <w:t>2</w:t>
            </w:r>
            <w:r>
              <w:rPr>
                <w:rFonts w:cs="Times New Roman"/>
                <w:color w:val="auto"/>
                <w:sz w:val="24"/>
                <w:szCs w:val="24"/>
              </w:rPr>
              <w:t>同比下降</w:t>
            </w:r>
            <w:r>
              <w:rPr>
                <w:rFonts w:hint="eastAsia" w:cs="Times New Roman"/>
                <w:color w:val="auto"/>
                <w:sz w:val="24"/>
                <w:szCs w:val="24"/>
              </w:rPr>
              <w:t>9</w:t>
            </w:r>
            <w:r>
              <w:rPr>
                <w:rFonts w:cs="Times New Roman"/>
                <w:color w:val="auto"/>
                <w:sz w:val="24"/>
                <w:szCs w:val="24"/>
              </w:rPr>
              <w:t>微克/立方米，降幅</w:t>
            </w:r>
            <w:r>
              <w:rPr>
                <w:rFonts w:hint="eastAsia" w:cs="Times New Roman"/>
                <w:color w:val="auto"/>
                <w:sz w:val="24"/>
                <w:szCs w:val="24"/>
              </w:rPr>
              <w:t>32.1</w:t>
            </w:r>
            <w:r>
              <w:rPr>
                <w:rFonts w:cs="Times New Roman"/>
                <w:color w:val="auto"/>
                <w:sz w:val="24"/>
                <w:szCs w:val="24"/>
              </w:rPr>
              <w:t>%；NO</w:t>
            </w:r>
            <w:r>
              <w:rPr>
                <w:rFonts w:cs="Times New Roman"/>
                <w:color w:val="auto"/>
                <w:sz w:val="24"/>
                <w:szCs w:val="24"/>
                <w:vertAlign w:val="subscript"/>
              </w:rPr>
              <w:t>2</w:t>
            </w:r>
            <w:r>
              <w:rPr>
                <w:rFonts w:cs="Times New Roman"/>
                <w:color w:val="auto"/>
                <w:sz w:val="24"/>
                <w:szCs w:val="24"/>
              </w:rPr>
              <w:t>同比</w:t>
            </w:r>
            <w:r>
              <w:rPr>
                <w:rFonts w:hint="eastAsia" w:cs="Times New Roman"/>
                <w:color w:val="auto"/>
                <w:sz w:val="24"/>
                <w:szCs w:val="24"/>
              </w:rPr>
              <w:t>下降</w:t>
            </w:r>
            <w:r>
              <w:rPr>
                <w:rFonts w:cs="Times New Roman"/>
                <w:color w:val="auto"/>
                <w:sz w:val="24"/>
                <w:szCs w:val="24"/>
              </w:rPr>
              <w:t>1微克/立方米，降幅2</w:t>
            </w:r>
            <w:r>
              <w:rPr>
                <w:rFonts w:hint="eastAsia" w:cs="Times New Roman"/>
                <w:color w:val="auto"/>
                <w:sz w:val="24"/>
                <w:szCs w:val="24"/>
              </w:rPr>
              <w:t>.0</w:t>
            </w:r>
            <w:r>
              <w:rPr>
                <w:rFonts w:cs="Times New Roman"/>
                <w:color w:val="auto"/>
                <w:sz w:val="24"/>
                <w:szCs w:val="24"/>
              </w:rPr>
              <w:t>%；O</w:t>
            </w:r>
            <w:r>
              <w:rPr>
                <w:rFonts w:cs="Times New Roman"/>
                <w:color w:val="auto"/>
                <w:sz w:val="24"/>
                <w:szCs w:val="24"/>
                <w:vertAlign w:val="subscript"/>
              </w:rPr>
              <w:t>3</w:t>
            </w:r>
            <w:r>
              <w:rPr>
                <w:rFonts w:cs="Times New Roman"/>
                <w:color w:val="auto"/>
                <w:sz w:val="24"/>
                <w:szCs w:val="24"/>
              </w:rPr>
              <w:t>第90百分位同比下降7微克/立方米，降幅</w:t>
            </w:r>
            <w:r>
              <w:rPr>
                <w:rFonts w:hint="eastAsia" w:cs="Times New Roman"/>
                <w:color w:val="auto"/>
                <w:sz w:val="24"/>
                <w:szCs w:val="24"/>
              </w:rPr>
              <w:t>3.3</w:t>
            </w:r>
            <w:r>
              <w:rPr>
                <w:rFonts w:cs="Times New Roman"/>
                <w:color w:val="auto"/>
                <w:sz w:val="24"/>
                <w:szCs w:val="24"/>
              </w:rPr>
              <w:t>%。优、良天数1</w:t>
            </w:r>
            <w:r>
              <w:rPr>
                <w:rFonts w:hint="eastAsia" w:cs="Times New Roman"/>
                <w:color w:val="auto"/>
                <w:sz w:val="24"/>
                <w:szCs w:val="24"/>
              </w:rPr>
              <w:t>77</w:t>
            </w:r>
            <w:r>
              <w:rPr>
                <w:rFonts w:cs="Times New Roman"/>
                <w:color w:val="auto"/>
                <w:sz w:val="24"/>
                <w:szCs w:val="24"/>
              </w:rPr>
              <w:t>天以上。</w:t>
            </w:r>
          </w:p>
          <w:p>
            <w:pPr>
              <w:spacing w:line="336" w:lineRule="auto"/>
              <w:ind w:firstLine="480" w:firstLineChars="200"/>
              <w:textAlignment w:val="baseline"/>
              <w:rPr>
                <w:rFonts w:cs="Times New Roman"/>
                <w:color w:val="auto"/>
                <w:sz w:val="24"/>
                <w:szCs w:val="24"/>
              </w:rPr>
            </w:pPr>
            <w:r>
              <w:rPr>
                <w:rFonts w:cs="Times New Roman"/>
                <w:color w:val="auto"/>
                <w:sz w:val="24"/>
                <w:szCs w:val="24"/>
              </w:rPr>
              <w:t>目前，新乡市正在实施《新乡市蓝天工程行动计划》、《新乡市2018年大气污染防治攻坚战实施方案》、《“十三五”挥发性有机物污染防治工作方案》、《新乡市环境污染防治攻坚战三年行动实施方案（2018-2020年）》等一系列措施，将不断改善区域大气环境质量。预计2020年可以达到《新乡市环境污染防治攻坚战三年行动实施方案（2018-2020年）》中：“全市PM</w:t>
            </w:r>
            <w:r>
              <w:rPr>
                <w:rFonts w:cs="Times New Roman"/>
                <w:color w:val="auto"/>
                <w:sz w:val="24"/>
                <w:szCs w:val="24"/>
                <w:vertAlign w:val="subscript"/>
              </w:rPr>
              <w:t>2.5</w:t>
            </w:r>
            <w:r>
              <w:rPr>
                <w:rFonts w:cs="Times New Roman"/>
                <w:color w:val="auto"/>
                <w:sz w:val="24"/>
                <w:szCs w:val="24"/>
              </w:rPr>
              <w:t>年均浓度达到55微克/立方米以下，PM</w:t>
            </w:r>
            <w:r>
              <w:rPr>
                <w:rFonts w:cs="Times New Roman"/>
                <w:color w:val="auto"/>
                <w:sz w:val="24"/>
                <w:szCs w:val="24"/>
                <w:vertAlign w:val="subscript"/>
              </w:rPr>
              <w:t>10</w:t>
            </w:r>
            <w:r>
              <w:rPr>
                <w:rFonts w:cs="Times New Roman"/>
                <w:color w:val="auto"/>
                <w:sz w:val="24"/>
                <w:szCs w:val="24"/>
              </w:rPr>
              <w:t>年均浓度达到101微克/立方米以下，全年优良天数比例达到66%以上”的目标。</w:t>
            </w:r>
          </w:p>
          <w:p>
            <w:pPr>
              <w:spacing w:line="336" w:lineRule="auto"/>
              <w:ind w:firstLine="464" w:firstLineChars="200"/>
              <w:textAlignment w:val="baseline"/>
              <w:rPr>
                <w:rFonts w:eastAsia="黑体" w:cs="Times New Roman"/>
                <w:color w:val="auto"/>
                <w:spacing w:val="-4"/>
                <w:sz w:val="24"/>
                <w:szCs w:val="24"/>
              </w:rPr>
            </w:pPr>
            <w:r>
              <w:rPr>
                <w:rFonts w:eastAsia="黑体" w:cs="Times New Roman"/>
                <w:color w:val="auto"/>
                <w:spacing w:val="-4"/>
                <w:sz w:val="24"/>
                <w:szCs w:val="24"/>
              </w:rPr>
              <w:t>2、地表水</w:t>
            </w:r>
            <w:r>
              <w:rPr>
                <w:rFonts w:hint="eastAsia" w:eastAsia="黑体" w:cs="Times New Roman"/>
                <w:color w:val="auto"/>
                <w:spacing w:val="-4"/>
                <w:sz w:val="24"/>
                <w:szCs w:val="24"/>
              </w:rPr>
              <w:t>环境质量现状</w:t>
            </w:r>
          </w:p>
          <w:p>
            <w:pPr>
              <w:spacing w:line="336" w:lineRule="auto"/>
              <w:ind w:firstLine="480" w:firstLineChars="200"/>
              <w:rPr>
                <w:rFonts w:cs="Times New Roman"/>
                <w:color w:val="auto"/>
                <w:sz w:val="24"/>
                <w:szCs w:val="24"/>
              </w:rPr>
            </w:pPr>
            <w:r>
              <w:rPr>
                <w:rFonts w:hint="eastAsia" w:cs="Times New Roman"/>
                <w:color w:val="auto"/>
                <w:sz w:val="24"/>
                <w:szCs w:val="24"/>
              </w:rPr>
              <w:t>距离项目最近的地表水体为项目南侧200米处的民生渠河，民生渠最终汇入共产主义渠。评价引用</w:t>
            </w:r>
            <w:r>
              <w:rPr>
                <w:rFonts w:cs="Times New Roman"/>
                <w:color w:val="auto"/>
                <w:sz w:val="24"/>
                <w:szCs w:val="24"/>
              </w:rPr>
              <w:t>新乡市环境监测站</w:t>
            </w:r>
            <w:r>
              <w:rPr>
                <w:rFonts w:hint="eastAsia" w:cs="Times New Roman"/>
                <w:color w:val="auto"/>
                <w:sz w:val="24"/>
                <w:szCs w:val="24"/>
              </w:rPr>
              <w:t>对共产主义渠-下马营断面的监测数据</w:t>
            </w:r>
            <w:r>
              <w:rPr>
                <w:rFonts w:cs="Times New Roman"/>
                <w:color w:val="auto"/>
                <w:sz w:val="24"/>
                <w:szCs w:val="24"/>
                <w:shd w:val="clear" w:color="auto" w:fill="FFFFFF"/>
              </w:rPr>
              <w:t>，见下表。</w:t>
            </w:r>
          </w:p>
          <w:p>
            <w:pPr>
              <w:pStyle w:val="21"/>
              <w:ind w:firstLine="420"/>
              <w:rPr>
                <w:color w:val="auto"/>
              </w:rPr>
            </w:pPr>
            <w:r>
              <w:rPr>
                <w:rFonts w:hint="eastAsia"/>
                <w:color w:val="auto"/>
              </w:rPr>
              <w:t xml:space="preserve">     </w:t>
            </w:r>
            <w:r>
              <w:rPr>
                <w:color w:val="auto"/>
              </w:rPr>
              <w:t>共产主义渠-下马营断面水质监测数据一览表</w:t>
            </w:r>
            <w:r>
              <w:rPr>
                <w:rFonts w:hint="eastAsia"/>
                <w:color w:val="auto"/>
              </w:rPr>
              <w:t>（2019年5月）</w:t>
            </w:r>
          </w:p>
          <w:tbl>
            <w:tblPr>
              <w:tblStyle w:val="26"/>
              <w:tblW w:w="868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2428"/>
              <w:gridCol w:w="2067"/>
              <w:gridCol w:w="20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vAlign w:val="center"/>
                </w:tcPr>
                <w:p>
                  <w:pPr>
                    <w:jc w:val="center"/>
                    <w:rPr>
                      <w:rFonts w:cs="Times New Roman"/>
                      <w:color w:val="auto"/>
                      <w:sz w:val="18"/>
                      <w:szCs w:val="18"/>
                    </w:rPr>
                  </w:pPr>
                  <w:r>
                    <w:rPr>
                      <w:rFonts w:cs="Times New Roman"/>
                      <w:color w:val="auto"/>
                      <w:sz w:val="18"/>
                      <w:szCs w:val="18"/>
                    </w:rPr>
                    <w:t>时间</w:t>
                  </w:r>
                </w:p>
              </w:tc>
              <w:tc>
                <w:tcPr>
                  <w:tcW w:w="2428" w:type="dxa"/>
                  <w:vAlign w:val="center"/>
                </w:tcPr>
                <w:p>
                  <w:pPr>
                    <w:jc w:val="center"/>
                    <w:rPr>
                      <w:rFonts w:cs="Times New Roman"/>
                      <w:color w:val="auto"/>
                      <w:sz w:val="18"/>
                      <w:szCs w:val="18"/>
                    </w:rPr>
                  </w:pPr>
                  <w:r>
                    <w:rPr>
                      <w:rFonts w:cs="Times New Roman"/>
                      <w:color w:val="auto"/>
                      <w:sz w:val="18"/>
                      <w:szCs w:val="18"/>
                    </w:rPr>
                    <w:t>COD（mg/L）</w:t>
                  </w:r>
                </w:p>
              </w:tc>
              <w:tc>
                <w:tcPr>
                  <w:tcW w:w="2067" w:type="dxa"/>
                  <w:vAlign w:val="center"/>
                </w:tcPr>
                <w:p>
                  <w:pPr>
                    <w:jc w:val="center"/>
                    <w:rPr>
                      <w:rFonts w:cs="Times New Roman"/>
                      <w:color w:val="auto"/>
                      <w:sz w:val="18"/>
                      <w:szCs w:val="18"/>
                    </w:rPr>
                  </w:pPr>
                  <w:r>
                    <w:rPr>
                      <w:rFonts w:cs="Times New Roman"/>
                      <w:color w:val="auto"/>
                      <w:sz w:val="18"/>
                      <w:szCs w:val="18"/>
                    </w:rPr>
                    <w:t>氨氮（mg/L）</w:t>
                  </w:r>
                </w:p>
              </w:tc>
              <w:tc>
                <w:tcPr>
                  <w:tcW w:w="2070" w:type="dxa"/>
                  <w:vAlign w:val="center"/>
                </w:tcPr>
                <w:p>
                  <w:pPr>
                    <w:jc w:val="center"/>
                    <w:rPr>
                      <w:rFonts w:cs="Times New Roman"/>
                      <w:color w:val="auto"/>
                      <w:sz w:val="18"/>
                      <w:szCs w:val="18"/>
                    </w:rPr>
                  </w:pPr>
                  <w:r>
                    <w:rPr>
                      <w:rFonts w:cs="Times New Roman"/>
                      <w:color w:val="auto"/>
                      <w:sz w:val="18"/>
                      <w:szCs w:val="18"/>
                    </w:rPr>
                    <w:t>总磷（mg/L）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6" w:type="dxa"/>
                  <w:vAlign w:val="center"/>
                </w:tcPr>
                <w:p>
                  <w:pPr>
                    <w:jc w:val="center"/>
                    <w:rPr>
                      <w:rFonts w:cs="Times New Roman"/>
                      <w:color w:val="auto"/>
                      <w:sz w:val="18"/>
                      <w:szCs w:val="18"/>
                    </w:rPr>
                  </w:pPr>
                  <w:r>
                    <w:rPr>
                      <w:rFonts w:cs="Times New Roman"/>
                      <w:color w:val="auto"/>
                      <w:sz w:val="18"/>
                      <w:szCs w:val="18"/>
                    </w:rPr>
                    <w:t>201</w:t>
                  </w:r>
                  <w:r>
                    <w:rPr>
                      <w:rFonts w:hint="eastAsia" w:cs="Times New Roman"/>
                      <w:color w:val="auto"/>
                      <w:sz w:val="18"/>
                      <w:szCs w:val="18"/>
                    </w:rPr>
                    <w:t>9</w:t>
                  </w:r>
                  <w:r>
                    <w:rPr>
                      <w:rFonts w:cs="Times New Roman"/>
                      <w:color w:val="auto"/>
                      <w:sz w:val="18"/>
                      <w:szCs w:val="18"/>
                    </w:rPr>
                    <w:t>年</w:t>
                  </w:r>
                  <w:r>
                    <w:rPr>
                      <w:rFonts w:hint="eastAsia" w:cs="Times New Roman"/>
                      <w:color w:val="auto"/>
                      <w:sz w:val="18"/>
                      <w:szCs w:val="18"/>
                    </w:rPr>
                    <w:t>5</w:t>
                  </w:r>
                  <w:r>
                    <w:rPr>
                      <w:rFonts w:cs="Times New Roman"/>
                      <w:color w:val="auto"/>
                      <w:sz w:val="18"/>
                      <w:szCs w:val="18"/>
                    </w:rPr>
                    <w:t>月份</w:t>
                  </w:r>
                </w:p>
              </w:tc>
              <w:tc>
                <w:tcPr>
                  <w:tcW w:w="2428" w:type="dxa"/>
                  <w:vAlign w:val="center"/>
                </w:tcPr>
                <w:p>
                  <w:pPr>
                    <w:widowControl/>
                    <w:adjustRightInd w:val="0"/>
                    <w:snapToGrid w:val="0"/>
                    <w:jc w:val="center"/>
                    <w:rPr>
                      <w:rFonts w:cs="Times New Roman"/>
                      <w:color w:val="auto"/>
                      <w:sz w:val="18"/>
                      <w:szCs w:val="18"/>
                    </w:rPr>
                  </w:pPr>
                  <w:r>
                    <w:rPr>
                      <w:rFonts w:hint="eastAsia" w:cs="Times New Roman"/>
                      <w:color w:val="auto"/>
                      <w:sz w:val="18"/>
                      <w:szCs w:val="18"/>
                    </w:rPr>
                    <w:t>21.0</w:t>
                  </w:r>
                </w:p>
              </w:tc>
              <w:tc>
                <w:tcPr>
                  <w:tcW w:w="2067" w:type="dxa"/>
                  <w:vAlign w:val="center"/>
                </w:tcPr>
                <w:p>
                  <w:pPr>
                    <w:widowControl/>
                    <w:adjustRightInd w:val="0"/>
                    <w:snapToGrid w:val="0"/>
                    <w:jc w:val="center"/>
                    <w:rPr>
                      <w:rFonts w:cs="Times New Roman"/>
                      <w:color w:val="auto"/>
                      <w:sz w:val="18"/>
                      <w:szCs w:val="18"/>
                    </w:rPr>
                  </w:pPr>
                  <w:r>
                    <w:rPr>
                      <w:rFonts w:hint="eastAsia" w:cs="Times New Roman"/>
                      <w:color w:val="auto"/>
                      <w:sz w:val="18"/>
                      <w:szCs w:val="18"/>
                    </w:rPr>
                    <w:t>0.55</w:t>
                  </w:r>
                </w:p>
              </w:tc>
              <w:tc>
                <w:tcPr>
                  <w:tcW w:w="2070" w:type="dxa"/>
                  <w:vAlign w:val="center"/>
                </w:tcPr>
                <w:p>
                  <w:pPr>
                    <w:widowControl/>
                    <w:adjustRightInd w:val="0"/>
                    <w:snapToGrid w:val="0"/>
                    <w:jc w:val="center"/>
                    <w:rPr>
                      <w:rFonts w:cs="Times New Roman"/>
                      <w:color w:val="auto"/>
                      <w:sz w:val="18"/>
                      <w:szCs w:val="18"/>
                    </w:rPr>
                  </w:pPr>
                  <w:r>
                    <w:rPr>
                      <w:rFonts w:hint="eastAsia" w:cs="Times New Roman"/>
                      <w:color w:val="auto"/>
                      <w:sz w:val="18"/>
                      <w:szCs w:val="18"/>
                    </w:rPr>
                    <w:t>0.320</w:t>
                  </w:r>
                </w:p>
              </w:tc>
            </w:tr>
          </w:tbl>
          <w:p>
            <w:pPr>
              <w:pStyle w:val="33"/>
              <w:spacing w:line="360" w:lineRule="auto"/>
              <w:ind w:firstLine="480" w:firstLineChars="200"/>
              <w:jc w:val="left"/>
              <w:rPr>
                <w:rFonts w:ascii="Times New Roman" w:hAnsi="Times New Roman" w:eastAsia="宋体" w:cs="Times New Roman"/>
                <w:color w:val="auto"/>
              </w:rPr>
            </w:pPr>
            <w:r>
              <w:rPr>
                <w:rFonts w:ascii="Times New Roman" w:hAnsi="Times New Roman" w:eastAsia="宋体" w:cs="Times New Roman"/>
                <w:color w:val="auto"/>
                <w:shd w:val="clear" w:color="auto" w:fill="FFFFFF"/>
              </w:rPr>
              <w:t>根据表</w:t>
            </w:r>
            <w:r>
              <w:rPr>
                <w:rFonts w:hint="eastAsia" w:ascii="Times New Roman" w:hAnsi="Times New Roman" w:eastAsia="宋体" w:cs="Times New Roman"/>
                <w:color w:val="auto"/>
                <w:shd w:val="clear" w:color="auto" w:fill="FFFFFF"/>
              </w:rPr>
              <w:t>12</w:t>
            </w:r>
            <w:r>
              <w:rPr>
                <w:rFonts w:ascii="Times New Roman" w:hAnsi="Times New Roman" w:eastAsia="宋体" w:cs="Times New Roman"/>
                <w:color w:val="auto"/>
                <w:shd w:val="clear" w:color="auto" w:fill="FFFFFF"/>
              </w:rPr>
              <w:t>，共产主义渠-下马营断</w:t>
            </w:r>
            <w:r>
              <w:rPr>
                <w:rFonts w:ascii="Times New Roman" w:hAnsi="Times New Roman" w:eastAsia="宋体" w:cs="Times New Roman"/>
                <w:color w:val="auto"/>
              </w:rPr>
              <w:t>面</w:t>
            </w:r>
            <w:r>
              <w:rPr>
                <w:rFonts w:ascii="Times New Roman" w:hAnsi="Times New Roman" w:eastAsia="宋体" w:cs="Times New Roman"/>
                <w:color w:val="auto"/>
                <w:shd w:val="clear" w:color="auto" w:fill="FFFFFF"/>
              </w:rPr>
              <w:t>各污染物</w:t>
            </w:r>
            <w:r>
              <w:rPr>
                <w:rFonts w:ascii="Times New Roman" w:hAnsi="Times New Roman" w:eastAsia="宋体" w:cs="Times New Roman"/>
                <w:color w:val="auto"/>
              </w:rPr>
              <w:t>浓度值均能够满足《地表水环境质量标准》（GB3838-2002）V类标准要求。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64" w:firstLineChars="200"/>
              <w:textAlignment w:val="auto"/>
              <w:rPr>
                <w:rFonts w:ascii="Times New Roman" w:hAnsi="Times New Roman" w:cs="Times New Roman"/>
                <w:b w:val="0"/>
                <w:bCs w:val="0"/>
                <w:kern w:val="0"/>
                <w:sz w:val="24"/>
                <w:szCs w:val="24"/>
                <w:u w:val="none"/>
              </w:rPr>
            </w:pPr>
            <w:r>
              <w:rPr>
                <w:rFonts w:hint="eastAsia" w:eastAsia="黑体" w:cs="Times New Roman"/>
                <w:color w:val="auto"/>
                <w:spacing w:val="-4"/>
                <w:sz w:val="24"/>
                <w:szCs w:val="24"/>
                <w:lang w:val="en-US" w:eastAsia="zh-CN"/>
              </w:rPr>
              <w:t>3</w:t>
            </w:r>
            <w:r>
              <w:rPr>
                <w:rFonts w:eastAsia="黑体" w:cs="Times New Roman"/>
                <w:color w:val="auto"/>
                <w:spacing w:val="-4"/>
                <w:sz w:val="24"/>
                <w:szCs w:val="24"/>
              </w:rPr>
              <w:t>、地</w:t>
            </w:r>
            <w:r>
              <w:rPr>
                <w:rFonts w:hint="eastAsia" w:eastAsia="黑体" w:cs="Times New Roman"/>
                <w:color w:val="auto"/>
                <w:spacing w:val="-4"/>
                <w:sz w:val="24"/>
                <w:szCs w:val="24"/>
                <w:lang w:val="en-US" w:eastAsia="zh-CN"/>
              </w:rPr>
              <w:t>下</w:t>
            </w:r>
            <w:r>
              <w:rPr>
                <w:rFonts w:eastAsia="黑体" w:cs="Times New Roman"/>
                <w:color w:val="auto"/>
                <w:spacing w:val="-4"/>
                <w:sz w:val="24"/>
                <w:szCs w:val="24"/>
              </w:rPr>
              <w:t>水</w:t>
            </w:r>
            <w:r>
              <w:rPr>
                <w:rFonts w:hint="eastAsia" w:eastAsia="黑体" w:cs="Times New Roman"/>
                <w:color w:val="auto"/>
                <w:spacing w:val="-4"/>
                <w:sz w:val="24"/>
                <w:szCs w:val="24"/>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b w:val="0"/>
                <w:bCs w:val="0"/>
                <w:kern w:val="0"/>
                <w:sz w:val="24"/>
                <w:szCs w:val="24"/>
                <w:u w:val="none"/>
              </w:rPr>
            </w:pPr>
            <w:r>
              <w:rPr>
                <w:rFonts w:ascii="Times New Roman" w:hAnsi="Times New Roman" w:cs="Times New Roman"/>
                <w:b w:val="0"/>
                <w:bCs w:val="0"/>
                <w:kern w:val="0"/>
                <w:sz w:val="24"/>
                <w:szCs w:val="24"/>
                <w:u w:val="none"/>
              </w:rPr>
              <w:t>本次地下水评价引用《</w:t>
            </w:r>
            <w:r>
              <w:rPr>
                <w:rFonts w:hint="eastAsia" w:ascii="Times New Roman" w:hAnsi="Times New Roman" w:cs="Times New Roman"/>
                <w:b w:val="0"/>
                <w:bCs w:val="0"/>
                <w:kern w:val="0"/>
                <w:sz w:val="24"/>
                <w:szCs w:val="24"/>
                <w:u w:val="none"/>
              </w:rPr>
              <w:t>新乡市动力电池专业园区发展规划（2017-2020）环境影响报告书</w:t>
            </w:r>
            <w:r>
              <w:rPr>
                <w:rFonts w:ascii="Times New Roman" w:hAnsi="Times New Roman" w:cs="Times New Roman"/>
                <w:b w:val="0"/>
                <w:bCs w:val="0"/>
                <w:kern w:val="0"/>
                <w:sz w:val="24"/>
                <w:szCs w:val="24"/>
                <w:u w:val="none"/>
              </w:rPr>
              <w:t>》中</w:t>
            </w:r>
            <w:r>
              <w:rPr>
                <w:rFonts w:hint="eastAsia" w:ascii="Times New Roman" w:hAnsi="Times New Roman" w:cs="Times New Roman"/>
                <w:b w:val="0"/>
                <w:bCs w:val="0"/>
                <w:kern w:val="0"/>
                <w:sz w:val="24"/>
                <w:szCs w:val="24"/>
                <w:u w:val="none"/>
                <w:lang w:val="en-US" w:eastAsia="zh-CN"/>
              </w:rPr>
              <w:t>陈堡村</w:t>
            </w:r>
            <w:r>
              <w:rPr>
                <w:rFonts w:ascii="Times New Roman" w:hAnsi="Times New Roman" w:cs="Times New Roman"/>
                <w:b w:val="0"/>
                <w:bCs w:val="0"/>
                <w:kern w:val="0"/>
                <w:sz w:val="24"/>
                <w:szCs w:val="24"/>
                <w:u w:val="none"/>
              </w:rPr>
              <w:t>村地下水监测数据，</w:t>
            </w:r>
            <w:r>
              <w:rPr>
                <w:rFonts w:hint="eastAsia" w:ascii="Times New Roman" w:hAnsi="Times New Roman" w:cs="Times New Roman"/>
                <w:b w:val="0"/>
                <w:bCs w:val="0"/>
                <w:kern w:val="0"/>
                <w:sz w:val="24"/>
                <w:szCs w:val="24"/>
                <w:u w:val="none"/>
                <w:lang w:val="en-US" w:eastAsia="zh-CN"/>
              </w:rPr>
              <w:t>陈堡村</w:t>
            </w:r>
            <w:r>
              <w:rPr>
                <w:rFonts w:ascii="Times New Roman" w:hAnsi="Times New Roman" w:cs="Times New Roman"/>
                <w:b w:val="0"/>
                <w:bCs w:val="0"/>
                <w:kern w:val="0"/>
                <w:sz w:val="24"/>
                <w:szCs w:val="24"/>
                <w:u w:val="none"/>
              </w:rPr>
              <w:t>位于本项目选址</w:t>
            </w:r>
            <w:r>
              <w:rPr>
                <w:rFonts w:hint="eastAsia" w:ascii="Times New Roman" w:hAnsi="Times New Roman" w:cs="Times New Roman"/>
                <w:b w:val="0"/>
                <w:bCs w:val="0"/>
                <w:kern w:val="0"/>
                <w:sz w:val="24"/>
                <w:szCs w:val="24"/>
                <w:u w:val="none"/>
                <w:lang w:val="en-US" w:eastAsia="zh-CN"/>
              </w:rPr>
              <w:t>北650米</w:t>
            </w:r>
            <w:r>
              <w:rPr>
                <w:rFonts w:ascii="Times New Roman" w:hAnsi="Times New Roman" w:cs="Times New Roman"/>
                <w:b w:val="0"/>
                <w:bCs w:val="0"/>
                <w:kern w:val="0"/>
                <w:sz w:val="24"/>
                <w:szCs w:val="24"/>
                <w:u w:val="none"/>
              </w:rPr>
              <w:t>处，与本项目同属一地质单元，因此</w:t>
            </w:r>
            <w:r>
              <w:rPr>
                <w:rFonts w:hint="eastAsia" w:ascii="Times New Roman" w:hAnsi="Times New Roman" w:cs="Times New Roman"/>
                <w:b w:val="0"/>
                <w:bCs w:val="0"/>
                <w:kern w:val="0"/>
                <w:sz w:val="24"/>
                <w:szCs w:val="24"/>
                <w:u w:val="none"/>
                <w:lang w:val="en-US" w:eastAsia="zh-CN"/>
              </w:rPr>
              <w:t>陈堡村</w:t>
            </w:r>
            <w:r>
              <w:rPr>
                <w:rFonts w:ascii="Times New Roman" w:hAnsi="Times New Roman" w:cs="Times New Roman"/>
                <w:b w:val="0"/>
                <w:bCs w:val="0"/>
                <w:kern w:val="0"/>
                <w:sz w:val="24"/>
                <w:szCs w:val="24"/>
                <w:u w:val="none"/>
              </w:rPr>
              <w:t>地下水环境质量可反映本项目厂区区域地下水环境质量。</w:t>
            </w:r>
            <w:r>
              <w:rPr>
                <w:rFonts w:hint="eastAsia" w:ascii="Times New Roman" w:hAnsi="Times New Roman" w:cs="Times New Roman"/>
                <w:b w:val="0"/>
                <w:bCs w:val="0"/>
                <w:kern w:val="0"/>
                <w:sz w:val="24"/>
                <w:szCs w:val="24"/>
                <w:u w:val="none"/>
                <w:lang w:val="en-US" w:eastAsia="zh-CN"/>
              </w:rPr>
              <w:t>陈堡村</w:t>
            </w:r>
            <w:r>
              <w:rPr>
                <w:rFonts w:ascii="Times New Roman" w:hAnsi="Times New Roman" w:cs="Times New Roman"/>
                <w:b w:val="0"/>
                <w:bCs w:val="0"/>
                <w:kern w:val="0"/>
                <w:sz w:val="24"/>
                <w:szCs w:val="24"/>
                <w:u w:val="none"/>
              </w:rPr>
              <w:t>村地下水环境质量由</w:t>
            </w:r>
            <w:r>
              <w:rPr>
                <w:rFonts w:hint="eastAsia" w:ascii="Times New Roman" w:hAnsi="Times New Roman" w:cs="Times New Roman"/>
                <w:b w:val="0"/>
                <w:bCs w:val="0"/>
                <w:kern w:val="0"/>
                <w:sz w:val="24"/>
                <w:szCs w:val="24"/>
                <w:u w:val="none"/>
              </w:rPr>
              <w:t>河南和阳环境科技有限公司</w:t>
            </w:r>
            <w:r>
              <w:rPr>
                <w:rFonts w:ascii="Times New Roman" w:hAnsi="Times New Roman" w:cs="Times New Roman"/>
                <w:b w:val="0"/>
                <w:bCs w:val="0"/>
                <w:kern w:val="0"/>
                <w:sz w:val="24"/>
                <w:szCs w:val="24"/>
                <w:u w:val="none"/>
              </w:rPr>
              <w:t>于2018</w:t>
            </w:r>
            <w:r>
              <w:rPr>
                <w:rFonts w:hint="eastAsia" w:ascii="Times New Roman" w:hAnsi="Times New Roman" w:cs="Times New Roman"/>
                <w:b w:val="0"/>
                <w:bCs w:val="0"/>
                <w:kern w:val="0"/>
                <w:sz w:val="24"/>
                <w:szCs w:val="24"/>
                <w:u w:val="none"/>
              </w:rPr>
              <w:t>年</w:t>
            </w:r>
            <w:r>
              <w:rPr>
                <w:rFonts w:ascii="Times New Roman" w:hAnsi="Times New Roman" w:cs="Times New Roman"/>
                <w:b w:val="0"/>
                <w:bCs w:val="0"/>
                <w:kern w:val="0"/>
                <w:sz w:val="24"/>
                <w:szCs w:val="24"/>
                <w:u w:val="none"/>
              </w:rPr>
              <w:t>10</w:t>
            </w:r>
            <w:r>
              <w:rPr>
                <w:rFonts w:hint="eastAsia" w:ascii="Times New Roman" w:hAnsi="Times New Roman" w:cs="Times New Roman"/>
                <w:b w:val="0"/>
                <w:bCs w:val="0"/>
                <w:kern w:val="0"/>
                <w:sz w:val="24"/>
                <w:szCs w:val="24"/>
                <w:u w:val="none"/>
              </w:rPr>
              <w:t>月</w:t>
            </w:r>
            <w:r>
              <w:rPr>
                <w:rFonts w:ascii="Times New Roman" w:hAnsi="Times New Roman" w:cs="Times New Roman"/>
                <w:b w:val="0"/>
                <w:bCs w:val="0"/>
                <w:kern w:val="0"/>
                <w:sz w:val="24"/>
                <w:szCs w:val="24"/>
                <w:u w:val="none"/>
              </w:rPr>
              <w:t>17</w:t>
            </w:r>
            <w:r>
              <w:rPr>
                <w:rFonts w:hint="eastAsia" w:ascii="Times New Roman" w:hAnsi="Times New Roman" w:cs="Times New Roman"/>
                <w:b w:val="0"/>
                <w:bCs w:val="0"/>
                <w:kern w:val="0"/>
                <w:sz w:val="24"/>
                <w:szCs w:val="24"/>
                <w:u w:val="none"/>
              </w:rPr>
              <w:t>日</w:t>
            </w:r>
            <w:r>
              <w:rPr>
                <w:rFonts w:ascii="Times New Roman" w:hAnsi="Times New Roman" w:cs="Times New Roman"/>
                <w:b w:val="0"/>
                <w:bCs w:val="0"/>
                <w:kern w:val="0"/>
                <w:sz w:val="24"/>
                <w:szCs w:val="24"/>
                <w:u w:val="none"/>
              </w:rPr>
              <w:t>~18</w:t>
            </w:r>
            <w:r>
              <w:rPr>
                <w:rFonts w:hint="eastAsia" w:ascii="Times New Roman" w:hAnsi="Times New Roman" w:cs="Times New Roman"/>
                <w:b w:val="0"/>
                <w:bCs w:val="0"/>
                <w:kern w:val="0"/>
                <w:sz w:val="24"/>
                <w:szCs w:val="24"/>
                <w:u w:val="none"/>
              </w:rPr>
              <w:t>日</w:t>
            </w:r>
            <w:r>
              <w:rPr>
                <w:rFonts w:ascii="Times New Roman" w:hAnsi="Times New Roman" w:cs="Times New Roman"/>
                <w:b w:val="0"/>
                <w:bCs w:val="0"/>
                <w:kern w:val="0"/>
                <w:sz w:val="24"/>
                <w:szCs w:val="24"/>
                <w:u w:val="none"/>
              </w:rPr>
              <w:t>进行监测，地下水监测统计结果详见</w:t>
            </w:r>
            <w:r>
              <w:rPr>
                <w:rFonts w:hint="eastAsia" w:ascii="Times New Roman" w:hAnsi="Times New Roman" w:cs="Times New Roman"/>
                <w:b w:val="0"/>
                <w:bCs w:val="0"/>
                <w:kern w:val="0"/>
                <w:sz w:val="24"/>
                <w:szCs w:val="24"/>
                <w:u w:val="none"/>
                <w:lang w:val="en-US" w:eastAsia="zh-CN"/>
              </w:rPr>
              <w:t>下表</w:t>
            </w:r>
            <w:r>
              <w:rPr>
                <w:rFonts w:ascii="Times New Roman" w:hAnsi="Times New Roman" w:cs="Times New Roman"/>
                <w:b w:val="0"/>
                <w:bCs w:val="0"/>
                <w:kern w:val="0"/>
                <w:sz w:val="24"/>
                <w:szCs w:val="24"/>
                <w:u w:val="none"/>
              </w:rPr>
              <w:t>。</w:t>
            </w:r>
          </w:p>
          <w:p>
            <w:pPr>
              <w:pStyle w:val="21"/>
              <w:tabs>
                <w:tab w:val="left" w:pos="1050"/>
              </w:tabs>
              <w:bidi w:val="0"/>
            </w:pPr>
            <w:r>
              <w:rPr>
                <w:rFonts w:hint="eastAsia"/>
                <w:lang w:val="en-US" w:eastAsia="zh-CN"/>
              </w:rPr>
              <w:t xml:space="preserve">  </w:t>
            </w:r>
            <w:r>
              <w:t xml:space="preserve"> 地下水环境质量现状监测统计结果一览表  单位：mg/L（pH除外）</w:t>
            </w:r>
          </w:p>
          <w:tbl>
            <w:tblPr>
              <w:tblStyle w:val="26"/>
              <w:tblW w:w="8815" w:type="dxa"/>
              <w:tblInd w:w="0" w:type="dxa"/>
              <w:tblBorders>
                <w:top w:val="single" w:color="auto" w:sz="2"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859"/>
              <w:gridCol w:w="1637"/>
              <w:gridCol w:w="1133"/>
              <w:gridCol w:w="1096"/>
              <w:gridCol w:w="1002"/>
              <w:gridCol w:w="1002"/>
            </w:tblGrid>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noWrap w:val="0"/>
                  <w:vAlign w:val="center"/>
                </w:tcPr>
                <w:p>
                  <w:pPr>
                    <w:spacing w:line="240" w:lineRule="exact"/>
                    <w:jc w:val="center"/>
                    <w:rPr>
                      <w:rFonts w:hint="default" w:ascii="Times New Roman" w:hAnsi="Times New Roman" w:cs="Times New Roman"/>
                      <w:b w:val="0"/>
                      <w:bCs w:val="0"/>
                      <w:kern w:val="0"/>
                      <w:sz w:val="21"/>
                      <w:szCs w:val="21"/>
                      <w:u w:val="none"/>
                    </w:rPr>
                  </w:pPr>
                  <w:r>
                    <w:rPr>
                      <w:rFonts w:hint="default" w:ascii="Times New Roman" w:hAnsi="Times New Roman" w:cs="Times New Roman"/>
                      <w:b w:val="0"/>
                      <w:bCs w:val="0"/>
                      <w:kern w:val="0"/>
                      <w:sz w:val="21"/>
                      <w:szCs w:val="21"/>
                      <w:u w:val="none"/>
                    </w:rPr>
                    <w:t>监测位置</w:t>
                  </w:r>
                </w:p>
              </w:tc>
              <w:tc>
                <w:tcPr>
                  <w:tcW w:w="1859" w:type="dxa"/>
                  <w:noWrap w:val="0"/>
                  <w:vAlign w:val="center"/>
                </w:tcPr>
                <w:p>
                  <w:pPr>
                    <w:spacing w:line="240" w:lineRule="exact"/>
                    <w:jc w:val="center"/>
                    <w:rPr>
                      <w:rFonts w:hint="default" w:ascii="Times New Roman" w:hAnsi="Times New Roman" w:cs="Times New Roman"/>
                      <w:b w:val="0"/>
                      <w:bCs w:val="0"/>
                      <w:kern w:val="0"/>
                      <w:sz w:val="21"/>
                      <w:szCs w:val="21"/>
                      <w:u w:val="none"/>
                    </w:rPr>
                  </w:pPr>
                  <w:r>
                    <w:rPr>
                      <w:rFonts w:hint="default" w:ascii="Times New Roman" w:hAnsi="Times New Roman" w:cs="Times New Roman"/>
                      <w:b w:val="0"/>
                      <w:bCs w:val="0"/>
                      <w:color w:val="000000"/>
                      <w:kern w:val="0"/>
                      <w:sz w:val="21"/>
                      <w:szCs w:val="21"/>
                      <w:u w:val="none"/>
                    </w:rPr>
                    <w:t>监测因子（mg/L）</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default" w:ascii="Times New Roman" w:hAnsi="Times New Roman" w:cs="Times New Roman"/>
                      <w:b w:val="0"/>
                      <w:bCs w:val="0"/>
                      <w:kern w:val="0"/>
                      <w:sz w:val="21"/>
                      <w:szCs w:val="21"/>
                      <w:u w:val="none"/>
                    </w:rPr>
                    <w:t>测值范围</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default" w:ascii="Times New Roman" w:hAnsi="Times New Roman" w:cs="Times New Roman"/>
                      <w:b w:val="0"/>
                      <w:bCs w:val="0"/>
                      <w:kern w:val="0"/>
                      <w:sz w:val="21"/>
                      <w:szCs w:val="21"/>
                      <w:u w:val="none"/>
                    </w:rPr>
                    <w:t>均值</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default" w:ascii="Times New Roman" w:hAnsi="Times New Roman" w:cs="Times New Roman"/>
                      <w:b w:val="0"/>
                      <w:bCs w:val="0"/>
                      <w:kern w:val="0"/>
                      <w:sz w:val="21"/>
                      <w:szCs w:val="21"/>
                      <w:u w:val="none"/>
                    </w:rPr>
                    <w:t>均值标准指数</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default" w:ascii="Times New Roman" w:hAnsi="Times New Roman" w:cs="Times New Roman"/>
                      <w:b w:val="0"/>
                      <w:bCs w:val="0"/>
                      <w:kern w:val="0"/>
                      <w:sz w:val="21"/>
                      <w:szCs w:val="21"/>
                      <w:u w:val="none"/>
                    </w:rPr>
                    <w:t>超标率</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color w:val="000000"/>
                      <w:kern w:val="0"/>
                      <w:sz w:val="21"/>
                      <w:szCs w:val="21"/>
                      <w:u w:val="none"/>
                    </w:rPr>
                  </w:pPr>
                  <w:r>
                    <w:rPr>
                      <w:rFonts w:hint="default" w:ascii="Times New Roman" w:hAnsi="Times New Roman" w:cs="Times New Roman"/>
                      <w:b w:val="0"/>
                      <w:bCs w:val="0"/>
                      <w:kern w:val="0"/>
                      <w:sz w:val="21"/>
                      <w:szCs w:val="21"/>
                      <w:u w:val="none"/>
                    </w:rPr>
                    <w:t>标准限值</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restart"/>
                  <w:noWrap w:val="0"/>
                  <w:vAlign w:val="center"/>
                </w:tcPr>
                <w:p>
                  <w:pPr>
                    <w:spacing w:line="240" w:lineRule="exact"/>
                    <w:jc w:val="center"/>
                    <w:rPr>
                      <w:rFonts w:hint="default" w:ascii="Times New Roman" w:hAnsi="Times New Roman" w:cs="Times New Roman"/>
                      <w:b w:val="0"/>
                      <w:bCs w:val="0"/>
                      <w:kern w:val="0"/>
                      <w:sz w:val="21"/>
                      <w:szCs w:val="21"/>
                      <w:u w:val="none"/>
                    </w:rPr>
                  </w:pPr>
                  <w:r>
                    <w:rPr>
                      <w:rFonts w:hint="eastAsia" w:ascii="Times New Roman" w:hAnsi="Times New Roman" w:cs="Times New Roman"/>
                      <w:b w:val="0"/>
                      <w:bCs w:val="0"/>
                      <w:kern w:val="0"/>
                      <w:sz w:val="21"/>
                      <w:szCs w:val="21"/>
                      <w:u w:val="none"/>
                      <w:lang w:val="en-US" w:eastAsia="zh-CN"/>
                    </w:rPr>
                    <w:t>陈堡村</w:t>
                  </w:r>
                </w:p>
              </w:tc>
              <w:tc>
                <w:tcPr>
                  <w:tcW w:w="1859"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pH</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7.35~7.37</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spacing w:val="-6"/>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spacing w:val="-6"/>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spacing w:val="-6"/>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6.5-8.5</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耗氧量</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0.7~0.8</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0.75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0.25</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3.0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总硬度</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1097~1108</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1102.5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2.45</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1.45</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450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氨氮</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0.171~0.175</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0.173</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0.865</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0.2</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hint="eastAsia" w:ascii="Times New Roman" w:hAnsi="宋体" w:eastAsia="宋体" w:cs="Times New Roman"/>
                      <w:b w:val="0"/>
                      <w:bCs w:val="0"/>
                      <w:sz w:val="21"/>
                      <w:szCs w:val="24"/>
                      <w:u w:val="none"/>
                      <w:lang w:val="en-US" w:eastAsia="zh-CN" w:bidi="ar-SA"/>
                    </w:rPr>
                    <w:t>硫酸盐</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102~105</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103.5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0.414</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250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hint="eastAsia" w:ascii="Times New Roman" w:hAnsi="宋体" w:eastAsia="宋体" w:cs="Times New Roman"/>
                      <w:b w:val="0"/>
                      <w:bCs w:val="0"/>
                      <w:sz w:val="21"/>
                      <w:szCs w:val="24"/>
                      <w:u w:val="none"/>
                      <w:lang w:val="en-US" w:eastAsia="zh-CN" w:bidi="ar-SA"/>
                    </w:rPr>
                    <w:t>氯化物</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122~125</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123.5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0.494</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250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hint="eastAsia" w:ascii="Times New Roman" w:hAnsi="宋体" w:eastAsia="宋体" w:cs="Times New Roman"/>
                      <w:b w:val="0"/>
                      <w:bCs w:val="0"/>
                      <w:sz w:val="21"/>
                      <w:szCs w:val="24"/>
                      <w:u w:val="none"/>
                      <w:lang w:val="en-US" w:eastAsia="zh-CN" w:bidi="ar-SA"/>
                    </w:rPr>
                    <w:t>溶解性总固体</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2106~2128</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2117</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2.117</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1.117</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1000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钴</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0.05</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锰</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0.10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砷</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0.01</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铅</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0.01</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铁</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0.3</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总大肠菌群</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&lt;2</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3.0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hint="eastAsia" w:ascii="Times New Roman" w:hAnsi="宋体" w:eastAsia="宋体" w:cs="Times New Roman"/>
                      <w:b w:val="0"/>
                      <w:bCs w:val="0"/>
                      <w:color w:val="000000"/>
                      <w:sz w:val="21"/>
                      <w:szCs w:val="24"/>
                      <w:u w:val="none"/>
                      <w:lang w:val="en-US" w:eastAsia="zh-CN" w:bidi="ar-SA"/>
                    </w:rPr>
                    <w:t>挥发酚</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0.002</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hint="eastAsia" w:ascii="Times New Roman" w:hAnsi="宋体" w:eastAsia="宋体" w:cs="Times New Roman"/>
                      <w:b w:val="0"/>
                      <w:bCs w:val="0"/>
                      <w:sz w:val="21"/>
                      <w:szCs w:val="24"/>
                      <w:u w:val="none"/>
                      <w:lang w:val="en-US" w:eastAsia="zh-CN" w:bidi="ar-SA"/>
                    </w:rPr>
                    <w:t>汞</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0.001</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color w:val="000000"/>
                      <w:kern w:val="0"/>
                      <w:sz w:val="21"/>
                      <w:szCs w:val="24"/>
                      <w:u w:val="none"/>
                    </w:rPr>
                    <w:t>银</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0.05</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color w:val="000000"/>
                      <w:kern w:val="0"/>
                      <w:sz w:val="21"/>
                      <w:szCs w:val="24"/>
                      <w:u w:val="none"/>
                    </w:rPr>
                    <w:t>总镍</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0.02</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镉</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0.005</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六价铬</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0.05</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氰化物</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0.05</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硝酸盐</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2.73~2.77</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2.75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0.1375</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0</w:t>
                  </w:r>
                </w:p>
              </w:tc>
              <w:tc>
                <w:tcPr>
                  <w:tcW w:w="1002" w:type="dxa"/>
                  <w:noWrap w:val="0"/>
                  <w:vAlign w:val="center"/>
                </w:tcPr>
                <w:p>
                  <w:pPr>
                    <w:tabs>
                      <w:tab w:val="left" w:pos="5910"/>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20</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ascii="Times New Roman" w:hAnsi="Times New Roman" w:eastAsia="宋体" w:cs="Times New Roman"/>
                      <w:b w:val="0"/>
                      <w:bCs w:val="0"/>
                      <w:sz w:val="21"/>
                      <w:szCs w:val="24"/>
                      <w:u w:val="none"/>
                      <w:lang w:val="en-US" w:eastAsia="zh-CN" w:bidi="ar-SA"/>
                    </w:rPr>
                    <w:t>K</w:t>
                  </w:r>
                  <w:r>
                    <w:rPr>
                      <w:rFonts w:ascii="Times New Roman" w:hAnsi="Times New Roman" w:eastAsia="宋体" w:cs="Times New Roman"/>
                      <w:b w:val="0"/>
                      <w:bCs w:val="0"/>
                      <w:sz w:val="21"/>
                      <w:szCs w:val="24"/>
                      <w:u w:val="none"/>
                      <w:vertAlign w:val="superscript"/>
                      <w:lang w:val="en-US" w:eastAsia="zh-CN" w:bidi="ar-SA"/>
                    </w:rPr>
                    <w:t>+</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8.66~8.76</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8.71</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ascii="Times New Roman" w:hAnsi="Times New Roman" w:eastAsia="宋体" w:cs="Times New Roman"/>
                      <w:b w:val="0"/>
                      <w:bCs w:val="0"/>
                      <w:sz w:val="21"/>
                      <w:szCs w:val="24"/>
                      <w:u w:val="none"/>
                      <w:lang w:val="en-US" w:eastAsia="zh-CN" w:bidi="ar-SA"/>
                    </w:rPr>
                    <w:t>Na</w:t>
                  </w:r>
                  <w:r>
                    <w:rPr>
                      <w:rFonts w:ascii="Times New Roman" w:hAnsi="Times New Roman" w:eastAsia="宋体" w:cs="Times New Roman"/>
                      <w:b w:val="0"/>
                      <w:bCs w:val="0"/>
                      <w:sz w:val="21"/>
                      <w:szCs w:val="24"/>
                      <w:u w:val="none"/>
                      <w:vertAlign w:val="superscript"/>
                      <w:lang w:val="en-US" w:eastAsia="zh-CN" w:bidi="ar-SA"/>
                    </w:rPr>
                    <w:t>+</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19.9</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19.9</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ascii="Times New Roman" w:hAnsi="Times New Roman" w:eastAsia="宋体" w:cs="Times New Roman"/>
                      <w:b w:val="0"/>
                      <w:bCs w:val="0"/>
                      <w:sz w:val="21"/>
                      <w:szCs w:val="24"/>
                      <w:u w:val="none"/>
                      <w:lang w:val="en-US" w:eastAsia="zh-CN" w:bidi="ar-SA"/>
                    </w:rPr>
                    <w:t>Ca</w:t>
                  </w:r>
                  <w:r>
                    <w:rPr>
                      <w:rFonts w:ascii="Times New Roman" w:hAnsi="Times New Roman" w:eastAsia="宋体" w:cs="Times New Roman"/>
                      <w:b w:val="0"/>
                      <w:bCs w:val="0"/>
                      <w:sz w:val="21"/>
                      <w:szCs w:val="24"/>
                      <w:u w:val="none"/>
                      <w:vertAlign w:val="superscript"/>
                      <w:lang w:val="en-US" w:eastAsia="zh-CN" w:bidi="ar-SA"/>
                    </w:rPr>
                    <w:t>2+</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978~1012</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995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ascii="Times New Roman" w:hAnsi="Times New Roman" w:eastAsia="宋体" w:cs="Times New Roman"/>
                      <w:b w:val="0"/>
                      <w:bCs w:val="0"/>
                      <w:sz w:val="21"/>
                      <w:szCs w:val="24"/>
                      <w:u w:val="none"/>
                      <w:lang w:val="en-US" w:eastAsia="zh-CN" w:bidi="ar-SA"/>
                    </w:rPr>
                    <w:t>Mg</w:t>
                  </w:r>
                  <w:r>
                    <w:rPr>
                      <w:rFonts w:ascii="Times New Roman" w:hAnsi="Times New Roman" w:eastAsia="宋体" w:cs="Times New Roman"/>
                      <w:b w:val="0"/>
                      <w:bCs w:val="0"/>
                      <w:sz w:val="21"/>
                      <w:szCs w:val="24"/>
                      <w:u w:val="none"/>
                      <w:vertAlign w:val="superscript"/>
                      <w:lang w:val="en-US" w:eastAsia="zh-CN" w:bidi="ar-SA"/>
                    </w:rPr>
                    <w:t>2+</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44~44.8</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44.4</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ascii="Times New Roman" w:hAnsi="Times New Roman" w:eastAsia="宋体" w:cs="Times New Roman"/>
                      <w:b w:val="0"/>
                      <w:bCs w:val="0"/>
                      <w:sz w:val="21"/>
                      <w:szCs w:val="24"/>
                      <w:u w:val="none"/>
                      <w:lang w:val="en-US" w:eastAsia="zh-CN" w:bidi="ar-SA"/>
                    </w:rPr>
                    <w:t>CO</w:t>
                  </w:r>
                  <w:r>
                    <w:rPr>
                      <w:rFonts w:ascii="Times New Roman" w:hAnsi="Times New Roman" w:eastAsia="宋体" w:cs="Times New Roman"/>
                      <w:b w:val="0"/>
                      <w:bCs w:val="0"/>
                      <w:sz w:val="21"/>
                      <w:szCs w:val="24"/>
                      <w:u w:val="none"/>
                      <w:vertAlign w:val="subscript"/>
                      <w:lang w:val="en-US" w:eastAsia="zh-CN" w:bidi="ar-SA"/>
                    </w:rPr>
                    <w:t>3</w:t>
                  </w:r>
                  <w:r>
                    <w:rPr>
                      <w:rFonts w:ascii="Times New Roman" w:hAnsi="Times New Roman" w:eastAsia="宋体" w:cs="Times New Roman"/>
                      <w:b w:val="0"/>
                      <w:bCs w:val="0"/>
                      <w:sz w:val="21"/>
                      <w:szCs w:val="24"/>
                      <w:u w:val="none"/>
                      <w:vertAlign w:val="superscript"/>
                      <w:lang w:val="en-US" w:eastAsia="zh-CN" w:bidi="ar-SA"/>
                    </w:rPr>
                    <w:t>2-</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hint="eastAsia" w:ascii="Times New Roman" w:hAnsi="宋体" w:cs="Times New Roman"/>
                      <w:b w:val="0"/>
                      <w:bCs w:val="0"/>
                      <w:kern w:val="0"/>
                      <w:sz w:val="21"/>
                      <w:szCs w:val="24"/>
                      <w:u w:val="none"/>
                    </w:rPr>
                    <w:t>未检出</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r>
            <w:tr>
              <w:tblPrEx>
                <w:tblBorders>
                  <w:top w:val="single" w:color="auto" w:sz="2"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6" w:type="dxa"/>
                  <w:vMerge w:val="continue"/>
                  <w:noWrap w:val="0"/>
                  <w:vAlign w:val="center"/>
                </w:tcPr>
                <w:p>
                  <w:pPr>
                    <w:spacing w:line="240" w:lineRule="exact"/>
                    <w:jc w:val="center"/>
                    <w:rPr>
                      <w:rFonts w:hint="default" w:ascii="Times New Roman" w:hAnsi="Times New Roman" w:cs="Times New Roman"/>
                      <w:b w:val="0"/>
                      <w:bCs w:val="0"/>
                      <w:kern w:val="0"/>
                      <w:sz w:val="21"/>
                      <w:szCs w:val="21"/>
                      <w:u w:val="none"/>
                    </w:rPr>
                  </w:pPr>
                </w:p>
              </w:tc>
              <w:tc>
                <w:tcPr>
                  <w:tcW w:w="1859" w:type="dxa"/>
                  <w:noWrap w:val="0"/>
                  <w:vAlign w:val="center"/>
                </w:tcPr>
                <w:p>
                  <w:pPr>
                    <w:widowControl w:val="0"/>
                    <w:spacing w:line="240" w:lineRule="auto"/>
                    <w:ind w:firstLine="0" w:firstLineChars="0"/>
                    <w:jc w:val="center"/>
                    <w:rPr>
                      <w:rFonts w:hint="default" w:ascii="Times New Roman" w:hAnsi="Times New Roman" w:eastAsia="宋体" w:cs="Times New Roman"/>
                      <w:b w:val="0"/>
                      <w:bCs w:val="0"/>
                      <w:sz w:val="21"/>
                      <w:szCs w:val="21"/>
                      <w:u w:val="none"/>
                      <w:lang w:val="en-US" w:eastAsia="zh-CN" w:bidi="ar-SA"/>
                    </w:rPr>
                  </w:pPr>
                  <w:r>
                    <w:rPr>
                      <w:rFonts w:ascii="Times New Roman" w:hAnsi="Times New Roman" w:eastAsia="宋体" w:cs="Times New Roman"/>
                      <w:b w:val="0"/>
                      <w:bCs w:val="0"/>
                      <w:sz w:val="21"/>
                      <w:szCs w:val="24"/>
                      <w:u w:val="none"/>
                      <w:lang w:val="en-US" w:eastAsia="zh-CN" w:bidi="ar-SA"/>
                    </w:rPr>
                    <w:t>HCO</w:t>
                  </w:r>
                  <w:r>
                    <w:rPr>
                      <w:rFonts w:ascii="Times New Roman" w:hAnsi="Times New Roman" w:eastAsia="宋体" w:cs="Times New Roman"/>
                      <w:b w:val="0"/>
                      <w:bCs w:val="0"/>
                      <w:sz w:val="21"/>
                      <w:szCs w:val="24"/>
                      <w:u w:val="none"/>
                      <w:vertAlign w:val="subscript"/>
                      <w:lang w:val="en-US" w:eastAsia="zh-CN" w:bidi="ar-SA"/>
                    </w:rPr>
                    <w:t>3</w:t>
                  </w:r>
                  <w:r>
                    <w:rPr>
                      <w:rFonts w:ascii="Times New Roman" w:hAnsi="Times New Roman" w:eastAsia="宋体" w:cs="Times New Roman"/>
                      <w:b w:val="0"/>
                      <w:bCs w:val="0"/>
                      <w:sz w:val="21"/>
                      <w:szCs w:val="24"/>
                      <w:u w:val="none"/>
                      <w:vertAlign w:val="superscript"/>
                      <w:lang w:val="en-US" w:eastAsia="zh-CN" w:bidi="ar-SA"/>
                    </w:rPr>
                    <w:t>-</w:t>
                  </w:r>
                </w:p>
              </w:tc>
              <w:tc>
                <w:tcPr>
                  <w:tcW w:w="1637"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5.5~5.8</w:t>
                  </w:r>
                </w:p>
              </w:tc>
              <w:tc>
                <w:tcPr>
                  <w:tcW w:w="1133"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5.65</w:t>
                  </w:r>
                </w:p>
              </w:tc>
              <w:tc>
                <w:tcPr>
                  <w:tcW w:w="1096"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c>
                <w:tcPr>
                  <w:tcW w:w="1002" w:type="dxa"/>
                  <w:noWrap w:val="0"/>
                  <w:vAlign w:val="center"/>
                </w:tcPr>
                <w:p>
                  <w:pPr>
                    <w:tabs>
                      <w:tab w:val="left" w:pos="7200"/>
                    </w:tabs>
                    <w:spacing w:line="240" w:lineRule="auto"/>
                    <w:ind w:firstLine="0" w:firstLineChars="0"/>
                    <w:jc w:val="center"/>
                    <w:rPr>
                      <w:rFonts w:hint="default" w:ascii="Times New Roman" w:hAnsi="Times New Roman" w:cs="Times New Roman"/>
                      <w:b w:val="0"/>
                      <w:bCs w:val="0"/>
                      <w:kern w:val="0"/>
                      <w:sz w:val="21"/>
                      <w:szCs w:val="21"/>
                      <w:u w:val="none"/>
                    </w:rPr>
                  </w:pPr>
                  <w:r>
                    <w:rPr>
                      <w:rFonts w:ascii="Times New Roman" w:hAnsi="Times New Roman" w:cs="Times New Roman"/>
                      <w:b w:val="0"/>
                      <w:bCs w:val="0"/>
                      <w:kern w:val="0"/>
                      <w:sz w:val="21"/>
                      <w:szCs w:val="24"/>
                      <w:u w:val="none"/>
                    </w:rPr>
                    <w:t>/</w:t>
                  </w:r>
                </w:p>
              </w:tc>
            </w:tr>
          </w:tbl>
          <w:p>
            <w:pPr>
              <w:spacing w:line="360" w:lineRule="auto"/>
              <w:ind w:firstLine="480" w:firstLineChars="200"/>
              <w:rPr>
                <w:rFonts w:ascii="Times New Roman" w:hAnsi="Times New Roman" w:cs="Times New Roman"/>
                <w:b w:val="0"/>
                <w:bCs w:val="0"/>
                <w:kern w:val="0"/>
                <w:sz w:val="24"/>
                <w:szCs w:val="24"/>
                <w:u w:val="none"/>
              </w:rPr>
            </w:pPr>
            <w:r>
              <w:rPr>
                <w:rFonts w:ascii="Times New Roman" w:hAnsi="Times New Roman" w:cs="Times New Roman"/>
                <w:b w:val="0"/>
                <w:bCs w:val="0"/>
                <w:kern w:val="0"/>
                <w:sz w:val="24"/>
                <w:szCs w:val="24"/>
                <w:u w:val="none"/>
              </w:rPr>
              <w:t>由上表可知，区域地下水中各监测因子均能满足《地下水质量标准》（GB/T14848-2017）中III类标准要求。</w:t>
            </w:r>
          </w:p>
          <w:p>
            <w:pPr>
              <w:adjustRightInd w:val="0"/>
              <w:snapToGrid w:val="0"/>
              <w:spacing w:line="360" w:lineRule="auto"/>
              <w:ind w:firstLine="480" w:firstLineChars="200"/>
              <w:rPr>
                <w:rFonts w:eastAsia="黑体" w:cs="Times New Roman"/>
                <w:bCs/>
                <w:color w:val="auto"/>
                <w:sz w:val="24"/>
                <w:szCs w:val="24"/>
              </w:rPr>
            </w:pPr>
            <w:r>
              <w:rPr>
                <w:rFonts w:hint="eastAsia" w:eastAsia="黑体" w:cs="Times New Roman"/>
                <w:color w:val="auto"/>
                <w:sz w:val="24"/>
                <w:szCs w:val="24"/>
                <w:lang w:val="en-US" w:eastAsia="zh-CN"/>
              </w:rPr>
              <w:t>4</w:t>
            </w:r>
            <w:r>
              <w:rPr>
                <w:rFonts w:eastAsia="黑体" w:cs="Times New Roman"/>
                <w:color w:val="auto"/>
                <w:sz w:val="24"/>
                <w:szCs w:val="24"/>
              </w:rPr>
              <w:t>、</w:t>
            </w:r>
            <w:r>
              <w:rPr>
                <w:rFonts w:eastAsia="黑体" w:cs="Times New Roman"/>
                <w:bCs/>
                <w:color w:val="auto"/>
                <w:sz w:val="24"/>
                <w:szCs w:val="24"/>
              </w:rPr>
              <w:t>声环境质量现状</w:t>
            </w:r>
          </w:p>
          <w:p>
            <w:pPr>
              <w:adjustRightInd w:val="0"/>
              <w:snapToGrid w:val="0"/>
              <w:spacing w:line="360" w:lineRule="auto"/>
              <w:ind w:firstLine="480" w:firstLineChars="200"/>
              <w:rPr>
                <w:rFonts w:cs="Times New Roman"/>
                <w:color w:val="auto"/>
                <w:sz w:val="24"/>
              </w:rPr>
            </w:pPr>
            <w:r>
              <w:rPr>
                <w:rFonts w:cs="Times New Roman"/>
                <w:color w:val="auto"/>
                <w:sz w:val="24"/>
              </w:rPr>
              <w:t>根据声环境功能区划分，项目所在地为</w:t>
            </w:r>
            <w:r>
              <w:rPr>
                <w:rFonts w:hint="eastAsia" w:cs="Times New Roman"/>
                <w:color w:val="auto"/>
                <w:sz w:val="24"/>
              </w:rPr>
              <w:t>2</w:t>
            </w:r>
            <w:r>
              <w:rPr>
                <w:rFonts w:cs="Times New Roman"/>
                <w:color w:val="auto"/>
                <w:sz w:val="24"/>
              </w:rPr>
              <w:t>类功能区，厂区应执行《声环境质量标准》(GB3096-2008)</w:t>
            </w:r>
            <w:r>
              <w:rPr>
                <w:rFonts w:hint="eastAsia" w:cs="Times New Roman"/>
                <w:color w:val="auto"/>
                <w:sz w:val="24"/>
              </w:rPr>
              <w:t>2</w:t>
            </w:r>
            <w:r>
              <w:rPr>
                <w:rFonts w:cs="Times New Roman"/>
                <w:color w:val="auto"/>
                <w:sz w:val="24"/>
              </w:rPr>
              <w:t>类标准，</w:t>
            </w:r>
            <w:r>
              <w:rPr>
                <w:rFonts w:cs="Times New Roman"/>
                <w:bCs/>
                <w:color w:val="auto"/>
                <w:sz w:val="24"/>
              </w:rPr>
              <w:t>根据201</w:t>
            </w:r>
            <w:r>
              <w:rPr>
                <w:rFonts w:hint="eastAsia" w:cs="Times New Roman"/>
                <w:bCs/>
                <w:color w:val="auto"/>
                <w:sz w:val="24"/>
              </w:rPr>
              <w:t>9</w:t>
            </w:r>
            <w:r>
              <w:rPr>
                <w:rFonts w:cs="Times New Roman"/>
                <w:bCs/>
                <w:color w:val="auto"/>
                <w:sz w:val="24"/>
              </w:rPr>
              <w:t>年</w:t>
            </w:r>
            <w:r>
              <w:rPr>
                <w:rFonts w:hint="eastAsia" w:cs="Times New Roman"/>
                <w:bCs/>
                <w:color w:val="auto"/>
                <w:sz w:val="24"/>
              </w:rPr>
              <w:t>10</w:t>
            </w:r>
            <w:r>
              <w:rPr>
                <w:rFonts w:cs="Times New Roman"/>
                <w:bCs/>
                <w:color w:val="auto"/>
                <w:sz w:val="24"/>
              </w:rPr>
              <w:t>月</w:t>
            </w:r>
            <w:r>
              <w:rPr>
                <w:rFonts w:hint="eastAsia" w:cs="Times New Roman"/>
                <w:bCs/>
                <w:color w:val="auto"/>
                <w:sz w:val="24"/>
              </w:rPr>
              <w:t>22</w:t>
            </w:r>
            <w:r>
              <w:rPr>
                <w:rFonts w:cs="Times New Roman"/>
                <w:bCs/>
                <w:color w:val="auto"/>
                <w:sz w:val="24"/>
              </w:rPr>
              <w:t>日~</w:t>
            </w:r>
            <w:r>
              <w:rPr>
                <w:rFonts w:hint="eastAsia" w:cs="Times New Roman"/>
                <w:bCs/>
                <w:color w:val="auto"/>
                <w:sz w:val="24"/>
              </w:rPr>
              <w:t>3</w:t>
            </w:r>
            <w:r>
              <w:rPr>
                <w:rFonts w:cs="Times New Roman"/>
                <w:bCs/>
                <w:color w:val="auto"/>
                <w:sz w:val="24"/>
              </w:rPr>
              <w:t>日对厂界环境噪声现状监测</w:t>
            </w:r>
            <w:r>
              <w:rPr>
                <w:rFonts w:cs="Times New Roman"/>
                <w:color w:val="auto"/>
                <w:sz w:val="24"/>
              </w:rPr>
              <w:t>。监测结果见</w:t>
            </w:r>
            <w:r>
              <w:rPr>
                <w:rFonts w:hint="eastAsia" w:cs="Times New Roman"/>
                <w:color w:val="auto"/>
                <w:sz w:val="24"/>
              </w:rPr>
              <w:t>下表</w:t>
            </w:r>
            <w:r>
              <w:rPr>
                <w:rFonts w:cs="Times New Roman"/>
                <w:color w:val="auto"/>
                <w:sz w:val="24"/>
              </w:rPr>
              <w:t>。</w:t>
            </w:r>
          </w:p>
          <w:p>
            <w:pPr>
              <w:pStyle w:val="21"/>
              <w:ind w:firstLine="420"/>
              <w:rPr>
                <w:color w:val="auto"/>
              </w:rPr>
            </w:pPr>
            <w:r>
              <w:rPr>
                <w:rFonts w:hint="eastAsia"/>
                <w:color w:val="auto"/>
              </w:rPr>
              <w:t xml:space="preserve">                      </w:t>
            </w:r>
            <w:r>
              <w:rPr>
                <w:color w:val="auto"/>
              </w:rPr>
              <w:t xml:space="preserve"> 噪声实测结果 [dB(A)]</w:t>
            </w:r>
          </w:p>
          <w:tbl>
            <w:tblPr>
              <w:tblStyle w:val="26"/>
              <w:tblW w:w="867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515"/>
              <w:gridCol w:w="1995"/>
              <w:gridCol w:w="29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8" w:type="dxa"/>
                  <w:tcBorders>
                    <w:tl2br w:val="nil"/>
                    <w:tr2bl w:val="nil"/>
                  </w:tcBorders>
                  <w:vAlign w:val="center"/>
                </w:tcPr>
                <w:p>
                  <w:pPr>
                    <w:adjustRightInd w:val="0"/>
                    <w:snapToGrid w:val="0"/>
                    <w:jc w:val="right"/>
                    <w:rPr>
                      <w:rFonts w:cs="Times New Roman"/>
                      <w:color w:val="auto"/>
                      <w:sz w:val="18"/>
                      <w:szCs w:val="18"/>
                    </w:rPr>
                  </w:pPr>
                  <w:r>
                    <w:rPr>
                      <w:color w:val="auto"/>
                      <w:sz w:val="18"/>
                      <w:szCs w:val="18"/>
                    </w:rPr>
                    <w:pict>
                      <v:line id="_x0000_s1026" o:spid="_x0000_s1026" o:spt="20" style="position:absolute;left:0pt;margin-left:-4.25pt;margin-top:1.4pt;height:21.8pt;width:107.3pt;z-index:251627520;mso-width-relative:page;mso-height-relative:page;" coordsize="21600,21600">
                        <v:path arrowok="t"/>
                        <v:fill focussize="0,0"/>
                        <v:stroke weight="0.5pt"/>
                        <v:imagedata o:title=""/>
                        <o:lock v:ext="edit"/>
                      </v:line>
                    </w:pict>
                  </w:r>
                  <w:r>
                    <w:rPr>
                      <w:rFonts w:cs="Times New Roman"/>
                      <w:color w:val="auto"/>
                      <w:sz w:val="18"/>
                      <w:szCs w:val="18"/>
                    </w:rPr>
                    <w:t>项目</w:t>
                  </w:r>
                </w:p>
                <w:p>
                  <w:pPr>
                    <w:adjustRightInd w:val="0"/>
                    <w:snapToGrid w:val="0"/>
                    <w:jc w:val="left"/>
                    <w:rPr>
                      <w:rFonts w:cs="Times New Roman"/>
                      <w:color w:val="auto"/>
                      <w:sz w:val="18"/>
                      <w:szCs w:val="18"/>
                    </w:rPr>
                  </w:pPr>
                  <w:r>
                    <w:rPr>
                      <w:rFonts w:cs="Times New Roman"/>
                      <w:color w:val="auto"/>
                      <w:sz w:val="18"/>
                      <w:szCs w:val="18"/>
                    </w:rPr>
                    <w:t>厂界</w:t>
                  </w:r>
                </w:p>
              </w:tc>
              <w:tc>
                <w:tcPr>
                  <w:tcW w:w="151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昼间</w:t>
                  </w:r>
                </w:p>
              </w:tc>
              <w:tc>
                <w:tcPr>
                  <w:tcW w:w="199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夜间</w:t>
                  </w:r>
                </w:p>
              </w:tc>
              <w:tc>
                <w:tcPr>
                  <w:tcW w:w="2998" w:type="dxa"/>
                  <w:tcBorders>
                    <w:tl2br w:val="nil"/>
                    <w:tr2bl w:val="nil"/>
                  </w:tcBorders>
                  <w:vAlign w:val="center"/>
                </w:tcPr>
                <w:p>
                  <w:pPr>
                    <w:adjustRightInd w:val="0"/>
                    <w:snapToGrid w:val="0"/>
                    <w:jc w:val="center"/>
                    <w:rPr>
                      <w:rFonts w:cs="Times New Roman"/>
                      <w:color w:val="auto"/>
                      <w:sz w:val="18"/>
                      <w:szCs w:val="18"/>
                    </w:rPr>
                  </w:pPr>
                  <w:r>
                    <w:rPr>
                      <w:rFonts w:hint="eastAsia" w:cs="Times New Roman"/>
                      <w:color w:val="auto"/>
                      <w:sz w:val="18"/>
                      <w:szCs w:val="18"/>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8"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东厂界</w:t>
                  </w:r>
                </w:p>
              </w:tc>
              <w:tc>
                <w:tcPr>
                  <w:tcW w:w="151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55.</w:t>
                  </w:r>
                  <w:r>
                    <w:rPr>
                      <w:rFonts w:hint="eastAsia" w:cs="Times New Roman"/>
                      <w:color w:val="auto"/>
                      <w:sz w:val="18"/>
                      <w:szCs w:val="18"/>
                    </w:rPr>
                    <w:t>8</w:t>
                  </w:r>
                  <w:r>
                    <w:rPr>
                      <w:rFonts w:cs="Times New Roman"/>
                      <w:color w:val="auto"/>
                      <w:sz w:val="18"/>
                      <w:szCs w:val="18"/>
                    </w:rPr>
                    <w:t>~5</w:t>
                  </w:r>
                  <w:r>
                    <w:rPr>
                      <w:rFonts w:hint="eastAsia" w:cs="Times New Roman"/>
                      <w:color w:val="auto"/>
                      <w:sz w:val="18"/>
                      <w:szCs w:val="18"/>
                    </w:rPr>
                    <w:t>6</w:t>
                  </w:r>
                  <w:r>
                    <w:rPr>
                      <w:rFonts w:cs="Times New Roman"/>
                      <w:color w:val="auto"/>
                      <w:sz w:val="18"/>
                      <w:szCs w:val="18"/>
                    </w:rPr>
                    <w:t>.</w:t>
                  </w:r>
                  <w:r>
                    <w:rPr>
                      <w:rFonts w:hint="eastAsia" w:cs="Times New Roman"/>
                      <w:color w:val="auto"/>
                      <w:sz w:val="18"/>
                      <w:szCs w:val="18"/>
                    </w:rPr>
                    <w:t>2</w:t>
                  </w:r>
                </w:p>
              </w:tc>
              <w:tc>
                <w:tcPr>
                  <w:tcW w:w="199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42.</w:t>
                  </w:r>
                  <w:r>
                    <w:rPr>
                      <w:rFonts w:hint="eastAsia" w:cs="Times New Roman"/>
                      <w:color w:val="auto"/>
                      <w:sz w:val="18"/>
                      <w:szCs w:val="18"/>
                    </w:rPr>
                    <w:t>4</w:t>
                  </w:r>
                  <w:r>
                    <w:rPr>
                      <w:rFonts w:cs="Times New Roman"/>
                      <w:color w:val="auto"/>
                      <w:sz w:val="18"/>
                      <w:szCs w:val="18"/>
                    </w:rPr>
                    <w:t>~45.</w:t>
                  </w:r>
                  <w:r>
                    <w:rPr>
                      <w:rFonts w:hint="eastAsia" w:cs="Times New Roman"/>
                      <w:color w:val="auto"/>
                      <w:sz w:val="18"/>
                      <w:szCs w:val="18"/>
                    </w:rPr>
                    <w:t>7</w:t>
                  </w:r>
                </w:p>
              </w:tc>
              <w:tc>
                <w:tcPr>
                  <w:tcW w:w="2998" w:type="dxa"/>
                  <w:vMerge w:val="restart"/>
                  <w:tcBorders>
                    <w:tl2br w:val="nil"/>
                    <w:tr2bl w:val="nil"/>
                  </w:tcBorders>
                  <w:vAlign w:val="center"/>
                </w:tcPr>
                <w:p>
                  <w:pPr>
                    <w:adjustRightInd w:val="0"/>
                    <w:snapToGrid w:val="0"/>
                    <w:jc w:val="center"/>
                    <w:rPr>
                      <w:rFonts w:cs="Times New Roman"/>
                      <w:color w:val="auto"/>
                      <w:sz w:val="18"/>
                      <w:szCs w:val="18"/>
                    </w:rPr>
                  </w:pPr>
                  <w:r>
                    <w:rPr>
                      <w:rFonts w:cs="Times New Roman"/>
                      <w:iCs/>
                      <w:color w:val="auto"/>
                      <w:sz w:val="18"/>
                      <w:szCs w:val="18"/>
                    </w:rPr>
                    <w:t>昼间≤</w:t>
                  </w:r>
                  <w:r>
                    <w:rPr>
                      <w:rFonts w:hint="eastAsia" w:cs="Times New Roman"/>
                      <w:iCs/>
                      <w:color w:val="auto"/>
                      <w:sz w:val="18"/>
                      <w:szCs w:val="18"/>
                    </w:rPr>
                    <w:t>60</w:t>
                  </w:r>
                  <w:r>
                    <w:rPr>
                      <w:rFonts w:cs="Times New Roman"/>
                      <w:iCs/>
                      <w:color w:val="auto"/>
                      <w:sz w:val="18"/>
                      <w:szCs w:val="18"/>
                    </w:rPr>
                    <w:t>dB（A），夜间≤</w:t>
                  </w:r>
                  <w:r>
                    <w:rPr>
                      <w:rFonts w:hint="eastAsia" w:cs="Times New Roman"/>
                      <w:iCs/>
                      <w:color w:val="auto"/>
                      <w:sz w:val="18"/>
                      <w:szCs w:val="18"/>
                    </w:rPr>
                    <w:t>50</w:t>
                  </w:r>
                  <w:r>
                    <w:rPr>
                      <w:rFonts w:cs="Times New Roman"/>
                      <w:iCs/>
                      <w:color w:val="auto"/>
                      <w:sz w:val="18"/>
                      <w:szCs w:val="18"/>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8"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南厂界</w:t>
                  </w:r>
                </w:p>
              </w:tc>
              <w:tc>
                <w:tcPr>
                  <w:tcW w:w="151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51.</w:t>
                  </w:r>
                  <w:r>
                    <w:rPr>
                      <w:rFonts w:hint="eastAsia" w:cs="Times New Roman"/>
                      <w:color w:val="auto"/>
                      <w:sz w:val="18"/>
                      <w:szCs w:val="18"/>
                    </w:rPr>
                    <w:t>6</w:t>
                  </w:r>
                  <w:r>
                    <w:rPr>
                      <w:rFonts w:cs="Times New Roman"/>
                      <w:color w:val="auto"/>
                      <w:sz w:val="18"/>
                      <w:szCs w:val="18"/>
                    </w:rPr>
                    <w:t>~5</w:t>
                  </w:r>
                  <w:r>
                    <w:rPr>
                      <w:rFonts w:hint="eastAsia" w:cs="Times New Roman"/>
                      <w:color w:val="auto"/>
                      <w:sz w:val="18"/>
                      <w:szCs w:val="18"/>
                    </w:rPr>
                    <w:t>3</w:t>
                  </w:r>
                  <w:r>
                    <w:rPr>
                      <w:rFonts w:cs="Times New Roman"/>
                      <w:color w:val="auto"/>
                      <w:sz w:val="18"/>
                      <w:szCs w:val="18"/>
                    </w:rPr>
                    <w:t>.</w:t>
                  </w:r>
                  <w:r>
                    <w:rPr>
                      <w:rFonts w:hint="eastAsia" w:cs="Times New Roman"/>
                      <w:color w:val="auto"/>
                      <w:sz w:val="18"/>
                      <w:szCs w:val="18"/>
                    </w:rPr>
                    <w:t>3</w:t>
                  </w:r>
                </w:p>
              </w:tc>
              <w:tc>
                <w:tcPr>
                  <w:tcW w:w="199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4</w:t>
                  </w:r>
                  <w:r>
                    <w:rPr>
                      <w:rFonts w:hint="eastAsia" w:cs="Times New Roman"/>
                      <w:color w:val="auto"/>
                      <w:sz w:val="18"/>
                      <w:szCs w:val="18"/>
                    </w:rPr>
                    <w:t>2</w:t>
                  </w:r>
                  <w:r>
                    <w:rPr>
                      <w:rFonts w:cs="Times New Roman"/>
                      <w:color w:val="auto"/>
                      <w:sz w:val="18"/>
                      <w:szCs w:val="18"/>
                    </w:rPr>
                    <w:t>.</w:t>
                  </w:r>
                  <w:r>
                    <w:rPr>
                      <w:rFonts w:hint="eastAsia" w:cs="Times New Roman"/>
                      <w:color w:val="auto"/>
                      <w:sz w:val="18"/>
                      <w:szCs w:val="18"/>
                    </w:rPr>
                    <w:t>6</w:t>
                  </w:r>
                  <w:r>
                    <w:rPr>
                      <w:rFonts w:cs="Times New Roman"/>
                      <w:color w:val="auto"/>
                      <w:sz w:val="18"/>
                      <w:szCs w:val="18"/>
                    </w:rPr>
                    <w:t>~43.</w:t>
                  </w:r>
                  <w:r>
                    <w:rPr>
                      <w:rFonts w:hint="eastAsia" w:cs="Times New Roman"/>
                      <w:color w:val="auto"/>
                      <w:sz w:val="18"/>
                      <w:szCs w:val="18"/>
                    </w:rPr>
                    <w:t>9</w:t>
                  </w:r>
                </w:p>
              </w:tc>
              <w:tc>
                <w:tcPr>
                  <w:tcW w:w="2998" w:type="dxa"/>
                  <w:vMerge w:val="continue"/>
                  <w:tcBorders>
                    <w:tl2br w:val="nil"/>
                    <w:tr2bl w:val="nil"/>
                  </w:tcBorders>
                  <w:vAlign w:val="center"/>
                </w:tcPr>
                <w:p>
                  <w:pPr>
                    <w:adjustRightInd w:val="0"/>
                    <w:snapToGrid w:val="0"/>
                    <w:jc w:val="center"/>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8"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西厂界</w:t>
                  </w:r>
                </w:p>
              </w:tc>
              <w:tc>
                <w:tcPr>
                  <w:tcW w:w="151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53.8~56.6</w:t>
                  </w:r>
                </w:p>
              </w:tc>
              <w:tc>
                <w:tcPr>
                  <w:tcW w:w="199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4</w:t>
                  </w:r>
                  <w:r>
                    <w:rPr>
                      <w:rFonts w:hint="eastAsia" w:cs="Times New Roman"/>
                      <w:color w:val="auto"/>
                      <w:sz w:val="18"/>
                      <w:szCs w:val="18"/>
                    </w:rPr>
                    <w:t>3</w:t>
                  </w:r>
                  <w:r>
                    <w:rPr>
                      <w:rFonts w:cs="Times New Roman"/>
                      <w:color w:val="auto"/>
                      <w:sz w:val="18"/>
                      <w:szCs w:val="18"/>
                    </w:rPr>
                    <w:t>.</w:t>
                  </w:r>
                  <w:r>
                    <w:rPr>
                      <w:rFonts w:hint="eastAsia" w:cs="Times New Roman"/>
                      <w:color w:val="auto"/>
                      <w:sz w:val="18"/>
                      <w:szCs w:val="18"/>
                    </w:rPr>
                    <w:t>7</w:t>
                  </w:r>
                  <w:r>
                    <w:rPr>
                      <w:rFonts w:cs="Times New Roman"/>
                      <w:color w:val="auto"/>
                      <w:sz w:val="18"/>
                      <w:szCs w:val="18"/>
                    </w:rPr>
                    <w:t>~45.6</w:t>
                  </w:r>
                </w:p>
              </w:tc>
              <w:tc>
                <w:tcPr>
                  <w:tcW w:w="2998" w:type="dxa"/>
                  <w:vMerge w:val="continue"/>
                  <w:tcBorders>
                    <w:tl2br w:val="nil"/>
                    <w:tr2bl w:val="nil"/>
                  </w:tcBorders>
                  <w:vAlign w:val="center"/>
                </w:tcPr>
                <w:p>
                  <w:pPr>
                    <w:adjustRightInd w:val="0"/>
                    <w:snapToGrid w:val="0"/>
                    <w:jc w:val="center"/>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8"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北厂界</w:t>
                  </w:r>
                </w:p>
              </w:tc>
              <w:tc>
                <w:tcPr>
                  <w:tcW w:w="151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5</w:t>
                  </w:r>
                  <w:r>
                    <w:rPr>
                      <w:rFonts w:hint="eastAsia" w:cs="Times New Roman"/>
                      <w:color w:val="auto"/>
                      <w:sz w:val="18"/>
                      <w:szCs w:val="18"/>
                    </w:rPr>
                    <w:t>4.</w:t>
                  </w:r>
                  <w:r>
                    <w:rPr>
                      <w:rFonts w:cs="Times New Roman"/>
                      <w:color w:val="auto"/>
                      <w:sz w:val="18"/>
                      <w:szCs w:val="18"/>
                    </w:rPr>
                    <w:t>8~5</w:t>
                  </w:r>
                  <w:r>
                    <w:rPr>
                      <w:rFonts w:hint="eastAsia" w:cs="Times New Roman"/>
                      <w:color w:val="auto"/>
                      <w:sz w:val="18"/>
                      <w:szCs w:val="18"/>
                    </w:rPr>
                    <w:t>6.5</w:t>
                  </w:r>
                </w:p>
              </w:tc>
              <w:tc>
                <w:tcPr>
                  <w:tcW w:w="1995" w:type="dxa"/>
                  <w:tcBorders>
                    <w:tl2br w:val="nil"/>
                    <w:tr2bl w:val="nil"/>
                  </w:tcBorders>
                  <w:vAlign w:val="center"/>
                </w:tcPr>
                <w:p>
                  <w:pPr>
                    <w:adjustRightInd w:val="0"/>
                    <w:snapToGrid w:val="0"/>
                    <w:jc w:val="center"/>
                    <w:rPr>
                      <w:rFonts w:cs="Times New Roman"/>
                      <w:color w:val="auto"/>
                      <w:sz w:val="18"/>
                      <w:szCs w:val="18"/>
                    </w:rPr>
                  </w:pPr>
                  <w:r>
                    <w:rPr>
                      <w:rFonts w:cs="Times New Roman"/>
                      <w:color w:val="auto"/>
                      <w:sz w:val="18"/>
                      <w:szCs w:val="18"/>
                    </w:rPr>
                    <w:t>42.9~45.</w:t>
                  </w:r>
                  <w:r>
                    <w:rPr>
                      <w:rFonts w:hint="eastAsia" w:cs="Times New Roman"/>
                      <w:color w:val="auto"/>
                      <w:sz w:val="18"/>
                      <w:szCs w:val="18"/>
                    </w:rPr>
                    <w:t>1</w:t>
                  </w:r>
                </w:p>
              </w:tc>
              <w:tc>
                <w:tcPr>
                  <w:tcW w:w="2998" w:type="dxa"/>
                  <w:vMerge w:val="continue"/>
                  <w:tcBorders>
                    <w:tl2br w:val="nil"/>
                    <w:tr2bl w:val="nil"/>
                  </w:tcBorders>
                  <w:vAlign w:val="center"/>
                </w:tcPr>
                <w:p>
                  <w:pPr>
                    <w:adjustRightInd w:val="0"/>
                    <w:snapToGrid w:val="0"/>
                    <w:jc w:val="center"/>
                    <w:rPr>
                      <w:rFonts w:cs="Times New Roman"/>
                      <w:color w:val="auto"/>
                      <w:sz w:val="18"/>
                      <w:szCs w:val="18"/>
                    </w:rPr>
                  </w:pPr>
                </w:p>
              </w:tc>
            </w:tr>
          </w:tbl>
          <w:p>
            <w:pPr>
              <w:adjustRightInd w:val="0"/>
              <w:snapToGrid w:val="0"/>
              <w:spacing w:line="460" w:lineRule="exact"/>
              <w:ind w:firstLine="480" w:firstLineChars="200"/>
              <w:rPr>
                <w:rFonts w:cs="Times New Roman"/>
                <w:color w:val="auto"/>
                <w:sz w:val="24"/>
                <w:szCs w:val="24"/>
              </w:rPr>
            </w:pPr>
            <w:r>
              <w:rPr>
                <w:rFonts w:cs="Times New Roman"/>
                <w:color w:val="auto"/>
                <w:sz w:val="24"/>
              </w:rPr>
              <w:t>表</w:t>
            </w:r>
            <w:r>
              <w:rPr>
                <w:rFonts w:hint="eastAsia" w:cs="Times New Roman"/>
                <w:color w:val="auto"/>
                <w:sz w:val="24"/>
              </w:rPr>
              <w:t>12</w:t>
            </w:r>
            <w:r>
              <w:rPr>
                <w:rFonts w:cs="Times New Roman"/>
                <w:color w:val="auto"/>
                <w:sz w:val="24"/>
              </w:rPr>
              <w:t>可知，</w:t>
            </w:r>
            <w:r>
              <w:rPr>
                <w:rFonts w:cs="Times New Roman"/>
                <w:color w:val="auto"/>
                <w:sz w:val="24"/>
                <w:szCs w:val="24"/>
              </w:rPr>
              <w:t>本项目各厂界噪声值均满足《声环境质量标准》（GB3096-2008）</w:t>
            </w:r>
            <w:r>
              <w:rPr>
                <w:rFonts w:hint="eastAsia" w:cs="Times New Roman"/>
                <w:color w:val="auto"/>
                <w:sz w:val="24"/>
                <w:szCs w:val="24"/>
              </w:rPr>
              <w:t>2</w:t>
            </w:r>
            <w:r>
              <w:rPr>
                <w:rFonts w:cs="Times New Roman"/>
                <w:color w:val="auto"/>
                <w:sz w:val="24"/>
                <w:szCs w:val="24"/>
              </w:rPr>
              <w:t>类标准要求</w:t>
            </w:r>
            <w:r>
              <w:rPr>
                <w:rFonts w:hint="eastAsia" w:cs="Times New Roman"/>
                <w:color w:val="auto"/>
                <w:sz w:val="24"/>
              </w:rPr>
              <w:t>。</w:t>
            </w:r>
            <w:r>
              <w:rPr>
                <w:rFonts w:cs="Times New Roman"/>
                <w:color w:val="auto"/>
                <w:sz w:val="24"/>
                <w:szCs w:val="24"/>
              </w:rPr>
              <w:t>表明本项目所在区域声环境质量现状较好。</w:t>
            </w:r>
          </w:p>
          <w:p>
            <w:pPr>
              <w:spacing w:line="460" w:lineRule="exact"/>
              <w:ind w:firstLine="480" w:firstLineChars="200"/>
              <w:rPr>
                <w:rFonts w:eastAsia="黑体" w:cs="Times New Roman"/>
                <w:color w:val="auto"/>
                <w:sz w:val="24"/>
                <w:szCs w:val="24"/>
              </w:rPr>
            </w:pPr>
            <w:r>
              <w:rPr>
                <w:rFonts w:hint="eastAsia" w:eastAsia="黑体" w:cs="Times New Roman"/>
                <w:color w:val="auto"/>
                <w:sz w:val="24"/>
                <w:szCs w:val="24"/>
                <w:lang w:val="en-US" w:eastAsia="zh-CN"/>
              </w:rPr>
              <w:t>5</w:t>
            </w:r>
            <w:r>
              <w:rPr>
                <w:rFonts w:eastAsia="黑体" w:cs="Times New Roman"/>
                <w:color w:val="auto"/>
                <w:sz w:val="24"/>
                <w:szCs w:val="24"/>
              </w:rPr>
              <w:t>、生态</w:t>
            </w:r>
          </w:p>
          <w:p>
            <w:pPr>
              <w:spacing w:line="460" w:lineRule="exact"/>
              <w:ind w:firstLine="480" w:firstLineChars="200"/>
              <w:rPr>
                <w:rFonts w:hint="eastAsia" w:eastAsia="宋体" w:cs="Times New Roman"/>
                <w:color w:val="auto"/>
                <w:sz w:val="24"/>
                <w:szCs w:val="24"/>
                <w:lang w:eastAsia="zh-CN"/>
              </w:rPr>
            </w:pPr>
            <w:r>
              <w:rPr>
                <w:rFonts w:cs="Times New Roman"/>
                <w:color w:val="auto"/>
                <w:sz w:val="24"/>
                <w:szCs w:val="24"/>
              </w:rPr>
              <w:t>评价区域生态环境主要以人工生态环境为主，主要植被为大面积的农田等。评价区域内无野生植被、大型野生动物以及受国家保护的动植物种类</w:t>
            </w:r>
            <w:r>
              <w:rPr>
                <w:rFonts w:hint="eastAsia" w:cs="Times New Roman"/>
                <w:color w:val="auto"/>
                <w:sz w:val="24"/>
                <w:szCs w:val="24"/>
                <w:lang w:eastAsia="zh-CN"/>
              </w:rPr>
              <w:t>。</w:t>
            </w: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szCs w:val="24"/>
              </w:rPr>
            </w:pPr>
          </w:p>
          <w:p>
            <w:pPr>
              <w:spacing w:line="460" w:lineRule="exact"/>
              <w:ind w:firstLine="480" w:firstLineChars="200"/>
              <w:rPr>
                <w:rFonts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5" w:hRule="atLeast"/>
          <w:jc w:val="center"/>
        </w:trPr>
        <w:tc>
          <w:tcPr>
            <w:tcW w:w="8897" w:type="dxa"/>
          </w:tcPr>
          <w:p>
            <w:pPr>
              <w:adjustRightInd w:val="0"/>
              <w:snapToGrid w:val="0"/>
              <w:spacing w:line="360" w:lineRule="auto"/>
              <w:jc w:val="left"/>
              <w:rPr>
                <w:rFonts w:eastAsia="黑体" w:cs="Times New Roman"/>
                <w:color w:val="auto"/>
                <w:szCs w:val="28"/>
              </w:rPr>
            </w:pPr>
            <w:r>
              <w:rPr>
                <w:rFonts w:eastAsia="黑体" w:cs="Times New Roman"/>
                <w:color w:val="auto"/>
                <w:szCs w:val="28"/>
              </w:rPr>
              <w:t>主要环境保护目标（列出名单及保护级别）：</w:t>
            </w:r>
          </w:p>
          <w:p>
            <w:pPr>
              <w:adjustRightInd w:val="0"/>
              <w:snapToGrid w:val="0"/>
              <w:spacing w:line="360" w:lineRule="auto"/>
              <w:jc w:val="left"/>
              <w:rPr>
                <w:rFonts w:cs="Times New Roman"/>
                <w:bCs/>
                <w:color w:val="auto"/>
                <w:sz w:val="24"/>
              </w:rPr>
            </w:pPr>
            <w:r>
              <w:rPr>
                <w:rFonts w:cs="Times New Roman"/>
                <w:bCs/>
                <w:color w:val="auto"/>
                <w:sz w:val="24"/>
              </w:rPr>
              <w:t xml:space="preserve">   根据现场调查，本项目周围主要环境保护目标见表</w:t>
            </w:r>
            <w:r>
              <w:rPr>
                <w:rFonts w:hint="eastAsia" w:cs="Times New Roman"/>
                <w:bCs/>
                <w:color w:val="auto"/>
                <w:sz w:val="24"/>
              </w:rPr>
              <w:t>13</w:t>
            </w:r>
            <w:r>
              <w:rPr>
                <w:rFonts w:cs="Times New Roman"/>
                <w:bCs/>
                <w:color w:val="auto"/>
                <w:sz w:val="24"/>
              </w:rPr>
              <w:t>。</w:t>
            </w:r>
          </w:p>
          <w:p>
            <w:pPr>
              <w:pStyle w:val="21"/>
              <w:ind w:firstLine="420"/>
              <w:rPr>
                <w:color w:val="auto"/>
              </w:rPr>
            </w:pPr>
            <w:r>
              <w:rPr>
                <w:rFonts w:hint="eastAsia"/>
                <w:color w:val="auto"/>
              </w:rPr>
              <w:t xml:space="preserve">                </w:t>
            </w:r>
            <w:r>
              <w:rPr>
                <w:color w:val="auto"/>
              </w:rPr>
              <w:t>项目周围主要环境保护目标</w:t>
            </w:r>
          </w:p>
          <w:tbl>
            <w:tblPr>
              <w:tblStyle w:val="26"/>
              <w:tblW w:w="868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89"/>
              <w:gridCol w:w="1058"/>
              <w:gridCol w:w="794"/>
              <w:gridCol w:w="822"/>
              <w:gridCol w:w="1844"/>
              <w:gridCol w:w="886"/>
              <w:gridCol w:w="8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restart"/>
                  <w:vAlign w:val="center"/>
                </w:tcPr>
                <w:p>
                  <w:pPr>
                    <w:jc w:val="center"/>
                    <w:rPr>
                      <w:rFonts w:cs="Times New Roman"/>
                      <w:color w:val="auto"/>
                      <w:sz w:val="18"/>
                      <w:szCs w:val="18"/>
                    </w:rPr>
                  </w:pPr>
                  <w:r>
                    <w:rPr>
                      <w:rFonts w:cs="Times New Roman"/>
                      <w:color w:val="auto"/>
                      <w:sz w:val="18"/>
                      <w:szCs w:val="18"/>
                    </w:rPr>
                    <w:t>名称</w:t>
                  </w:r>
                </w:p>
              </w:tc>
              <w:tc>
                <w:tcPr>
                  <w:tcW w:w="2247" w:type="dxa"/>
                  <w:gridSpan w:val="2"/>
                  <w:vAlign w:val="center"/>
                </w:tcPr>
                <w:p>
                  <w:pPr>
                    <w:jc w:val="center"/>
                    <w:rPr>
                      <w:rFonts w:cs="Times New Roman"/>
                      <w:color w:val="auto"/>
                      <w:sz w:val="18"/>
                      <w:szCs w:val="18"/>
                    </w:rPr>
                  </w:pPr>
                  <w:r>
                    <w:rPr>
                      <w:rFonts w:cs="Times New Roman"/>
                      <w:color w:val="auto"/>
                      <w:sz w:val="18"/>
                      <w:szCs w:val="18"/>
                    </w:rPr>
                    <w:t>坐标</w:t>
                  </w:r>
                </w:p>
              </w:tc>
              <w:tc>
                <w:tcPr>
                  <w:tcW w:w="794" w:type="dxa"/>
                  <w:vMerge w:val="restart"/>
                  <w:vAlign w:val="center"/>
                </w:tcPr>
                <w:p>
                  <w:pPr>
                    <w:jc w:val="center"/>
                    <w:rPr>
                      <w:rFonts w:cs="Times New Roman"/>
                      <w:color w:val="auto"/>
                      <w:sz w:val="18"/>
                      <w:szCs w:val="18"/>
                    </w:rPr>
                  </w:pPr>
                  <w:r>
                    <w:rPr>
                      <w:rFonts w:cs="Times New Roman"/>
                      <w:color w:val="auto"/>
                      <w:sz w:val="18"/>
                      <w:szCs w:val="18"/>
                    </w:rPr>
                    <w:t>保护</w:t>
                  </w:r>
                </w:p>
                <w:p>
                  <w:pPr>
                    <w:jc w:val="center"/>
                    <w:rPr>
                      <w:rFonts w:cs="Times New Roman"/>
                      <w:color w:val="auto"/>
                      <w:sz w:val="18"/>
                      <w:szCs w:val="18"/>
                    </w:rPr>
                  </w:pPr>
                  <w:r>
                    <w:rPr>
                      <w:rFonts w:cs="Times New Roman"/>
                      <w:color w:val="auto"/>
                      <w:sz w:val="18"/>
                      <w:szCs w:val="18"/>
                    </w:rPr>
                    <w:t>对象</w:t>
                  </w:r>
                </w:p>
              </w:tc>
              <w:tc>
                <w:tcPr>
                  <w:tcW w:w="822" w:type="dxa"/>
                  <w:vMerge w:val="restart"/>
                  <w:vAlign w:val="center"/>
                </w:tcPr>
                <w:p>
                  <w:pPr>
                    <w:jc w:val="center"/>
                    <w:rPr>
                      <w:rFonts w:cs="Times New Roman"/>
                      <w:color w:val="auto"/>
                      <w:sz w:val="18"/>
                      <w:szCs w:val="18"/>
                    </w:rPr>
                  </w:pPr>
                  <w:r>
                    <w:rPr>
                      <w:rFonts w:cs="Times New Roman"/>
                      <w:color w:val="auto"/>
                      <w:sz w:val="18"/>
                      <w:szCs w:val="18"/>
                    </w:rPr>
                    <w:t>保护</w:t>
                  </w:r>
                </w:p>
                <w:p>
                  <w:pPr>
                    <w:jc w:val="center"/>
                    <w:rPr>
                      <w:rFonts w:cs="Times New Roman"/>
                      <w:color w:val="auto"/>
                      <w:sz w:val="18"/>
                      <w:szCs w:val="18"/>
                    </w:rPr>
                  </w:pPr>
                  <w:r>
                    <w:rPr>
                      <w:rFonts w:cs="Times New Roman"/>
                      <w:color w:val="auto"/>
                      <w:sz w:val="18"/>
                      <w:szCs w:val="18"/>
                    </w:rPr>
                    <w:t>内容</w:t>
                  </w:r>
                </w:p>
              </w:tc>
              <w:tc>
                <w:tcPr>
                  <w:tcW w:w="1844" w:type="dxa"/>
                  <w:vMerge w:val="restart"/>
                  <w:vAlign w:val="center"/>
                </w:tcPr>
                <w:p>
                  <w:pPr>
                    <w:jc w:val="center"/>
                    <w:rPr>
                      <w:rFonts w:cs="Times New Roman"/>
                      <w:color w:val="auto"/>
                      <w:sz w:val="18"/>
                      <w:szCs w:val="18"/>
                    </w:rPr>
                  </w:pPr>
                  <w:r>
                    <w:rPr>
                      <w:rFonts w:cs="Times New Roman"/>
                      <w:color w:val="auto"/>
                      <w:sz w:val="18"/>
                      <w:szCs w:val="18"/>
                    </w:rPr>
                    <w:t>环境功能区</w:t>
                  </w:r>
                </w:p>
              </w:tc>
              <w:tc>
                <w:tcPr>
                  <w:tcW w:w="886" w:type="dxa"/>
                  <w:vMerge w:val="restart"/>
                  <w:vAlign w:val="center"/>
                </w:tcPr>
                <w:p>
                  <w:pPr>
                    <w:jc w:val="center"/>
                    <w:rPr>
                      <w:rFonts w:cs="Times New Roman"/>
                      <w:color w:val="auto"/>
                      <w:sz w:val="18"/>
                      <w:szCs w:val="18"/>
                    </w:rPr>
                  </w:pPr>
                  <w:r>
                    <w:rPr>
                      <w:rFonts w:cs="Times New Roman"/>
                      <w:color w:val="auto"/>
                      <w:sz w:val="18"/>
                      <w:szCs w:val="18"/>
                    </w:rPr>
                    <w:t>相对厂址方位</w:t>
                  </w:r>
                </w:p>
              </w:tc>
              <w:tc>
                <w:tcPr>
                  <w:tcW w:w="885" w:type="dxa"/>
                  <w:vMerge w:val="restart"/>
                  <w:vAlign w:val="center"/>
                </w:tcPr>
                <w:p>
                  <w:pPr>
                    <w:jc w:val="center"/>
                    <w:rPr>
                      <w:rFonts w:cs="Times New Roman"/>
                      <w:color w:val="auto"/>
                      <w:sz w:val="18"/>
                      <w:szCs w:val="18"/>
                    </w:rPr>
                  </w:pPr>
                  <w:r>
                    <w:rPr>
                      <w:rFonts w:cs="Times New Roman"/>
                      <w:color w:val="auto"/>
                      <w:sz w:val="18"/>
                      <w:szCs w:val="18"/>
                    </w:rPr>
                    <w:t>相对厂址距离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vAlign w:val="center"/>
                </w:tcPr>
                <w:p>
                  <w:pPr>
                    <w:jc w:val="center"/>
                    <w:rPr>
                      <w:rFonts w:cs="Times New Roman"/>
                      <w:color w:val="auto"/>
                      <w:sz w:val="18"/>
                      <w:szCs w:val="18"/>
                    </w:rPr>
                  </w:pPr>
                </w:p>
              </w:tc>
              <w:tc>
                <w:tcPr>
                  <w:tcW w:w="1189" w:type="dxa"/>
                  <w:vAlign w:val="center"/>
                </w:tcPr>
                <w:p>
                  <w:pPr>
                    <w:jc w:val="center"/>
                    <w:rPr>
                      <w:rFonts w:cs="Times New Roman"/>
                      <w:color w:val="auto"/>
                      <w:sz w:val="18"/>
                      <w:szCs w:val="18"/>
                    </w:rPr>
                  </w:pPr>
                  <w:r>
                    <w:rPr>
                      <w:rFonts w:cs="Times New Roman"/>
                      <w:color w:val="auto"/>
                      <w:sz w:val="18"/>
                      <w:szCs w:val="18"/>
                    </w:rPr>
                    <w:t>经度</w:t>
                  </w:r>
                </w:p>
              </w:tc>
              <w:tc>
                <w:tcPr>
                  <w:tcW w:w="1058" w:type="dxa"/>
                  <w:vAlign w:val="center"/>
                </w:tcPr>
                <w:p>
                  <w:pPr>
                    <w:jc w:val="center"/>
                    <w:rPr>
                      <w:rFonts w:cs="Times New Roman"/>
                      <w:color w:val="auto"/>
                      <w:sz w:val="18"/>
                      <w:szCs w:val="18"/>
                    </w:rPr>
                  </w:pPr>
                  <w:r>
                    <w:rPr>
                      <w:rFonts w:cs="Times New Roman"/>
                      <w:color w:val="auto"/>
                      <w:sz w:val="18"/>
                      <w:szCs w:val="18"/>
                    </w:rPr>
                    <w:t>纬度</w:t>
                  </w:r>
                </w:p>
              </w:tc>
              <w:tc>
                <w:tcPr>
                  <w:tcW w:w="794" w:type="dxa"/>
                  <w:vMerge w:val="continue"/>
                  <w:vAlign w:val="center"/>
                </w:tcPr>
                <w:p>
                  <w:pPr>
                    <w:jc w:val="center"/>
                    <w:rPr>
                      <w:rFonts w:cs="Times New Roman"/>
                      <w:color w:val="auto"/>
                      <w:sz w:val="18"/>
                      <w:szCs w:val="18"/>
                    </w:rPr>
                  </w:pPr>
                </w:p>
              </w:tc>
              <w:tc>
                <w:tcPr>
                  <w:tcW w:w="822" w:type="dxa"/>
                  <w:vMerge w:val="continue"/>
                  <w:vAlign w:val="center"/>
                </w:tcPr>
                <w:p>
                  <w:pPr>
                    <w:jc w:val="center"/>
                    <w:rPr>
                      <w:rFonts w:cs="Times New Roman"/>
                      <w:color w:val="auto"/>
                      <w:sz w:val="18"/>
                      <w:szCs w:val="18"/>
                    </w:rPr>
                  </w:pPr>
                </w:p>
              </w:tc>
              <w:tc>
                <w:tcPr>
                  <w:tcW w:w="1844" w:type="dxa"/>
                  <w:vMerge w:val="continue"/>
                  <w:vAlign w:val="center"/>
                </w:tcPr>
                <w:p>
                  <w:pPr>
                    <w:jc w:val="center"/>
                    <w:rPr>
                      <w:rFonts w:cs="Times New Roman"/>
                      <w:color w:val="auto"/>
                      <w:sz w:val="18"/>
                      <w:szCs w:val="18"/>
                    </w:rPr>
                  </w:pPr>
                </w:p>
              </w:tc>
              <w:tc>
                <w:tcPr>
                  <w:tcW w:w="886" w:type="dxa"/>
                  <w:vMerge w:val="continue"/>
                  <w:vAlign w:val="center"/>
                </w:tcPr>
                <w:p>
                  <w:pPr>
                    <w:jc w:val="center"/>
                    <w:rPr>
                      <w:rFonts w:cs="Times New Roman"/>
                      <w:color w:val="auto"/>
                      <w:sz w:val="18"/>
                      <w:szCs w:val="18"/>
                    </w:rPr>
                  </w:pPr>
                </w:p>
              </w:tc>
              <w:tc>
                <w:tcPr>
                  <w:tcW w:w="885" w:type="dxa"/>
                  <w:vMerge w:val="continue"/>
                  <w:vAlign w:val="center"/>
                </w:tcPr>
                <w:p>
                  <w:pPr>
                    <w:jc w:val="center"/>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Align w:val="center"/>
                </w:tcPr>
                <w:p>
                  <w:pPr>
                    <w:pStyle w:val="33"/>
                    <w:adjustRightInd/>
                    <w:spacing w:line="240" w:lineRule="auto"/>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陈堡村</w:t>
                  </w:r>
                </w:p>
              </w:tc>
              <w:tc>
                <w:tcPr>
                  <w:tcW w:w="1189" w:type="dxa"/>
                  <w:vAlign w:val="center"/>
                </w:tcPr>
                <w:p>
                  <w:pPr>
                    <w:jc w:val="center"/>
                    <w:rPr>
                      <w:rFonts w:cs="Times New Roman"/>
                      <w:color w:val="auto"/>
                      <w:sz w:val="18"/>
                      <w:szCs w:val="18"/>
                    </w:rPr>
                  </w:pPr>
                  <w:r>
                    <w:rPr>
                      <w:rFonts w:cs="Times New Roman"/>
                      <w:color w:val="auto"/>
                      <w:sz w:val="18"/>
                      <w:szCs w:val="18"/>
                    </w:rPr>
                    <w:t>113.844838</w:t>
                  </w:r>
                </w:p>
              </w:tc>
              <w:tc>
                <w:tcPr>
                  <w:tcW w:w="1058" w:type="dxa"/>
                  <w:vAlign w:val="center"/>
                </w:tcPr>
                <w:p>
                  <w:pPr>
                    <w:jc w:val="center"/>
                    <w:rPr>
                      <w:rFonts w:cs="Times New Roman"/>
                      <w:color w:val="auto"/>
                      <w:sz w:val="18"/>
                      <w:szCs w:val="18"/>
                    </w:rPr>
                  </w:pPr>
                  <w:r>
                    <w:rPr>
                      <w:rFonts w:cs="Times New Roman"/>
                      <w:color w:val="auto"/>
                      <w:sz w:val="18"/>
                      <w:szCs w:val="18"/>
                    </w:rPr>
                    <w:t>35.370820</w:t>
                  </w:r>
                </w:p>
              </w:tc>
              <w:tc>
                <w:tcPr>
                  <w:tcW w:w="794" w:type="dxa"/>
                  <w:vAlign w:val="center"/>
                </w:tcPr>
                <w:p>
                  <w:pPr>
                    <w:jc w:val="center"/>
                    <w:rPr>
                      <w:rFonts w:cs="Times New Roman"/>
                      <w:color w:val="auto"/>
                      <w:sz w:val="18"/>
                      <w:szCs w:val="18"/>
                    </w:rPr>
                  </w:pPr>
                  <w:r>
                    <w:rPr>
                      <w:rFonts w:cs="Times New Roman"/>
                      <w:color w:val="auto"/>
                      <w:sz w:val="18"/>
                      <w:szCs w:val="18"/>
                    </w:rPr>
                    <w:t>居民区</w:t>
                  </w:r>
                </w:p>
              </w:tc>
              <w:tc>
                <w:tcPr>
                  <w:tcW w:w="822" w:type="dxa"/>
                  <w:vAlign w:val="center"/>
                </w:tcPr>
                <w:p>
                  <w:pPr>
                    <w:jc w:val="center"/>
                    <w:rPr>
                      <w:rFonts w:cs="Times New Roman"/>
                      <w:color w:val="auto"/>
                      <w:sz w:val="18"/>
                      <w:szCs w:val="18"/>
                    </w:rPr>
                  </w:pPr>
                  <w:r>
                    <w:rPr>
                      <w:rFonts w:cs="Times New Roman"/>
                      <w:color w:val="auto"/>
                      <w:sz w:val="18"/>
                      <w:szCs w:val="18"/>
                    </w:rPr>
                    <w:t>居民</w:t>
                  </w:r>
                </w:p>
              </w:tc>
              <w:tc>
                <w:tcPr>
                  <w:tcW w:w="1844" w:type="dxa"/>
                  <w:vMerge w:val="restart"/>
                  <w:vAlign w:val="center"/>
                </w:tcPr>
                <w:p>
                  <w:pPr>
                    <w:jc w:val="center"/>
                    <w:rPr>
                      <w:rFonts w:cs="Times New Roman"/>
                      <w:color w:val="auto"/>
                      <w:sz w:val="18"/>
                      <w:szCs w:val="18"/>
                    </w:rPr>
                  </w:pPr>
                  <w:r>
                    <w:rPr>
                      <w:rFonts w:cs="Times New Roman"/>
                      <w:color w:val="auto"/>
                      <w:sz w:val="18"/>
                      <w:szCs w:val="18"/>
                    </w:rPr>
                    <w:t>《环境空气质量标准》（GB3095-2012） 二类区</w:t>
                  </w:r>
                </w:p>
              </w:tc>
              <w:tc>
                <w:tcPr>
                  <w:tcW w:w="886" w:type="dxa"/>
                  <w:vAlign w:val="center"/>
                </w:tcPr>
                <w:p>
                  <w:pPr>
                    <w:jc w:val="center"/>
                    <w:rPr>
                      <w:rFonts w:cs="Times New Roman"/>
                      <w:color w:val="auto"/>
                      <w:sz w:val="18"/>
                      <w:szCs w:val="18"/>
                    </w:rPr>
                  </w:pPr>
                  <w:r>
                    <w:rPr>
                      <w:rFonts w:hint="eastAsia" w:cs="Times New Roman"/>
                      <w:color w:val="auto"/>
                      <w:sz w:val="18"/>
                      <w:szCs w:val="18"/>
                    </w:rPr>
                    <w:t>N</w:t>
                  </w:r>
                </w:p>
              </w:tc>
              <w:tc>
                <w:tcPr>
                  <w:tcW w:w="885" w:type="dxa"/>
                  <w:vAlign w:val="center"/>
                </w:tcPr>
                <w:p>
                  <w:pPr>
                    <w:jc w:val="center"/>
                    <w:rPr>
                      <w:rFonts w:cs="Times New Roman"/>
                      <w:color w:val="auto"/>
                      <w:sz w:val="18"/>
                      <w:szCs w:val="18"/>
                    </w:rPr>
                  </w:pPr>
                  <w:r>
                    <w:rPr>
                      <w:rFonts w:hint="eastAsia" w:cs="Times New Roman"/>
                      <w:color w:val="auto"/>
                      <w:sz w:val="18"/>
                      <w:szCs w:val="18"/>
                    </w:rPr>
                    <w:t>650m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Align w:val="center"/>
                </w:tcPr>
                <w:p>
                  <w:pPr>
                    <w:pStyle w:val="33"/>
                    <w:adjustRightInd/>
                    <w:spacing w:line="240" w:lineRule="auto"/>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西马坊村</w:t>
                  </w:r>
                </w:p>
              </w:tc>
              <w:tc>
                <w:tcPr>
                  <w:tcW w:w="1189" w:type="dxa"/>
                  <w:vAlign w:val="center"/>
                </w:tcPr>
                <w:p>
                  <w:pPr>
                    <w:jc w:val="center"/>
                    <w:rPr>
                      <w:rFonts w:cs="Times New Roman"/>
                      <w:color w:val="auto"/>
                      <w:sz w:val="18"/>
                      <w:szCs w:val="18"/>
                    </w:rPr>
                  </w:pPr>
                  <w:r>
                    <w:rPr>
                      <w:rFonts w:cs="Times New Roman"/>
                      <w:color w:val="auto"/>
                      <w:sz w:val="18"/>
                      <w:szCs w:val="18"/>
                    </w:rPr>
                    <w:t>113.840590</w:t>
                  </w:r>
                </w:p>
              </w:tc>
              <w:tc>
                <w:tcPr>
                  <w:tcW w:w="1058" w:type="dxa"/>
                  <w:vAlign w:val="center"/>
                </w:tcPr>
                <w:p>
                  <w:pPr>
                    <w:jc w:val="center"/>
                    <w:rPr>
                      <w:rFonts w:cs="Times New Roman"/>
                      <w:color w:val="auto"/>
                      <w:sz w:val="18"/>
                      <w:szCs w:val="18"/>
                    </w:rPr>
                  </w:pPr>
                  <w:r>
                    <w:rPr>
                      <w:rFonts w:cs="Times New Roman"/>
                      <w:color w:val="auto"/>
                      <w:sz w:val="18"/>
                      <w:szCs w:val="18"/>
                    </w:rPr>
                    <w:t>35.358046</w:t>
                  </w:r>
                </w:p>
              </w:tc>
              <w:tc>
                <w:tcPr>
                  <w:tcW w:w="794" w:type="dxa"/>
                  <w:vAlign w:val="center"/>
                </w:tcPr>
                <w:p>
                  <w:pPr>
                    <w:jc w:val="center"/>
                    <w:rPr>
                      <w:rFonts w:cs="Times New Roman"/>
                      <w:color w:val="auto"/>
                      <w:sz w:val="18"/>
                      <w:szCs w:val="18"/>
                    </w:rPr>
                  </w:pPr>
                  <w:r>
                    <w:rPr>
                      <w:rFonts w:cs="Times New Roman"/>
                      <w:color w:val="auto"/>
                      <w:sz w:val="18"/>
                      <w:szCs w:val="18"/>
                    </w:rPr>
                    <w:t>居民区</w:t>
                  </w:r>
                </w:p>
              </w:tc>
              <w:tc>
                <w:tcPr>
                  <w:tcW w:w="822" w:type="dxa"/>
                  <w:vAlign w:val="center"/>
                </w:tcPr>
                <w:p>
                  <w:pPr>
                    <w:jc w:val="center"/>
                    <w:rPr>
                      <w:rFonts w:cs="Times New Roman"/>
                      <w:color w:val="auto"/>
                      <w:sz w:val="18"/>
                      <w:szCs w:val="18"/>
                    </w:rPr>
                  </w:pPr>
                  <w:r>
                    <w:rPr>
                      <w:rFonts w:cs="Times New Roman"/>
                      <w:color w:val="auto"/>
                      <w:sz w:val="18"/>
                      <w:szCs w:val="18"/>
                    </w:rPr>
                    <w:t>居民区</w:t>
                  </w:r>
                </w:p>
              </w:tc>
              <w:tc>
                <w:tcPr>
                  <w:tcW w:w="1844" w:type="dxa"/>
                  <w:vMerge w:val="continue"/>
                  <w:vAlign w:val="center"/>
                </w:tcPr>
                <w:p>
                  <w:pPr>
                    <w:jc w:val="center"/>
                    <w:rPr>
                      <w:rFonts w:cs="Times New Roman"/>
                      <w:color w:val="auto"/>
                      <w:sz w:val="18"/>
                      <w:szCs w:val="18"/>
                    </w:rPr>
                  </w:pPr>
                </w:p>
              </w:tc>
              <w:tc>
                <w:tcPr>
                  <w:tcW w:w="886" w:type="dxa"/>
                  <w:vAlign w:val="center"/>
                </w:tcPr>
                <w:p>
                  <w:pPr>
                    <w:jc w:val="center"/>
                    <w:rPr>
                      <w:rFonts w:cs="Times New Roman"/>
                      <w:color w:val="auto"/>
                      <w:sz w:val="18"/>
                      <w:szCs w:val="18"/>
                    </w:rPr>
                  </w:pPr>
                  <w:r>
                    <w:rPr>
                      <w:rFonts w:hint="eastAsia" w:cs="Times New Roman"/>
                      <w:color w:val="auto"/>
                      <w:sz w:val="18"/>
                      <w:szCs w:val="18"/>
                    </w:rPr>
                    <w:t>SW</w:t>
                  </w:r>
                </w:p>
              </w:tc>
              <w:tc>
                <w:tcPr>
                  <w:tcW w:w="885" w:type="dxa"/>
                  <w:vAlign w:val="center"/>
                </w:tcPr>
                <w:p>
                  <w:pPr>
                    <w:jc w:val="center"/>
                    <w:rPr>
                      <w:rFonts w:cs="Times New Roman"/>
                      <w:color w:val="auto"/>
                      <w:sz w:val="18"/>
                      <w:szCs w:val="18"/>
                    </w:rPr>
                  </w:pPr>
                  <w:r>
                    <w:rPr>
                      <w:rFonts w:hint="eastAsia" w:cs="Times New Roman"/>
                      <w:color w:val="auto"/>
                      <w:sz w:val="18"/>
                      <w:szCs w:val="18"/>
                    </w:rPr>
                    <w:t>820m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Align w:val="center"/>
                </w:tcPr>
                <w:p>
                  <w:pPr>
                    <w:pStyle w:val="33"/>
                    <w:adjustRightInd/>
                    <w:spacing w:line="240" w:lineRule="auto"/>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中马坊村</w:t>
                  </w:r>
                </w:p>
              </w:tc>
              <w:tc>
                <w:tcPr>
                  <w:tcW w:w="1189" w:type="dxa"/>
                  <w:vAlign w:val="center"/>
                </w:tcPr>
                <w:p>
                  <w:pPr>
                    <w:jc w:val="center"/>
                    <w:rPr>
                      <w:rFonts w:cs="Times New Roman"/>
                      <w:color w:val="auto"/>
                      <w:sz w:val="18"/>
                      <w:szCs w:val="18"/>
                    </w:rPr>
                  </w:pPr>
                  <w:r>
                    <w:rPr>
                      <w:rFonts w:cs="Times New Roman"/>
                      <w:color w:val="auto"/>
                      <w:sz w:val="18"/>
                      <w:szCs w:val="18"/>
                    </w:rPr>
                    <w:t>113.843379</w:t>
                  </w:r>
                </w:p>
              </w:tc>
              <w:tc>
                <w:tcPr>
                  <w:tcW w:w="1058" w:type="dxa"/>
                  <w:vAlign w:val="center"/>
                </w:tcPr>
                <w:p>
                  <w:pPr>
                    <w:jc w:val="center"/>
                    <w:rPr>
                      <w:rFonts w:cs="Times New Roman"/>
                      <w:color w:val="auto"/>
                      <w:sz w:val="18"/>
                      <w:szCs w:val="18"/>
                    </w:rPr>
                  </w:pPr>
                  <w:r>
                    <w:rPr>
                      <w:rFonts w:cs="Times New Roman"/>
                      <w:color w:val="auto"/>
                      <w:sz w:val="18"/>
                      <w:szCs w:val="18"/>
                    </w:rPr>
                    <w:t>35.357836</w:t>
                  </w:r>
                </w:p>
              </w:tc>
              <w:tc>
                <w:tcPr>
                  <w:tcW w:w="794" w:type="dxa"/>
                  <w:vAlign w:val="center"/>
                </w:tcPr>
                <w:p>
                  <w:pPr>
                    <w:jc w:val="center"/>
                    <w:rPr>
                      <w:rFonts w:cs="Times New Roman"/>
                      <w:color w:val="auto"/>
                      <w:sz w:val="18"/>
                      <w:szCs w:val="18"/>
                    </w:rPr>
                  </w:pPr>
                  <w:r>
                    <w:rPr>
                      <w:rFonts w:cs="Times New Roman"/>
                      <w:color w:val="auto"/>
                      <w:sz w:val="18"/>
                      <w:szCs w:val="18"/>
                    </w:rPr>
                    <w:t>居民区</w:t>
                  </w:r>
                </w:p>
              </w:tc>
              <w:tc>
                <w:tcPr>
                  <w:tcW w:w="822" w:type="dxa"/>
                  <w:vAlign w:val="center"/>
                </w:tcPr>
                <w:p>
                  <w:pPr>
                    <w:jc w:val="center"/>
                    <w:rPr>
                      <w:rFonts w:cs="Times New Roman"/>
                      <w:color w:val="auto"/>
                      <w:sz w:val="18"/>
                      <w:szCs w:val="18"/>
                    </w:rPr>
                  </w:pPr>
                  <w:r>
                    <w:rPr>
                      <w:rFonts w:cs="Times New Roman"/>
                      <w:color w:val="auto"/>
                      <w:sz w:val="18"/>
                      <w:szCs w:val="18"/>
                    </w:rPr>
                    <w:t>居民区</w:t>
                  </w:r>
                </w:p>
              </w:tc>
              <w:tc>
                <w:tcPr>
                  <w:tcW w:w="1844" w:type="dxa"/>
                  <w:vMerge w:val="continue"/>
                  <w:vAlign w:val="center"/>
                </w:tcPr>
                <w:p>
                  <w:pPr>
                    <w:jc w:val="center"/>
                    <w:rPr>
                      <w:rFonts w:cs="Times New Roman"/>
                      <w:color w:val="auto"/>
                      <w:sz w:val="18"/>
                      <w:szCs w:val="18"/>
                    </w:rPr>
                  </w:pPr>
                </w:p>
              </w:tc>
              <w:tc>
                <w:tcPr>
                  <w:tcW w:w="886" w:type="dxa"/>
                  <w:vAlign w:val="center"/>
                </w:tcPr>
                <w:p>
                  <w:pPr>
                    <w:jc w:val="center"/>
                    <w:rPr>
                      <w:rFonts w:cs="Times New Roman"/>
                      <w:color w:val="auto"/>
                      <w:sz w:val="18"/>
                      <w:szCs w:val="18"/>
                    </w:rPr>
                  </w:pPr>
                  <w:r>
                    <w:rPr>
                      <w:rFonts w:hint="eastAsia" w:cs="Times New Roman"/>
                      <w:color w:val="auto"/>
                      <w:sz w:val="18"/>
                      <w:szCs w:val="18"/>
                    </w:rPr>
                    <w:t>S</w:t>
                  </w:r>
                </w:p>
              </w:tc>
              <w:tc>
                <w:tcPr>
                  <w:tcW w:w="885" w:type="dxa"/>
                  <w:vAlign w:val="center"/>
                </w:tcPr>
                <w:p>
                  <w:pPr>
                    <w:jc w:val="center"/>
                    <w:rPr>
                      <w:rFonts w:cs="Times New Roman"/>
                      <w:color w:val="auto"/>
                      <w:sz w:val="18"/>
                      <w:szCs w:val="18"/>
                    </w:rPr>
                  </w:pPr>
                  <w:r>
                    <w:rPr>
                      <w:rFonts w:hint="eastAsia" w:cs="Times New Roman"/>
                      <w:color w:val="auto"/>
                      <w:sz w:val="18"/>
                      <w:szCs w:val="18"/>
                    </w:rPr>
                    <w:t>740m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Align w:val="center"/>
                </w:tcPr>
                <w:p>
                  <w:pPr>
                    <w:pStyle w:val="33"/>
                    <w:adjustRightInd/>
                    <w:spacing w:line="240" w:lineRule="auto"/>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东马坊村</w:t>
                  </w:r>
                </w:p>
              </w:tc>
              <w:tc>
                <w:tcPr>
                  <w:tcW w:w="1189" w:type="dxa"/>
                  <w:vAlign w:val="center"/>
                </w:tcPr>
                <w:p>
                  <w:pPr>
                    <w:jc w:val="center"/>
                    <w:rPr>
                      <w:rFonts w:cs="Times New Roman"/>
                      <w:color w:val="auto"/>
                      <w:sz w:val="18"/>
                      <w:szCs w:val="18"/>
                    </w:rPr>
                  </w:pPr>
                  <w:r>
                    <w:rPr>
                      <w:rFonts w:cs="Times New Roman"/>
                      <w:color w:val="auto"/>
                      <w:sz w:val="18"/>
                      <w:szCs w:val="18"/>
                    </w:rPr>
                    <w:t>113.845654</w:t>
                  </w:r>
                </w:p>
              </w:tc>
              <w:tc>
                <w:tcPr>
                  <w:tcW w:w="1058" w:type="dxa"/>
                  <w:vAlign w:val="center"/>
                </w:tcPr>
                <w:p>
                  <w:pPr>
                    <w:jc w:val="center"/>
                    <w:rPr>
                      <w:rFonts w:cs="Times New Roman"/>
                      <w:color w:val="auto"/>
                      <w:sz w:val="18"/>
                      <w:szCs w:val="18"/>
                    </w:rPr>
                  </w:pPr>
                  <w:r>
                    <w:rPr>
                      <w:rFonts w:cs="Times New Roman"/>
                      <w:color w:val="auto"/>
                      <w:sz w:val="18"/>
                      <w:szCs w:val="18"/>
                    </w:rPr>
                    <w:t>35.355911</w:t>
                  </w:r>
                </w:p>
              </w:tc>
              <w:tc>
                <w:tcPr>
                  <w:tcW w:w="794" w:type="dxa"/>
                  <w:vAlign w:val="center"/>
                </w:tcPr>
                <w:p>
                  <w:pPr>
                    <w:jc w:val="center"/>
                    <w:rPr>
                      <w:rFonts w:cs="Times New Roman"/>
                      <w:color w:val="auto"/>
                      <w:sz w:val="18"/>
                      <w:szCs w:val="18"/>
                    </w:rPr>
                  </w:pPr>
                  <w:r>
                    <w:rPr>
                      <w:rFonts w:cs="Times New Roman"/>
                      <w:color w:val="auto"/>
                      <w:sz w:val="18"/>
                      <w:szCs w:val="18"/>
                    </w:rPr>
                    <w:t>居民区</w:t>
                  </w:r>
                </w:p>
              </w:tc>
              <w:tc>
                <w:tcPr>
                  <w:tcW w:w="822" w:type="dxa"/>
                  <w:vAlign w:val="center"/>
                </w:tcPr>
                <w:p>
                  <w:pPr>
                    <w:jc w:val="center"/>
                    <w:rPr>
                      <w:rFonts w:cs="Times New Roman"/>
                      <w:color w:val="auto"/>
                      <w:sz w:val="18"/>
                      <w:szCs w:val="18"/>
                    </w:rPr>
                  </w:pPr>
                  <w:r>
                    <w:rPr>
                      <w:rFonts w:cs="Times New Roman"/>
                      <w:color w:val="auto"/>
                      <w:sz w:val="18"/>
                      <w:szCs w:val="18"/>
                    </w:rPr>
                    <w:t>居民区</w:t>
                  </w:r>
                </w:p>
              </w:tc>
              <w:tc>
                <w:tcPr>
                  <w:tcW w:w="1844" w:type="dxa"/>
                  <w:vMerge w:val="continue"/>
                  <w:vAlign w:val="center"/>
                </w:tcPr>
                <w:p>
                  <w:pPr>
                    <w:jc w:val="center"/>
                    <w:rPr>
                      <w:rFonts w:cs="Times New Roman"/>
                      <w:color w:val="auto"/>
                      <w:sz w:val="18"/>
                      <w:szCs w:val="18"/>
                    </w:rPr>
                  </w:pPr>
                </w:p>
              </w:tc>
              <w:tc>
                <w:tcPr>
                  <w:tcW w:w="886" w:type="dxa"/>
                  <w:vAlign w:val="center"/>
                </w:tcPr>
                <w:p>
                  <w:pPr>
                    <w:jc w:val="center"/>
                    <w:rPr>
                      <w:rFonts w:cs="Times New Roman"/>
                      <w:color w:val="auto"/>
                      <w:sz w:val="18"/>
                      <w:szCs w:val="18"/>
                    </w:rPr>
                  </w:pPr>
                  <w:r>
                    <w:rPr>
                      <w:rFonts w:hint="eastAsia" w:cs="Times New Roman"/>
                      <w:color w:val="auto"/>
                      <w:sz w:val="18"/>
                      <w:szCs w:val="18"/>
                    </w:rPr>
                    <w:t>S</w:t>
                  </w:r>
                </w:p>
              </w:tc>
              <w:tc>
                <w:tcPr>
                  <w:tcW w:w="885" w:type="dxa"/>
                  <w:vAlign w:val="center"/>
                </w:tcPr>
                <w:p>
                  <w:pPr>
                    <w:jc w:val="center"/>
                    <w:rPr>
                      <w:rFonts w:cs="Times New Roman"/>
                      <w:color w:val="auto"/>
                      <w:sz w:val="18"/>
                      <w:szCs w:val="18"/>
                    </w:rPr>
                  </w:pPr>
                  <w:r>
                    <w:rPr>
                      <w:rFonts w:hint="eastAsia" w:cs="Times New Roman"/>
                      <w:color w:val="auto"/>
                      <w:sz w:val="18"/>
                      <w:szCs w:val="18"/>
                    </w:rPr>
                    <w:t>950m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Align w:val="center"/>
                </w:tcPr>
                <w:p>
                  <w:pPr>
                    <w:pStyle w:val="33"/>
                    <w:adjustRightInd/>
                    <w:spacing w:line="240" w:lineRule="auto"/>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民生渠</w:t>
                  </w:r>
                </w:p>
              </w:tc>
              <w:tc>
                <w:tcPr>
                  <w:tcW w:w="1189" w:type="dxa"/>
                  <w:vAlign w:val="center"/>
                </w:tcPr>
                <w:p>
                  <w:pPr>
                    <w:jc w:val="center"/>
                    <w:rPr>
                      <w:rFonts w:cs="Times New Roman"/>
                      <w:color w:val="auto"/>
                      <w:sz w:val="18"/>
                      <w:szCs w:val="18"/>
                    </w:rPr>
                  </w:pPr>
                  <w:r>
                    <w:rPr>
                      <w:rFonts w:cs="Times New Roman"/>
                      <w:color w:val="auto"/>
                      <w:sz w:val="18"/>
                      <w:szCs w:val="18"/>
                    </w:rPr>
                    <w:t>-</w:t>
                  </w:r>
                </w:p>
              </w:tc>
              <w:tc>
                <w:tcPr>
                  <w:tcW w:w="1058" w:type="dxa"/>
                  <w:vAlign w:val="center"/>
                </w:tcPr>
                <w:p>
                  <w:pPr>
                    <w:jc w:val="center"/>
                    <w:rPr>
                      <w:rFonts w:cs="Times New Roman"/>
                      <w:color w:val="auto"/>
                      <w:sz w:val="18"/>
                      <w:szCs w:val="18"/>
                    </w:rPr>
                  </w:pPr>
                  <w:r>
                    <w:rPr>
                      <w:rFonts w:cs="Times New Roman"/>
                      <w:color w:val="auto"/>
                      <w:sz w:val="18"/>
                      <w:szCs w:val="18"/>
                    </w:rPr>
                    <w:t>-</w:t>
                  </w:r>
                </w:p>
              </w:tc>
              <w:tc>
                <w:tcPr>
                  <w:tcW w:w="794" w:type="dxa"/>
                  <w:vAlign w:val="center"/>
                </w:tcPr>
                <w:p>
                  <w:pPr>
                    <w:jc w:val="center"/>
                    <w:rPr>
                      <w:rFonts w:cs="Times New Roman"/>
                      <w:color w:val="auto"/>
                      <w:sz w:val="18"/>
                      <w:szCs w:val="18"/>
                    </w:rPr>
                  </w:pPr>
                  <w:r>
                    <w:rPr>
                      <w:rFonts w:cs="Times New Roman"/>
                      <w:color w:val="auto"/>
                      <w:sz w:val="18"/>
                      <w:szCs w:val="18"/>
                    </w:rPr>
                    <w:t>-</w:t>
                  </w:r>
                </w:p>
              </w:tc>
              <w:tc>
                <w:tcPr>
                  <w:tcW w:w="822" w:type="dxa"/>
                  <w:vAlign w:val="center"/>
                </w:tcPr>
                <w:p>
                  <w:pPr>
                    <w:jc w:val="center"/>
                    <w:rPr>
                      <w:rFonts w:cs="Times New Roman"/>
                      <w:color w:val="auto"/>
                      <w:sz w:val="18"/>
                      <w:szCs w:val="18"/>
                    </w:rPr>
                  </w:pPr>
                  <w:r>
                    <w:rPr>
                      <w:rFonts w:cs="Times New Roman"/>
                      <w:color w:val="auto"/>
                      <w:sz w:val="18"/>
                      <w:szCs w:val="18"/>
                    </w:rPr>
                    <w:t>-</w:t>
                  </w:r>
                </w:p>
              </w:tc>
              <w:tc>
                <w:tcPr>
                  <w:tcW w:w="1844" w:type="dxa"/>
                  <w:vAlign w:val="center"/>
                </w:tcPr>
                <w:p>
                  <w:pPr>
                    <w:jc w:val="center"/>
                    <w:rPr>
                      <w:rFonts w:cs="Times New Roman"/>
                      <w:color w:val="auto"/>
                      <w:sz w:val="18"/>
                      <w:szCs w:val="18"/>
                    </w:rPr>
                  </w:pPr>
                  <w:r>
                    <w:rPr>
                      <w:rFonts w:cs="Times New Roman"/>
                      <w:color w:val="auto"/>
                      <w:sz w:val="18"/>
                      <w:szCs w:val="18"/>
                    </w:rPr>
                    <w:t>《地表水环境质量标准》</w:t>
                  </w:r>
                </w:p>
                <w:p>
                  <w:pPr>
                    <w:jc w:val="center"/>
                    <w:rPr>
                      <w:rFonts w:cs="Times New Roman"/>
                      <w:color w:val="auto"/>
                      <w:sz w:val="18"/>
                      <w:szCs w:val="18"/>
                    </w:rPr>
                  </w:pPr>
                  <w:r>
                    <w:rPr>
                      <w:rFonts w:cs="Times New Roman"/>
                      <w:color w:val="auto"/>
                      <w:sz w:val="18"/>
                      <w:szCs w:val="18"/>
                    </w:rPr>
                    <w:t>（GB3838-2002）V类水体</w:t>
                  </w:r>
                </w:p>
              </w:tc>
              <w:tc>
                <w:tcPr>
                  <w:tcW w:w="886" w:type="dxa"/>
                  <w:vAlign w:val="center"/>
                </w:tcPr>
                <w:p>
                  <w:pPr>
                    <w:jc w:val="center"/>
                    <w:rPr>
                      <w:rFonts w:cs="Times New Roman"/>
                      <w:color w:val="auto"/>
                      <w:sz w:val="18"/>
                      <w:szCs w:val="18"/>
                    </w:rPr>
                  </w:pPr>
                  <w:r>
                    <w:rPr>
                      <w:rFonts w:hint="eastAsia" w:cs="Times New Roman"/>
                      <w:color w:val="auto"/>
                      <w:sz w:val="18"/>
                      <w:szCs w:val="18"/>
                    </w:rPr>
                    <w:t>S</w:t>
                  </w:r>
                </w:p>
              </w:tc>
              <w:tc>
                <w:tcPr>
                  <w:tcW w:w="885" w:type="dxa"/>
                  <w:vAlign w:val="center"/>
                </w:tcPr>
                <w:p>
                  <w:pPr>
                    <w:jc w:val="center"/>
                    <w:rPr>
                      <w:rFonts w:cs="Times New Roman"/>
                      <w:color w:val="auto"/>
                      <w:sz w:val="18"/>
                      <w:szCs w:val="18"/>
                    </w:rPr>
                  </w:pPr>
                  <w:r>
                    <w:rPr>
                      <w:rFonts w:hint="eastAsia" w:cs="Times New Roman"/>
                      <w:color w:val="auto"/>
                      <w:sz w:val="18"/>
                      <w:szCs w:val="18"/>
                    </w:rPr>
                    <w:t>200</w:t>
                  </w:r>
                  <w:r>
                    <w:rPr>
                      <w:rFonts w:cs="Times New Roman"/>
                      <w:color w:val="auto"/>
                      <w:sz w:val="18"/>
                      <w:szCs w:val="18"/>
                    </w:rPr>
                    <w:t>m</w:t>
                  </w:r>
                </w:p>
              </w:tc>
            </w:tr>
          </w:tbl>
          <w:p>
            <w:pPr>
              <w:jc w:val="left"/>
              <w:rPr>
                <w:rFonts w:cs="Times New Roman"/>
                <w:color w:val="auto"/>
              </w:rPr>
            </w:pPr>
          </w:p>
        </w:tc>
      </w:tr>
    </w:tbl>
    <w:p>
      <w:pPr>
        <w:jc w:val="left"/>
        <w:rPr>
          <w:rFonts w:eastAsia="黑体" w:cs="Times New Roman"/>
          <w:color w:val="auto"/>
          <w:sz w:val="30"/>
        </w:rPr>
      </w:pPr>
      <w:r>
        <w:rPr>
          <w:rFonts w:cs="Times New Roman"/>
          <w:b/>
          <w:color w:val="auto"/>
          <w:sz w:val="30"/>
        </w:rPr>
        <w:br w:type="page"/>
      </w:r>
      <w:r>
        <w:rPr>
          <w:rFonts w:eastAsia="黑体" w:cs="Times New Roman"/>
          <w:color w:val="auto"/>
          <w:sz w:val="30"/>
        </w:rPr>
        <w:t>评价适用标准</w:t>
      </w:r>
    </w:p>
    <w:tbl>
      <w:tblPr>
        <w:tblStyle w:val="26"/>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8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jc w:val="center"/>
              <w:rPr>
                <w:rFonts w:cs="Times New Roman"/>
                <w:b/>
                <w:color w:val="auto"/>
                <w:sz w:val="21"/>
                <w:szCs w:val="21"/>
              </w:rPr>
            </w:pPr>
            <w:r>
              <w:rPr>
                <w:rFonts w:cs="Times New Roman"/>
                <w:b/>
                <w:color w:val="auto"/>
                <w:sz w:val="21"/>
                <w:szCs w:val="21"/>
              </w:rPr>
              <w:t>环境质量标准</w:t>
            </w:r>
          </w:p>
        </w:tc>
        <w:tc>
          <w:tcPr>
            <w:tcW w:w="8369" w:type="dxa"/>
            <w:vAlign w:val="center"/>
          </w:tcPr>
          <w:tbl>
            <w:tblPr>
              <w:tblStyle w:val="26"/>
              <w:tblW w:w="81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705"/>
              <w:gridCol w:w="1295"/>
              <w:gridCol w:w="30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Align w:val="center"/>
                </w:tcPr>
                <w:p>
                  <w:pPr>
                    <w:jc w:val="center"/>
                    <w:rPr>
                      <w:rFonts w:cs="Times New Roman"/>
                      <w:color w:val="auto"/>
                      <w:sz w:val="21"/>
                      <w:szCs w:val="21"/>
                    </w:rPr>
                  </w:pPr>
                  <w:r>
                    <w:rPr>
                      <w:rFonts w:cs="Times New Roman"/>
                      <w:color w:val="auto"/>
                      <w:sz w:val="21"/>
                      <w:szCs w:val="21"/>
                    </w:rPr>
                    <w:t>评价标准及级别</w:t>
                  </w:r>
                </w:p>
              </w:tc>
              <w:tc>
                <w:tcPr>
                  <w:tcW w:w="2000" w:type="dxa"/>
                  <w:gridSpan w:val="2"/>
                  <w:vAlign w:val="center"/>
                </w:tcPr>
                <w:p>
                  <w:pPr>
                    <w:jc w:val="center"/>
                    <w:rPr>
                      <w:rFonts w:cs="Times New Roman"/>
                      <w:color w:val="auto"/>
                      <w:sz w:val="21"/>
                      <w:szCs w:val="21"/>
                    </w:rPr>
                  </w:pPr>
                  <w:r>
                    <w:rPr>
                      <w:rFonts w:cs="Times New Roman"/>
                      <w:color w:val="auto"/>
                      <w:sz w:val="21"/>
                      <w:szCs w:val="21"/>
                    </w:rPr>
                    <w:t>项目</w:t>
                  </w:r>
                </w:p>
              </w:tc>
              <w:tc>
                <w:tcPr>
                  <w:tcW w:w="3088" w:type="dxa"/>
                  <w:vAlign w:val="center"/>
                </w:tcPr>
                <w:p>
                  <w:pPr>
                    <w:jc w:val="center"/>
                    <w:rPr>
                      <w:rFonts w:cs="Times New Roman"/>
                      <w:color w:val="auto"/>
                      <w:sz w:val="21"/>
                      <w:szCs w:val="21"/>
                    </w:rPr>
                  </w:pPr>
                  <w:r>
                    <w:rPr>
                      <w:rFonts w:cs="Times New Roman"/>
                      <w:color w:val="auto"/>
                      <w:sz w:val="21"/>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restart"/>
                  <w:vAlign w:val="center"/>
                </w:tcPr>
                <w:p>
                  <w:pPr>
                    <w:tabs>
                      <w:tab w:val="left" w:pos="600"/>
                    </w:tabs>
                    <w:jc w:val="center"/>
                    <w:rPr>
                      <w:rFonts w:cs="Times New Roman"/>
                      <w:color w:val="auto"/>
                      <w:sz w:val="21"/>
                      <w:szCs w:val="21"/>
                    </w:rPr>
                  </w:pPr>
                  <w:r>
                    <w:rPr>
                      <w:rFonts w:cs="Times New Roman"/>
                      <w:color w:val="auto"/>
                      <w:sz w:val="21"/>
                      <w:szCs w:val="21"/>
                    </w:rPr>
                    <w:t>《环境空气质量标准》</w:t>
                  </w:r>
                </w:p>
                <w:p>
                  <w:pPr>
                    <w:jc w:val="center"/>
                    <w:rPr>
                      <w:rFonts w:cs="Times New Roman"/>
                      <w:color w:val="auto"/>
                      <w:sz w:val="21"/>
                      <w:szCs w:val="21"/>
                    </w:rPr>
                  </w:pPr>
                  <w:r>
                    <w:rPr>
                      <w:rFonts w:cs="Times New Roman"/>
                      <w:color w:val="auto"/>
                      <w:sz w:val="21"/>
                      <w:szCs w:val="21"/>
                    </w:rPr>
                    <w:t>（GB3095-2012）二级</w:t>
                  </w:r>
                </w:p>
              </w:tc>
              <w:tc>
                <w:tcPr>
                  <w:tcW w:w="2000" w:type="dxa"/>
                  <w:gridSpan w:val="2"/>
                  <w:vMerge w:val="restart"/>
                  <w:vAlign w:val="center"/>
                </w:tcPr>
                <w:p>
                  <w:pPr>
                    <w:jc w:val="center"/>
                    <w:rPr>
                      <w:rFonts w:cs="Times New Roman"/>
                      <w:color w:val="auto"/>
                      <w:sz w:val="21"/>
                      <w:szCs w:val="21"/>
                    </w:rPr>
                  </w:pPr>
                  <w:r>
                    <w:rPr>
                      <w:rFonts w:cs="Times New Roman"/>
                      <w:color w:val="auto"/>
                      <w:sz w:val="21"/>
                      <w:szCs w:val="21"/>
                    </w:rPr>
                    <w:t>SO</w:t>
                  </w:r>
                  <w:r>
                    <w:rPr>
                      <w:rFonts w:cs="Times New Roman"/>
                      <w:color w:val="auto"/>
                      <w:sz w:val="21"/>
                      <w:szCs w:val="21"/>
                      <w:vertAlign w:val="subscript"/>
                    </w:rPr>
                    <w:t>2</w:t>
                  </w:r>
                </w:p>
              </w:tc>
              <w:tc>
                <w:tcPr>
                  <w:tcW w:w="3088" w:type="dxa"/>
                  <w:vAlign w:val="center"/>
                </w:tcPr>
                <w:p>
                  <w:pPr>
                    <w:jc w:val="center"/>
                    <w:rPr>
                      <w:rFonts w:cs="Times New Roman"/>
                      <w:color w:val="auto"/>
                      <w:sz w:val="21"/>
                      <w:szCs w:val="21"/>
                    </w:rPr>
                  </w:pPr>
                  <w:r>
                    <w:rPr>
                      <w:rFonts w:cs="Times New Roman"/>
                      <w:color w:val="auto"/>
                      <w:sz w:val="21"/>
                      <w:szCs w:val="21"/>
                    </w:rPr>
                    <w:t>年平均：60μg/m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24小时平均：150μg/m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1小时平均：500μg/m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restart"/>
                  <w:vAlign w:val="center"/>
                </w:tcPr>
                <w:p>
                  <w:pPr>
                    <w:jc w:val="center"/>
                    <w:rPr>
                      <w:rFonts w:cs="Times New Roman"/>
                      <w:color w:val="auto"/>
                      <w:sz w:val="21"/>
                      <w:szCs w:val="21"/>
                    </w:rPr>
                  </w:pPr>
                  <w:r>
                    <w:rPr>
                      <w:rFonts w:cs="Times New Roman"/>
                      <w:color w:val="auto"/>
                      <w:sz w:val="21"/>
                      <w:szCs w:val="21"/>
                    </w:rPr>
                    <w:t>NO</w:t>
                  </w:r>
                  <w:r>
                    <w:rPr>
                      <w:rFonts w:cs="Times New Roman"/>
                      <w:color w:val="auto"/>
                      <w:sz w:val="21"/>
                      <w:szCs w:val="21"/>
                      <w:vertAlign w:val="subscript"/>
                    </w:rPr>
                    <w:t>2</w:t>
                  </w:r>
                </w:p>
              </w:tc>
              <w:tc>
                <w:tcPr>
                  <w:tcW w:w="3088" w:type="dxa"/>
                  <w:vAlign w:val="center"/>
                </w:tcPr>
                <w:p>
                  <w:pPr>
                    <w:jc w:val="center"/>
                    <w:rPr>
                      <w:rFonts w:cs="Times New Roman"/>
                      <w:color w:val="auto"/>
                      <w:sz w:val="21"/>
                      <w:szCs w:val="21"/>
                    </w:rPr>
                  </w:pPr>
                  <w:r>
                    <w:rPr>
                      <w:rFonts w:cs="Times New Roman"/>
                      <w:color w:val="auto"/>
                      <w:sz w:val="21"/>
                      <w:szCs w:val="21"/>
                    </w:rPr>
                    <w:t>年平均：40μg/m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24小时平均：80μg/m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1小时平均：200μg/m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restart"/>
                  <w:vAlign w:val="center"/>
                </w:tcPr>
                <w:p>
                  <w:pPr>
                    <w:jc w:val="center"/>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10</w:t>
                  </w:r>
                </w:p>
              </w:tc>
              <w:tc>
                <w:tcPr>
                  <w:tcW w:w="3088" w:type="dxa"/>
                  <w:vAlign w:val="center"/>
                </w:tcPr>
                <w:p>
                  <w:pPr>
                    <w:jc w:val="center"/>
                    <w:rPr>
                      <w:rFonts w:cs="Times New Roman"/>
                      <w:color w:val="auto"/>
                      <w:sz w:val="21"/>
                      <w:szCs w:val="21"/>
                    </w:rPr>
                  </w:pPr>
                  <w:r>
                    <w:rPr>
                      <w:rFonts w:cs="Times New Roman"/>
                      <w:color w:val="auto"/>
                      <w:sz w:val="21"/>
                      <w:szCs w:val="21"/>
                    </w:rPr>
                    <w:t>年平均：70μg/m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24小时均值：150μg/m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restart"/>
                  <w:vAlign w:val="center"/>
                </w:tcPr>
                <w:p>
                  <w:pPr>
                    <w:jc w:val="center"/>
                    <w:rPr>
                      <w:rFonts w:cs="Times New Roman"/>
                      <w:color w:val="auto"/>
                      <w:sz w:val="21"/>
                      <w:szCs w:val="21"/>
                    </w:rPr>
                  </w:pPr>
                  <w:r>
                    <w:rPr>
                      <w:rFonts w:cs="Times New Roman"/>
                      <w:color w:val="auto"/>
                      <w:sz w:val="21"/>
                      <w:szCs w:val="21"/>
                    </w:rPr>
                    <w:t>PM</w:t>
                  </w:r>
                  <w:r>
                    <w:rPr>
                      <w:rFonts w:cs="Times New Roman"/>
                      <w:color w:val="auto"/>
                      <w:sz w:val="21"/>
                      <w:szCs w:val="21"/>
                      <w:vertAlign w:val="subscript"/>
                    </w:rPr>
                    <w:t>2.5</w:t>
                  </w:r>
                </w:p>
              </w:tc>
              <w:tc>
                <w:tcPr>
                  <w:tcW w:w="3088" w:type="dxa"/>
                  <w:vAlign w:val="center"/>
                </w:tcPr>
                <w:p>
                  <w:pPr>
                    <w:jc w:val="center"/>
                    <w:rPr>
                      <w:rFonts w:cs="Times New Roman"/>
                      <w:color w:val="auto"/>
                      <w:sz w:val="21"/>
                      <w:szCs w:val="21"/>
                    </w:rPr>
                  </w:pPr>
                  <w:r>
                    <w:rPr>
                      <w:rFonts w:cs="Times New Roman"/>
                      <w:color w:val="auto"/>
                      <w:sz w:val="21"/>
                      <w:szCs w:val="21"/>
                    </w:rPr>
                    <w:t>年平均：35μg/m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24小时均值：75μg/m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restart"/>
                  <w:vAlign w:val="center"/>
                </w:tcPr>
                <w:p>
                  <w:pPr>
                    <w:jc w:val="center"/>
                    <w:rPr>
                      <w:rFonts w:cs="Times New Roman"/>
                      <w:color w:val="auto"/>
                      <w:sz w:val="21"/>
                      <w:szCs w:val="21"/>
                    </w:rPr>
                  </w:pPr>
                  <w:r>
                    <w:rPr>
                      <w:rFonts w:cs="Times New Roman"/>
                      <w:color w:val="auto"/>
                      <w:sz w:val="21"/>
                      <w:szCs w:val="21"/>
                    </w:rPr>
                    <w:t>O</w:t>
                  </w:r>
                  <w:r>
                    <w:rPr>
                      <w:rFonts w:cs="Times New Roman"/>
                      <w:color w:val="auto"/>
                      <w:sz w:val="21"/>
                      <w:szCs w:val="21"/>
                      <w:vertAlign w:val="subscript"/>
                    </w:rPr>
                    <w:t>3</w:t>
                  </w:r>
                </w:p>
              </w:tc>
              <w:tc>
                <w:tcPr>
                  <w:tcW w:w="3088" w:type="dxa"/>
                  <w:vAlign w:val="center"/>
                </w:tcPr>
                <w:p>
                  <w:pPr>
                    <w:jc w:val="center"/>
                    <w:rPr>
                      <w:rFonts w:cs="Times New Roman"/>
                      <w:color w:val="auto"/>
                      <w:sz w:val="21"/>
                      <w:szCs w:val="21"/>
                    </w:rPr>
                  </w:pPr>
                  <w:r>
                    <w:rPr>
                      <w:rFonts w:cs="Times New Roman"/>
                      <w:color w:val="auto"/>
                      <w:sz w:val="21"/>
                      <w:szCs w:val="21"/>
                    </w:rPr>
                    <w:t>日最大8小时平均：160μg/m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1小时平均：200μg/m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restart"/>
                  <w:vAlign w:val="center"/>
                </w:tcPr>
                <w:p>
                  <w:pPr>
                    <w:jc w:val="center"/>
                    <w:rPr>
                      <w:rFonts w:cs="Times New Roman"/>
                      <w:color w:val="auto"/>
                      <w:sz w:val="21"/>
                      <w:szCs w:val="21"/>
                    </w:rPr>
                  </w:pPr>
                  <w:r>
                    <w:rPr>
                      <w:rFonts w:cs="Times New Roman"/>
                      <w:color w:val="auto"/>
                      <w:sz w:val="21"/>
                      <w:szCs w:val="21"/>
                    </w:rPr>
                    <w:t>CO</w:t>
                  </w:r>
                </w:p>
              </w:tc>
              <w:tc>
                <w:tcPr>
                  <w:tcW w:w="3088" w:type="dxa"/>
                  <w:vAlign w:val="center"/>
                </w:tcPr>
                <w:p>
                  <w:pPr>
                    <w:jc w:val="center"/>
                    <w:rPr>
                      <w:rFonts w:cs="Times New Roman"/>
                      <w:color w:val="auto"/>
                      <w:sz w:val="21"/>
                      <w:szCs w:val="21"/>
                    </w:rPr>
                  </w:pPr>
                  <w:r>
                    <w:rPr>
                      <w:rFonts w:cs="Times New Roman"/>
                      <w:color w:val="auto"/>
                      <w:sz w:val="21"/>
                      <w:szCs w:val="21"/>
                    </w:rPr>
                    <w:t>24小时平均：4mg/m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Merge w:val="continue"/>
                  <w:vAlign w:val="center"/>
                </w:tcPr>
                <w:p>
                  <w:pPr>
                    <w:jc w:val="center"/>
                    <w:rPr>
                      <w:rFonts w:cs="Times New Roman"/>
                      <w:color w:val="auto"/>
                      <w:sz w:val="21"/>
                      <w:szCs w:val="21"/>
                    </w:rPr>
                  </w:pPr>
                </w:p>
              </w:tc>
              <w:tc>
                <w:tcPr>
                  <w:tcW w:w="3088" w:type="dxa"/>
                  <w:vAlign w:val="center"/>
                </w:tcPr>
                <w:p>
                  <w:pPr>
                    <w:jc w:val="center"/>
                    <w:rPr>
                      <w:rFonts w:cs="Times New Roman"/>
                      <w:color w:val="auto"/>
                      <w:sz w:val="21"/>
                      <w:szCs w:val="21"/>
                    </w:rPr>
                  </w:pPr>
                  <w:r>
                    <w:rPr>
                      <w:rFonts w:cs="Times New Roman"/>
                      <w:color w:val="auto"/>
                      <w:sz w:val="21"/>
                      <w:szCs w:val="21"/>
                    </w:rPr>
                    <w:t>1小时平均：10mg/m</w:t>
                  </w:r>
                  <w:r>
                    <w:rPr>
                      <w:rFonts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restart"/>
                  <w:vAlign w:val="center"/>
                </w:tcPr>
                <w:p>
                  <w:pPr>
                    <w:jc w:val="center"/>
                    <w:rPr>
                      <w:rFonts w:cs="Times New Roman"/>
                      <w:color w:val="auto"/>
                      <w:sz w:val="21"/>
                      <w:szCs w:val="21"/>
                    </w:rPr>
                  </w:pPr>
                  <w:r>
                    <w:rPr>
                      <w:rFonts w:cs="Times New Roman"/>
                      <w:color w:val="auto"/>
                      <w:sz w:val="21"/>
                      <w:szCs w:val="21"/>
                    </w:rPr>
                    <w:t>《地表水环境质量标准》</w:t>
                  </w:r>
                </w:p>
                <w:p>
                  <w:pPr>
                    <w:jc w:val="center"/>
                    <w:rPr>
                      <w:rFonts w:cs="Times New Roman"/>
                      <w:color w:val="auto"/>
                      <w:sz w:val="21"/>
                      <w:szCs w:val="21"/>
                    </w:rPr>
                  </w:pPr>
                  <w:r>
                    <w:rPr>
                      <w:rFonts w:cs="Times New Roman"/>
                      <w:color w:val="auto"/>
                      <w:sz w:val="21"/>
                      <w:szCs w:val="21"/>
                    </w:rPr>
                    <w:t>（GB3838-2002）V类</w:t>
                  </w:r>
                </w:p>
              </w:tc>
              <w:tc>
                <w:tcPr>
                  <w:tcW w:w="2000" w:type="dxa"/>
                  <w:gridSpan w:val="2"/>
                  <w:vAlign w:val="center"/>
                </w:tcPr>
                <w:p>
                  <w:pPr>
                    <w:jc w:val="center"/>
                    <w:rPr>
                      <w:rFonts w:cs="Times New Roman"/>
                      <w:color w:val="auto"/>
                      <w:sz w:val="21"/>
                      <w:szCs w:val="21"/>
                    </w:rPr>
                  </w:pPr>
                  <w:r>
                    <w:rPr>
                      <w:rFonts w:cs="Times New Roman"/>
                      <w:color w:val="auto"/>
                      <w:sz w:val="21"/>
                      <w:szCs w:val="21"/>
                    </w:rPr>
                    <w:t>COD</w:t>
                  </w:r>
                </w:p>
              </w:tc>
              <w:tc>
                <w:tcPr>
                  <w:tcW w:w="3088" w:type="dxa"/>
                  <w:vAlign w:val="center"/>
                </w:tcPr>
                <w:p>
                  <w:pPr>
                    <w:jc w:val="center"/>
                    <w:rPr>
                      <w:rFonts w:cs="Times New Roman"/>
                      <w:color w:val="auto"/>
                      <w:sz w:val="21"/>
                      <w:szCs w:val="21"/>
                    </w:rPr>
                  </w:pPr>
                  <w:r>
                    <w:rPr>
                      <w:rFonts w:cs="Times New Roman"/>
                      <w:color w:val="auto"/>
                      <w:sz w:val="21"/>
                      <w:szCs w:val="21"/>
                    </w:rPr>
                    <w:t>40mg/L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color w:val="auto"/>
                      <w:sz w:val="21"/>
                      <w:szCs w:val="21"/>
                    </w:rPr>
                  </w:pPr>
                  <w:r>
                    <w:rPr>
                      <w:rFonts w:cs="Times New Roman"/>
                      <w:color w:val="auto"/>
                      <w:sz w:val="21"/>
                      <w:szCs w:val="21"/>
                    </w:rPr>
                    <w:t>氨氮</w:t>
                  </w:r>
                </w:p>
              </w:tc>
              <w:tc>
                <w:tcPr>
                  <w:tcW w:w="3088" w:type="dxa"/>
                  <w:vAlign w:val="center"/>
                </w:tcPr>
                <w:p>
                  <w:pPr>
                    <w:tabs>
                      <w:tab w:val="left" w:pos="600"/>
                    </w:tabs>
                    <w:jc w:val="center"/>
                    <w:rPr>
                      <w:rFonts w:cs="Times New Roman"/>
                      <w:color w:val="auto"/>
                      <w:sz w:val="21"/>
                      <w:szCs w:val="21"/>
                    </w:rPr>
                  </w:pPr>
                  <w:r>
                    <w:rPr>
                      <w:rFonts w:cs="Times New Roman"/>
                      <w:color w:val="auto"/>
                      <w:sz w:val="21"/>
                      <w:szCs w:val="21"/>
                    </w:rPr>
                    <w:t>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color w:val="auto"/>
                      <w:sz w:val="21"/>
                      <w:szCs w:val="21"/>
                    </w:rPr>
                  </w:pPr>
                  <w:r>
                    <w:rPr>
                      <w:rFonts w:cs="Times New Roman"/>
                      <w:color w:val="auto"/>
                      <w:sz w:val="21"/>
                      <w:szCs w:val="21"/>
                    </w:rPr>
                    <w:t>总磷</w:t>
                  </w:r>
                </w:p>
              </w:tc>
              <w:tc>
                <w:tcPr>
                  <w:tcW w:w="3088" w:type="dxa"/>
                  <w:vAlign w:val="center"/>
                </w:tcPr>
                <w:p>
                  <w:pPr>
                    <w:tabs>
                      <w:tab w:val="left" w:pos="600"/>
                    </w:tabs>
                    <w:jc w:val="center"/>
                    <w:rPr>
                      <w:rFonts w:cs="Times New Roman"/>
                      <w:color w:val="auto"/>
                      <w:sz w:val="21"/>
                      <w:szCs w:val="21"/>
                    </w:rPr>
                  </w:pPr>
                  <w:r>
                    <w:rPr>
                      <w:rFonts w:cs="Times New Roman"/>
                      <w:color w:val="auto"/>
                      <w:sz w:val="21"/>
                      <w:szCs w:val="21"/>
                    </w:rPr>
                    <w:t>0.4mg/L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restart"/>
                  <w:vAlign w:val="center"/>
                </w:tcPr>
                <w:p>
                  <w:pPr>
                    <w:jc w:val="center"/>
                    <w:rPr>
                      <w:rFonts w:cs="Times New Roman"/>
                      <w:color w:val="auto"/>
                      <w:sz w:val="21"/>
                      <w:szCs w:val="21"/>
                    </w:rPr>
                  </w:pPr>
                  <w:r>
                    <w:rPr>
                      <w:rFonts w:cs="Times New Roman"/>
                      <w:color w:val="auto"/>
                      <w:sz w:val="21"/>
                      <w:szCs w:val="21"/>
                    </w:rPr>
                    <w:t>《声环境质量标准》</w:t>
                  </w:r>
                </w:p>
                <w:p>
                  <w:pPr>
                    <w:jc w:val="center"/>
                    <w:rPr>
                      <w:rFonts w:cs="Times New Roman"/>
                      <w:color w:val="auto"/>
                      <w:sz w:val="21"/>
                      <w:szCs w:val="21"/>
                    </w:rPr>
                  </w:pPr>
                  <w:r>
                    <w:rPr>
                      <w:rFonts w:cs="Times New Roman"/>
                      <w:color w:val="auto"/>
                      <w:sz w:val="21"/>
                      <w:szCs w:val="21"/>
                    </w:rPr>
                    <w:t>（GB3096-2008）2类</w:t>
                  </w:r>
                </w:p>
              </w:tc>
              <w:tc>
                <w:tcPr>
                  <w:tcW w:w="705" w:type="dxa"/>
                  <w:vMerge w:val="restart"/>
                  <w:vAlign w:val="center"/>
                </w:tcPr>
                <w:p>
                  <w:pPr>
                    <w:jc w:val="center"/>
                    <w:rPr>
                      <w:rFonts w:cs="Times New Roman"/>
                      <w:color w:val="auto"/>
                      <w:sz w:val="21"/>
                      <w:szCs w:val="21"/>
                    </w:rPr>
                  </w:pPr>
                  <w:r>
                    <w:rPr>
                      <w:rFonts w:cs="Times New Roman"/>
                      <w:color w:val="auto"/>
                      <w:sz w:val="21"/>
                      <w:szCs w:val="21"/>
                    </w:rPr>
                    <w:t>等效</w:t>
                  </w:r>
                </w:p>
                <w:p>
                  <w:pPr>
                    <w:jc w:val="center"/>
                    <w:rPr>
                      <w:rFonts w:cs="Times New Roman"/>
                      <w:color w:val="auto"/>
                      <w:sz w:val="21"/>
                      <w:szCs w:val="21"/>
                    </w:rPr>
                  </w:pPr>
                  <w:r>
                    <w:rPr>
                      <w:rFonts w:cs="Times New Roman"/>
                      <w:color w:val="auto"/>
                      <w:sz w:val="21"/>
                      <w:szCs w:val="21"/>
                    </w:rPr>
                    <w:t>声级</w:t>
                  </w:r>
                </w:p>
              </w:tc>
              <w:tc>
                <w:tcPr>
                  <w:tcW w:w="1295" w:type="dxa"/>
                  <w:vAlign w:val="center"/>
                </w:tcPr>
                <w:p>
                  <w:pPr>
                    <w:jc w:val="center"/>
                    <w:rPr>
                      <w:rFonts w:cs="Times New Roman"/>
                      <w:color w:val="auto"/>
                      <w:sz w:val="21"/>
                      <w:szCs w:val="21"/>
                    </w:rPr>
                  </w:pPr>
                  <w:r>
                    <w:rPr>
                      <w:rFonts w:cs="Times New Roman"/>
                      <w:color w:val="auto"/>
                      <w:sz w:val="21"/>
                      <w:szCs w:val="21"/>
                    </w:rPr>
                    <w:t>昼间</w:t>
                  </w:r>
                </w:p>
              </w:tc>
              <w:tc>
                <w:tcPr>
                  <w:tcW w:w="3088" w:type="dxa"/>
                  <w:vAlign w:val="center"/>
                </w:tcPr>
                <w:p>
                  <w:pPr>
                    <w:tabs>
                      <w:tab w:val="left" w:pos="600"/>
                    </w:tabs>
                    <w:jc w:val="center"/>
                    <w:rPr>
                      <w:rFonts w:cs="Times New Roman"/>
                      <w:color w:val="auto"/>
                      <w:sz w:val="21"/>
                      <w:szCs w:val="21"/>
                    </w:rPr>
                  </w:pPr>
                  <w:r>
                    <w:rPr>
                      <w:rFonts w:cs="Times New Roman"/>
                      <w:color w:val="auto"/>
                      <w:sz w:val="21"/>
                      <w:szCs w:val="21"/>
                    </w:rPr>
                    <w:t>60dB(A)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705" w:type="dxa"/>
                  <w:vMerge w:val="continue"/>
                  <w:vAlign w:val="center"/>
                </w:tcPr>
                <w:p>
                  <w:pPr>
                    <w:jc w:val="center"/>
                    <w:rPr>
                      <w:rFonts w:cs="Times New Roman"/>
                      <w:color w:val="auto"/>
                      <w:sz w:val="21"/>
                      <w:szCs w:val="21"/>
                    </w:rPr>
                  </w:pPr>
                </w:p>
              </w:tc>
              <w:tc>
                <w:tcPr>
                  <w:tcW w:w="1295" w:type="dxa"/>
                  <w:vAlign w:val="center"/>
                </w:tcPr>
                <w:p>
                  <w:pPr>
                    <w:jc w:val="center"/>
                    <w:rPr>
                      <w:rFonts w:cs="Times New Roman"/>
                      <w:color w:val="auto"/>
                      <w:sz w:val="21"/>
                      <w:szCs w:val="21"/>
                    </w:rPr>
                  </w:pPr>
                  <w:r>
                    <w:rPr>
                      <w:rFonts w:cs="Times New Roman"/>
                      <w:color w:val="auto"/>
                      <w:sz w:val="21"/>
                      <w:szCs w:val="21"/>
                    </w:rPr>
                    <w:t>夜间</w:t>
                  </w:r>
                </w:p>
              </w:tc>
              <w:tc>
                <w:tcPr>
                  <w:tcW w:w="3088" w:type="dxa"/>
                  <w:vAlign w:val="center"/>
                </w:tcPr>
                <w:p>
                  <w:pPr>
                    <w:tabs>
                      <w:tab w:val="left" w:pos="600"/>
                    </w:tabs>
                    <w:jc w:val="center"/>
                    <w:rPr>
                      <w:rFonts w:cs="Times New Roman"/>
                      <w:color w:val="auto"/>
                      <w:sz w:val="21"/>
                      <w:szCs w:val="21"/>
                    </w:rPr>
                  </w:pPr>
                  <w:r>
                    <w:rPr>
                      <w:rFonts w:cs="Times New Roman"/>
                      <w:color w:val="auto"/>
                      <w:sz w:val="21"/>
                      <w:szCs w:val="21"/>
                    </w:rPr>
                    <w:t>50dB(A)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restart"/>
                  <w:vAlign w:val="center"/>
                </w:tcPr>
                <w:p>
                  <w:pPr>
                    <w:jc w:val="center"/>
                    <w:rPr>
                      <w:rFonts w:cs="Times New Roman"/>
                      <w:color w:val="auto"/>
                      <w:sz w:val="21"/>
                      <w:szCs w:val="21"/>
                    </w:rPr>
                  </w:pPr>
                  <w:r>
                    <w:rPr>
                      <w:rFonts w:hint="eastAsia"/>
                      <w:sz w:val="21"/>
                      <w:szCs w:val="21"/>
                    </w:rPr>
                    <w:t>《土壤环境质量 建设用地土壤污染风险管控标准》（试行）（GB36600-2018）</w:t>
                  </w: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60mg/kg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镉</w:t>
                  </w:r>
                </w:p>
              </w:tc>
              <w:tc>
                <w:tcPr>
                  <w:tcW w:w="3088" w:type="dxa"/>
                  <w:vAlign w:val="center"/>
                </w:tcPr>
                <w:p>
                  <w:pPr>
                    <w:jc w:val="center"/>
                    <w:rPr>
                      <w:rFonts w:cs="Times New Roman"/>
                      <w:b/>
                      <w:bCs/>
                      <w:color w:val="auto"/>
                      <w:sz w:val="21"/>
                      <w:szCs w:val="21"/>
                      <w:u w:val="single"/>
                    </w:rPr>
                  </w:pPr>
                  <w:r>
                    <w:rPr>
                      <w:rFonts w:hint="eastAsia"/>
                      <w:b/>
                      <w:bCs/>
                      <w:sz w:val="21"/>
                      <w:szCs w:val="21"/>
                      <w:u w:val="single"/>
                    </w:rPr>
                    <w:t>65mg/kg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铬（六价）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5.7mg/kg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铜</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18000mg/kg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铅</w:t>
                  </w:r>
                </w:p>
              </w:tc>
              <w:tc>
                <w:tcPr>
                  <w:tcW w:w="3088" w:type="dxa"/>
                  <w:vAlign w:val="center"/>
                </w:tcPr>
                <w:p>
                  <w:pPr>
                    <w:jc w:val="center"/>
                    <w:rPr>
                      <w:rFonts w:cs="Times New Roman"/>
                      <w:b/>
                      <w:bCs/>
                      <w:color w:val="auto"/>
                      <w:sz w:val="21"/>
                      <w:szCs w:val="21"/>
                      <w:u w:val="single"/>
                    </w:rPr>
                  </w:pPr>
                  <w:r>
                    <w:rPr>
                      <w:rFonts w:hint="eastAsia"/>
                      <w:b/>
                      <w:bCs/>
                      <w:sz w:val="21"/>
                      <w:szCs w:val="21"/>
                      <w:u w:val="single"/>
                    </w:rPr>
                    <w:t>800mg/kg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汞</w:t>
                  </w:r>
                </w:p>
              </w:tc>
              <w:tc>
                <w:tcPr>
                  <w:tcW w:w="3088" w:type="dxa"/>
                  <w:vAlign w:val="center"/>
                </w:tcPr>
                <w:p>
                  <w:pPr>
                    <w:jc w:val="center"/>
                    <w:rPr>
                      <w:rFonts w:cs="Times New Roman"/>
                      <w:b/>
                      <w:bCs/>
                      <w:color w:val="auto"/>
                      <w:sz w:val="21"/>
                      <w:szCs w:val="21"/>
                      <w:u w:val="single"/>
                    </w:rPr>
                  </w:pPr>
                  <w:r>
                    <w:rPr>
                      <w:rFonts w:hint="eastAsia"/>
                      <w:b/>
                      <w:bCs/>
                      <w:sz w:val="21"/>
                      <w:szCs w:val="21"/>
                      <w:u w:val="single"/>
                    </w:rPr>
                    <w:t>38mg/kg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镍</w:t>
                  </w:r>
                </w:p>
              </w:tc>
              <w:tc>
                <w:tcPr>
                  <w:tcW w:w="3088" w:type="dxa"/>
                  <w:vAlign w:val="center"/>
                </w:tcPr>
                <w:p>
                  <w:pPr>
                    <w:jc w:val="center"/>
                    <w:rPr>
                      <w:rFonts w:cs="Times New Roman"/>
                      <w:b/>
                      <w:bCs/>
                      <w:color w:val="auto"/>
                      <w:sz w:val="21"/>
                      <w:szCs w:val="21"/>
                      <w:u w:val="single"/>
                    </w:rPr>
                  </w:pPr>
                  <w:r>
                    <w:rPr>
                      <w:rFonts w:hint="eastAsia"/>
                      <w:b/>
                      <w:bCs/>
                      <w:sz w:val="21"/>
                      <w:szCs w:val="21"/>
                      <w:u w:val="single"/>
                    </w:rPr>
                    <w:t>900mg/kg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四氯化碳</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2.8mg/kg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氯仿</w:t>
                  </w:r>
                </w:p>
              </w:tc>
              <w:tc>
                <w:tcPr>
                  <w:tcW w:w="3088" w:type="dxa"/>
                  <w:vAlign w:val="center"/>
                </w:tcPr>
                <w:p>
                  <w:pPr>
                    <w:jc w:val="center"/>
                    <w:rPr>
                      <w:rFonts w:cs="Times New Roman"/>
                      <w:b/>
                      <w:bCs/>
                      <w:color w:val="auto"/>
                      <w:sz w:val="21"/>
                      <w:szCs w:val="21"/>
                      <w:u w:val="single"/>
                    </w:rPr>
                  </w:pPr>
                  <w:r>
                    <w:rPr>
                      <w:rFonts w:hint="eastAsia"/>
                      <w:b/>
                      <w:bCs/>
                      <w:sz w:val="21"/>
                      <w:szCs w:val="21"/>
                      <w:u w:val="single"/>
                    </w:rPr>
                    <w:t>0.9mg/kg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氯甲烷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37mg/kg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1,1-二氯乙烷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9mg/kg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1,2-二氯乙烷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1,1-二氯乙烯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66mg/kg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顺-1,2-二氯乙烯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596mg/kg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反-1,2-二氯乙烯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54mg/kg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二氯甲烷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616mg/kg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1,2-二氯丙烷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1,1,1,2-四氯乙烷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1,1,2,2-四氯乙烷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6.8mg/kg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四氯乙烯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53mg/kg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1,1,1-三氯乙烷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840mg/kg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1,1,2-三氯乙烷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2.8mg/kg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三氯乙烯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2.8mg/kg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1,2,3-三氯丙烷</w:t>
                  </w:r>
                </w:p>
              </w:tc>
              <w:tc>
                <w:tcPr>
                  <w:tcW w:w="3088" w:type="dxa"/>
                  <w:vAlign w:val="center"/>
                </w:tcPr>
                <w:p>
                  <w:pPr>
                    <w:jc w:val="center"/>
                    <w:rPr>
                      <w:rFonts w:cs="Times New Roman"/>
                      <w:b/>
                      <w:bCs/>
                      <w:color w:val="auto"/>
                      <w:sz w:val="21"/>
                      <w:szCs w:val="21"/>
                      <w:u w:val="single"/>
                    </w:rPr>
                  </w:pPr>
                  <w:r>
                    <w:rPr>
                      <w:rFonts w:hint="eastAsia"/>
                      <w:b/>
                      <w:bCs/>
                      <w:sz w:val="21"/>
                      <w:szCs w:val="21"/>
                      <w:u w:val="single"/>
                    </w:rPr>
                    <w:t>0.5mg/kg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0.43mg/kg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4mg/kg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氯苯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270mg/kg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1,2-二氯苯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560mg/kg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1,4-二氯苯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乙苯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28mg/kg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苯乙烯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1290mg/kg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甲苯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1200mg/kg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间二甲苯+对二甲苯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570mg/kg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邻二甲苯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640mg/kg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硝基苯</w:t>
                  </w:r>
                </w:p>
              </w:tc>
              <w:tc>
                <w:tcPr>
                  <w:tcW w:w="3088" w:type="dxa"/>
                  <w:vAlign w:val="center"/>
                </w:tcPr>
                <w:p>
                  <w:pPr>
                    <w:jc w:val="center"/>
                    <w:rPr>
                      <w:rFonts w:cs="Times New Roman"/>
                      <w:b/>
                      <w:bCs/>
                      <w:color w:val="auto"/>
                      <w:sz w:val="21"/>
                      <w:szCs w:val="21"/>
                      <w:u w:val="single"/>
                    </w:rPr>
                  </w:pPr>
                  <w:r>
                    <w:rPr>
                      <w:rFonts w:hint="eastAsia"/>
                      <w:b/>
                      <w:bCs/>
                      <w:sz w:val="21"/>
                      <w:szCs w:val="21"/>
                      <w:u w:val="single"/>
                    </w:rPr>
                    <w:t>76mg/kg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苯胺</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260mg/kg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2-氯酚</w:t>
                  </w:r>
                </w:p>
              </w:tc>
              <w:tc>
                <w:tcPr>
                  <w:tcW w:w="3088" w:type="dxa"/>
                  <w:vAlign w:val="center"/>
                </w:tcPr>
                <w:p>
                  <w:pPr>
                    <w:jc w:val="center"/>
                    <w:rPr>
                      <w:rFonts w:cs="Times New Roman"/>
                      <w:b/>
                      <w:bCs/>
                      <w:color w:val="auto"/>
                      <w:sz w:val="21"/>
                      <w:szCs w:val="21"/>
                      <w:u w:val="single"/>
                    </w:rPr>
                  </w:pPr>
                  <w:r>
                    <w:rPr>
                      <w:rFonts w:hint="eastAsia"/>
                      <w:b/>
                      <w:bCs/>
                      <w:sz w:val="21"/>
                      <w:szCs w:val="21"/>
                      <w:u w:val="single"/>
                    </w:rPr>
                    <w:t>2256mg/kg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苯并[a]蒽</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苯并[a]芘</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苯并[b]荧蒽</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苯并[k]荧蒽</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151 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䓛</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1293mg/kg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二苯并[a, h]蒽</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茚并[1,2,3-cd]芘</w:t>
                  </w:r>
                </w:p>
              </w:tc>
              <w:tc>
                <w:tcPr>
                  <w:tcW w:w="3088" w:type="dxa"/>
                  <w:vAlign w:val="center"/>
                </w:tcPr>
                <w:p>
                  <w:pPr>
                    <w:jc w:val="center"/>
                    <w:rPr>
                      <w:rFonts w:cs="Times New Roman"/>
                      <w:b/>
                      <w:bCs/>
                      <w:color w:val="auto"/>
                      <w:sz w:val="21"/>
                      <w:szCs w:val="21"/>
                      <w:u w:val="single"/>
                    </w:rPr>
                  </w:pPr>
                  <w:r>
                    <w:rPr>
                      <w:rFonts w:hint="eastAsia"/>
                      <w:b/>
                      <w:bCs/>
                      <w:sz w:val="21"/>
                      <w:szCs w:val="21"/>
                      <w:u w:val="single"/>
                    </w:rPr>
                    <w:t>15mg/kg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0" w:type="dxa"/>
                  <w:vMerge w:val="continue"/>
                  <w:vAlign w:val="center"/>
                </w:tcPr>
                <w:p>
                  <w:pPr>
                    <w:jc w:val="center"/>
                    <w:rPr>
                      <w:rFonts w:cs="Times New Roman"/>
                      <w:color w:val="auto"/>
                      <w:sz w:val="21"/>
                      <w:szCs w:val="21"/>
                    </w:rPr>
                  </w:pPr>
                </w:p>
              </w:tc>
              <w:tc>
                <w:tcPr>
                  <w:tcW w:w="2000" w:type="dxa"/>
                  <w:gridSpan w:val="2"/>
                  <w:vAlign w:val="center"/>
                </w:tcPr>
                <w:p>
                  <w:pPr>
                    <w:jc w:val="center"/>
                    <w:rPr>
                      <w:rFonts w:cs="Times New Roman"/>
                      <w:b/>
                      <w:bCs/>
                      <w:color w:val="auto"/>
                      <w:sz w:val="21"/>
                      <w:szCs w:val="21"/>
                      <w:u w:val="single"/>
                    </w:rPr>
                  </w:pPr>
                  <w:r>
                    <w:rPr>
                      <w:rFonts w:hint="eastAsia"/>
                      <w:b/>
                      <w:bCs/>
                      <w:sz w:val="21"/>
                      <w:szCs w:val="21"/>
                      <w:u w:val="single"/>
                    </w:rPr>
                    <w:t>萘</w:t>
                  </w:r>
                </w:p>
              </w:tc>
              <w:tc>
                <w:tcPr>
                  <w:tcW w:w="3088" w:type="dxa"/>
                  <w:vAlign w:val="center"/>
                </w:tcPr>
                <w:p>
                  <w:pPr>
                    <w:jc w:val="center"/>
                    <w:rPr>
                      <w:rFonts w:cs="Times New Roman"/>
                      <w:b/>
                      <w:bCs/>
                      <w:color w:val="auto"/>
                      <w:sz w:val="21"/>
                      <w:szCs w:val="21"/>
                      <w:u w:val="single"/>
                    </w:rPr>
                  </w:pPr>
                  <w:r>
                    <w:rPr>
                      <w:rFonts w:hint="eastAsia"/>
                      <w:b/>
                      <w:bCs/>
                      <w:sz w:val="21"/>
                      <w:szCs w:val="21"/>
                      <w:u w:val="single"/>
                    </w:rPr>
                    <w:t>70mg/kg</w:t>
                  </w:r>
                </w:p>
              </w:tc>
            </w:tr>
          </w:tbl>
          <w:p>
            <w:pPr>
              <w:tabs>
                <w:tab w:val="left" w:pos="8844"/>
              </w:tabs>
              <w:spacing w:line="360" w:lineRule="auto"/>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jc w:val="center"/>
              <w:rPr>
                <w:rFonts w:cs="Times New Roman"/>
                <w:b/>
                <w:color w:val="auto"/>
                <w:sz w:val="21"/>
                <w:szCs w:val="21"/>
              </w:rPr>
            </w:pPr>
            <w:r>
              <w:rPr>
                <w:rFonts w:cs="Times New Roman"/>
                <w:b/>
                <w:color w:val="auto"/>
                <w:sz w:val="21"/>
                <w:szCs w:val="21"/>
              </w:rPr>
              <w:t>污染物排放标准</w:t>
            </w:r>
          </w:p>
        </w:tc>
        <w:tc>
          <w:tcPr>
            <w:tcW w:w="8369" w:type="dxa"/>
            <w:vAlign w:val="center"/>
          </w:tcPr>
          <w:tbl>
            <w:tblPr>
              <w:tblStyle w:val="26"/>
              <w:tblW w:w="833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5"/>
              <w:gridCol w:w="2023"/>
              <w:gridCol w:w="2258"/>
              <w:gridCol w:w="1114"/>
              <w:gridCol w:w="1005"/>
              <w:gridCol w:w="11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restart"/>
                  <w:tcBorders>
                    <w:top w:val="single" w:color="auto" w:sz="4" w:space="0"/>
                    <w:left w:val="nil"/>
                    <w:bottom w:val="single" w:color="auto" w:sz="6" w:space="0"/>
                  </w:tcBorders>
                  <w:vAlign w:val="center"/>
                </w:tcPr>
                <w:p>
                  <w:pPr>
                    <w:jc w:val="center"/>
                    <w:rPr>
                      <w:rFonts w:cs="Times New Roman"/>
                      <w:bCs/>
                      <w:color w:val="auto"/>
                      <w:sz w:val="21"/>
                      <w:szCs w:val="21"/>
                    </w:rPr>
                  </w:pPr>
                  <w:r>
                    <w:rPr>
                      <w:rFonts w:cs="Times New Roman"/>
                      <w:bCs/>
                      <w:color w:val="auto"/>
                      <w:sz w:val="21"/>
                      <w:szCs w:val="21"/>
                    </w:rPr>
                    <w:t>污染物</w:t>
                  </w:r>
                </w:p>
              </w:tc>
              <w:tc>
                <w:tcPr>
                  <w:tcW w:w="4281" w:type="dxa"/>
                  <w:gridSpan w:val="2"/>
                  <w:vMerge w:val="restart"/>
                  <w:tcBorders>
                    <w:top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标准名称及级（类）别</w:t>
                  </w:r>
                </w:p>
              </w:tc>
              <w:tc>
                <w:tcPr>
                  <w:tcW w:w="1114" w:type="dxa"/>
                  <w:vMerge w:val="restart"/>
                  <w:tcBorders>
                    <w:top w:val="single" w:color="auto" w:sz="4" w:space="0"/>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污染因子</w:t>
                  </w:r>
                </w:p>
              </w:tc>
              <w:tc>
                <w:tcPr>
                  <w:tcW w:w="2149" w:type="dxa"/>
                  <w:gridSpan w:val="2"/>
                  <w:tcBorders>
                    <w:top w:val="single" w:color="auto" w:sz="4" w:space="0"/>
                    <w:left w:val="single" w:color="auto" w:sz="4"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top w:val="single" w:color="auto" w:sz="6" w:space="0"/>
                    <w:left w:val="nil"/>
                    <w:bottom w:val="single" w:color="auto" w:sz="6" w:space="0"/>
                  </w:tcBorders>
                  <w:vAlign w:val="center"/>
                </w:tcPr>
                <w:p>
                  <w:pPr>
                    <w:jc w:val="center"/>
                    <w:rPr>
                      <w:rFonts w:cs="Times New Roman"/>
                      <w:bCs/>
                      <w:color w:val="auto"/>
                      <w:sz w:val="21"/>
                      <w:szCs w:val="21"/>
                    </w:rPr>
                  </w:pPr>
                </w:p>
              </w:tc>
              <w:tc>
                <w:tcPr>
                  <w:tcW w:w="4281" w:type="dxa"/>
                  <w:gridSpan w:val="2"/>
                  <w:vMerge w:val="continue"/>
                  <w:tcBorders>
                    <w:top w:val="single" w:color="auto" w:sz="6" w:space="0"/>
                    <w:bottom w:val="single" w:color="auto" w:sz="6" w:space="0"/>
                  </w:tcBorders>
                  <w:vAlign w:val="center"/>
                </w:tcPr>
                <w:p>
                  <w:pPr>
                    <w:jc w:val="center"/>
                    <w:rPr>
                      <w:rFonts w:cs="Times New Roman"/>
                      <w:bCs/>
                      <w:color w:val="auto"/>
                      <w:sz w:val="21"/>
                      <w:szCs w:val="21"/>
                    </w:rPr>
                  </w:pPr>
                </w:p>
              </w:tc>
              <w:tc>
                <w:tcPr>
                  <w:tcW w:w="1114" w:type="dxa"/>
                  <w:vMerge w:val="continue"/>
                  <w:tcBorders>
                    <w:top w:val="single" w:color="auto" w:sz="6" w:space="0"/>
                    <w:bottom w:val="single" w:color="auto" w:sz="6" w:space="0"/>
                    <w:right w:val="single" w:color="auto" w:sz="4" w:space="0"/>
                  </w:tcBorders>
                  <w:vAlign w:val="center"/>
                </w:tcPr>
                <w:p>
                  <w:pPr>
                    <w:jc w:val="center"/>
                    <w:rPr>
                      <w:rFonts w:cs="Times New Roman"/>
                      <w:bCs/>
                      <w:color w:val="auto"/>
                      <w:sz w:val="21"/>
                      <w:szCs w:val="21"/>
                    </w:rPr>
                  </w:pP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单位</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数值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restart"/>
                  <w:tcBorders>
                    <w:top w:val="single" w:color="auto" w:sz="6" w:space="0"/>
                    <w:left w:val="nil"/>
                  </w:tcBorders>
                  <w:vAlign w:val="center"/>
                </w:tcPr>
                <w:p>
                  <w:pPr>
                    <w:jc w:val="center"/>
                    <w:rPr>
                      <w:rFonts w:cs="Times New Roman"/>
                      <w:bCs/>
                      <w:color w:val="auto"/>
                      <w:sz w:val="21"/>
                      <w:szCs w:val="21"/>
                    </w:rPr>
                  </w:pPr>
                  <w:r>
                    <w:rPr>
                      <w:rFonts w:cs="Times New Roman"/>
                      <w:bCs/>
                      <w:color w:val="auto"/>
                      <w:sz w:val="21"/>
                      <w:szCs w:val="21"/>
                    </w:rPr>
                    <w:t>废气</w:t>
                  </w:r>
                </w:p>
              </w:tc>
              <w:tc>
                <w:tcPr>
                  <w:tcW w:w="4281" w:type="dxa"/>
                  <w:gridSpan w:val="2"/>
                  <w:vMerge w:val="restart"/>
                  <w:tcBorders>
                    <w:top w:val="single" w:color="auto" w:sz="6" w:space="0"/>
                  </w:tcBorders>
                  <w:vAlign w:val="center"/>
                </w:tcPr>
                <w:p>
                  <w:pPr>
                    <w:jc w:val="center"/>
                    <w:rPr>
                      <w:rFonts w:hint="eastAsia" w:cs="Times New Roman"/>
                      <w:bCs/>
                      <w:color w:val="auto"/>
                      <w:sz w:val="21"/>
                      <w:szCs w:val="21"/>
                    </w:rPr>
                  </w:pPr>
                  <w:r>
                    <w:rPr>
                      <w:rFonts w:hint="eastAsia" w:cs="Times New Roman"/>
                      <w:bCs/>
                      <w:color w:val="auto"/>
                      <w:sz w:val="21"/>
                      <w:szCs w:val="21"/>
                      <w:lang w:val="en-US" w:eastAsia="zh-CN"/>
                    </w:rPr>
                    <w:t>河南省</w:t>
                  </w:r>
                  <w:r>
                    <w:rPr>
                      <w:rFonts w:hint="eastAsia" w:cs="Times New Roman"/>
                      <w:bCs/>
                      <w:color w:val="auto"/>
                      <w:sz w:val="21"/>
                      <w:szCs w:val="21"/>
                      <w:lang w:eastAsia="zh-CN"/>
                    </w:rPr>
                    <w:t>《</w:t>
                  </w:r>
                  <w:r>
                    <w:rPr>
                      <w:rFonts w:hint="eastAsia" w:cs="Times New Roman"/>
                      <w:bCs/>
                      <w:color w:val="auto"/>
                      <w:sz w:val="21"/>
                      <w:szCs w:val="21"/>
                      <w:lang w:val="en-US" w:eastAsia="zh-CN"/>
                    </w:rPr>
                    <w:t>工业炉窑大气污染物排放标准</w:t>
                  </w:r>
                  <w:r>
                    <w:rPr>
                      <w:rFonts w:hint="eastAsia" w:cs="Times New Roman"/>
                      <w:bCs/>
                      <w:color w:val="auto"/>
                      <w:sz w:val="21"/>
                      <w:szCs w:val="21"/>
                      <w:lang w:eastAsia="zh-CN"/>
                    </w:rPr>
                    <w:t>》（</w:t>
                  </w:r>
                  <w:r>
                    <w:rPr>
                      <w:rFonts w:hint="eastAsia" w:cs="Times New Roman"/>
                      <w:bCs/>
                      <w:color w:val="auto"/>
                      <w:sz w:val="21"/>
                      <w:szCs w:val="21"/>
                      <w:lang w:val="en-US" w:eastAsia="zh-CN"/>
                    </w:rPr>
                    <w:t>DB41/1066-2015</w:t>
                  </w:r>
                  <w:r>
                    <w:rPr>
                      <w:rFonts w:hint="eastAsia" w:cs="Times New Roman"/>
                      <w:bCs/>
                      <w:color w:val="auto"/>
                      <w:sz w:val="21"/>
                      <w:szCs w:val="21"/>
                      <w:lang w:eastAsia="zh-CN"/>
                    </w:rPr>
                    <w:t>）</w:t>
                  </w:r>
                </w:p>
              </w:tc>
              <w:tc>
                <w:tcPr>
                  <w:tcW w:w="1114" w:type="dxa"/>
                  <w:tcBorders>
                    <w:top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颗粒物</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4281" w:type="dxa"/>
                  <w:gridSpan w:val="2"/>
                  <w:vMerge w:val="continue"/>
                  <w:vAlign w:val="center"/>
                </w:tcPr>
                <w:p>
                  <w:pPr>
                    <w:jc w:val="center"/>
                    <w:rPr>
                      <w:rFonts w:hint="eastAsia" w:cs="Times New Roman"/>
                      <w:bCs/>
                      <w:color w:val="auto"/>
                      <w:sz w:val="21"/>
                      <w:szCs w:val="21"/>
                    </w:rPr>
                  </w:pPr>
                </w:p>
              </w:tc>
              <w:tc>
                <w:tcPr>
                  <w:tcW w:w="1114" w:type="dxa"/>
                  <w:tcBorders>
                    <w:top w:val="single" w:color="auto" w:sz="6" w:space="0"/>
                    <w:right w:val="single" w:color="auto" w:sz="4" w:space="0"/>
                  </w:tcBorders>
                  <w:vAlign w:val="center"/>
                </w:tcPr>
                <w:p>
                  <w:pPr>
                    <w:jc w:val="center"/>
                    <w:rPr>
                      <w:rFonts w:cs="Times New Roman"/>
                      <w:bCs/>
                      <w:color w:val="auto"/>
                      <w:sz w:val="21"/>
                      <w:szCs w:val="21"/>
                    </w:rPr>
                  </w:pPr>
                  <w:r>
                    <w:rPr>
                      <w:rFonts w:hint="eastAsia" w:cs="Times New Roman"/>
                      <w:bCs/>
                      <w:color w:val="auto"/>
                      <w:sz w:val="21"/>
                      <w:szCs w:val="21"/>
                    </w:rPr>
                    <w:t>二氧化硫</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4281" w:type="dxa"/>
                  <w:gridSpan w:val="2"/>
                  <w:vMerge w:val="continue"/>
                  <w:vAlign w:val="center"/>
                </w:tcPr>
                <w:p>
                  <w:pPr>
                    <w:jc w:val="center"/>
                    <w:rPr>
                      <w:rFonts w:hint="eastAsia" w:cs="Times New Roman"/>
                      <w:bCs/>
                      <w:color w:val="auto"/>
                      <w:sz w:val="21"/>
                      <w:szCs w:val="21"/>
                    </w:rPr>
                  </w:pPr>
                </w:p>
              </w:tc>
              <w:tc>
                <w:tcPr>
                  <w:tcW w:w="1114" w:type="dxa"/>
                  <w:tcBorders>
                    <w:top w:val="single" w:color="auto" w:sz="6" w:space="0"/>
                    <w:right w:val="single" w:color="auto" w:sz="4" w:space="0"/>
                  </w:tcBorders>
                  <w:vAlign w:val="center"/>
                </w:tcPr>
                <w:p>
                  <w:pPr>
                    <w:jc w:val="center"/>
                    <w:rPr>
                      <w:rFonts w:cs="Times New Roman"/>
                      <w:bCs/>
                      <w:color w:val="auto"/>
                      <w:sz w:val="21"/>
                      <w:szCs w:val="21"/>
                    </w:rPr>
                  </w:pPr>
                  <w:r>
                    <w:rPr>
                      <w:rFonts w:hint="eastAsia" w:cs="Times New Roman"/>
                      <w:bCs/>
                      <w:color w:val="auto"/>
                      <w:sz w:val="21"/>
                      <w:szCs w:val="21"/>
                    </w:rPr>
                    <w:t>氮氧化物</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restart"/>
                  <w:tcBorders>
                    <w:top w:val="single" w:color="auto" w:sz="6" w:space="0"/>
                    <w:right w:val="single" w:color="auto" w:sz="4" w:space="0"/>
                  </w:tcBorders>
                  <w:vAlign w:val="center"/>
                </w:tcPr>
                <w:p>
                  <w:pPr>
                    <w:jc w:val="center"/>
                    <w:rPr>
                      <w:rFonts w:cs="Times New Roman"/>
                      <w:bCs/>
                      <w:color w:val="auto"/>
                      <w:sz w:val="21"/>
                      <w:szCs w:val="21"/>
                    </w:rPr>
                  </w:pPr>
                  <w:r>
                    <w:rPr>
                      <w:rFonts w:hint="eastAsia" w:cs="Times New Roman"/>
                      <w:bCs/>
                      <w:color w:val="auto"/>
                      <w:sz w:val="21"/>
                      <w:szCs w:val="21"/>
                    </w:rPr>
                    <w:t>《新乡市环境污染防治攻坚战</w:t>
                  </w:r>
                </w:p>
                <w:p>
                  <w:pPr>
                    <w:jc w:val="center"/>
                    <w:rPr>
                      <w:rFonts w:cs="Times New Roman"/>
                      <w:bCs/>
                      <w:color w:val="auto"/>
                      <w:sz w:val="21"/>
                      <w:szCs w:val="21"/>
                    </w:rPr>
                  </w:pPr>
                  <w:r>
                    <w:rPr>
                      <w:rFonts w:hint="eastAsia" w:cs="Times New Roman"/>
                      <w:bCs/>
                      <w:color w:val="auto"/>
                      <w:sz w:val="21"/>
                      <w:szCs w:val="21"/>
                    </w:rPr>
                    <w:t>三年行动实施方案（2018—2020 年）要求</w:t>
                  </w:r>
                </w:p>
              </w:tc>
              <w:tc>
                <w:tcPr>
                  <w:tcW w:w="2258" w:type="dxa"/>
                  <w:vMerge w:val="restart"/>
                  <w:tcBorders>
                    <w:top w:val="single" w:color="auto" w:sz="6" w:space="0"/>
                    <w:left w:val="single" w:color="auto" w:sz="4" w:space="0"/>
                  </w:tcBorders>
                  <w:vAlign w:val="center"/>
                </w:tcPr>
                <w:p>
                  <w:pPr>
                    <w:jc w:val="center"/>
                    <w:rPr>
                      <w:rFonts w:cs="Times New Roman"/>
                      <w:bCs/>
                      <w:color w:val="auto"/>
                      <w:sz w:val="21"/>
                      <w:szCs w:val="21"/>
                    </w:rPr>
                  </w:pPr>
                  <w:r>
                    <w:rPr>
                      <w:rFonts w:hint="eastAsia" w:cs="Times New Roman"/>
                      <w:bCs/>
                      <w:color w:val="auto"/>
                      <w:sz w:val="21"/>
                      <w:szCs w:val="21"/>
                    </w:rPr>
                    <w:t>其他炉窑</w:t>
                  </w:r>
                </w:p>
              </w:tc>
              <w:tc>
                <w:tcPr>
                  <w:tcW w:w="1114" w:type="dxa"/>
                  <w:tcBorders>
                    <w:top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颗粒物</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continue"/>
                  <w:tcBorders>
                    <w:right w:val="single" w:color="auto" w:sz="4" w:space="0"/>
                  </w:tcBorders>
                  <w:vAlign w:val="center"/>
                </w:tcPr>
                <w:p>
                  <w:pPr>
                    <w:jc w:val="center"/>
                    <w:rPr>
                      <w:rFonts w:cs="Times New Roman"/>
                      <w:bCs/>
                      <w:color w:val="auto"/>
                      <w:sz w:val="21"/>
                      <w:szCs w:val="21"/>
                    </w:rPr>
                  </w:pPr>
                </w:p>
              </w:tc>
              <w:tc>
                <w:tcPr>
                  <w:tcW w:w="2258" w:type="dxa"/>
                  <w:vMerge w:val="continue"/>
                  <w:tcBorders>
                    <w:left w:val="single" w:color="auto" w:sz="4" w:space="0"/>
                  </w:tcBorders>
                  <w:vAlign w:val="center"/>
                </w:tcPr>
                <w:p>
                  <w:pPr>
                    <w:jc w:val="center"/>
                    <w:rPr>
                      <w:rFonts w:cs="Times New Roman"/>
                      <w:bCs/>
                      <w:color w:val="auto"/>
                      <w:sz w:val="21"/>
                      <w:szCs w:val="21"/>
                    </w:rPr>
                  </w:pPr>
                </w:p>
              </w:tc>
              <w:tc>
                <w:tcPr>
                  <w:tcW w:w="1114" w:type="dxa"/>
                  <w:tcBorders>
                    <w:right w:val="single" w:color="auto" w:sz="4" w:space="0"/>
                  </w:tcBorders>
                  <w:vAlign w:val="center"/>
                </w:tcPr>
                <w:p>
                  <w:pPr>
                    <w:jc w:val="center"/>
                    <w:rPr>
                      <w:rFonts w:cs="Times New Roman"/>
                      <w:bCs/>
                      <w:color w:val="auto"/>
                      <w:sz w:val="21"/>
                      <w:szCs w:val="21"/>
                    </w:rPr>
                  </w:pPr>
                  <w:r>
                    <w:rPr>
                      <w:rFonts w:hint="eastAsia" w:cs="Times New Roman"/>
                      <w:bCs/>
                      <w:color w:val="auto"/>
                      <w:sz w:val="21"/>
                      <w:szCs w:val="21"/>
                    </w:rPr>
                    <w:t>二氧化硫</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continue"/>
                  <w:tcBorders>
                    <w:right w:val="single" w:color="auto" w:sz="4" w:space="0"/>
                  </w:tcBorders>
                  <w:vAlign w:val="center"/>
                </w:tcPr>
                <w:p>
                  <w:pPr>
                    <w:jc w:val="center"/>
                    <w:rPr>
                      <w:rFonts w:cs="Times New Roman"/>
                      <w:bCs/>
                      <w:color w:val="auto"/>
                      <w:sz w:val="21"/>
                      <w:szCs w:val="21"/>
                    </w:rPr>
                  </w:pPr>
                </w:p>
              </w:tc>
              <w:tc>
                <w:tcPr>
                  <w:tcW w:w="2258" w:type="dxa"/>
                  <w:vMerge w:val="continue"/>
                  <w:tcBorders>
                    <w:left w:val="single" w:color="auto" w:sz="4" w:space="0"/>
                  </w:tcBorders>
                  <w:vAlign w:val="center"/>
                </w:tcPr>
                <w:p>
                  <w:pPr>
                    <w:jc w:val="center"/>
                    <w:rPr>
                      <w:rFonts w:cs="Times New Roman"/>
                      <w:bCs/>
                      <w:color w:val="auto"/>
                      <w:sz w:val="21"/>
                      <w:szCs w:val="21"/>
                    </w:rPr>
                  </w:pPr>
                </w:p>
              </w:tc>
              <w:tc>
                <w:tcPr>
                  <w:tcW w:w="1114" w:type="dxa"/>
                  <w:tcBorders>
                    <w:right w:val="single" w:color="auto" w:sz="4" w:space="0"/>
                  </w:tcBorders>
                  <w:vAlign w:val="center"/>
                </w:tcPr>
                <w:p>
                  <w:pPr>
                    <w:jc w:val="center"/>
                    <w:rPr>
                      <w:rFonts w:cs="Times New Roman"/>
                      <w:bCs/>
                      <w:color w:val="auto"/>
                      <w:sz w:val="21"/>
                      <w:szCs w:val="21"/>
                    </w:rPr>
                  </w:pPr>
                  <w:r>
                    <w:rPr>
                      <w:rFonts w:hint="eastAsia" w:cs="Times New Roman"/>
                      <w:bCs/>
                      <w:color w:val="auto"/>
                      <w:sz w:val="21"/>
                      <w:szCs w:val="21"/>
                    </w:rPr>
                    <w:t>氮氧化物</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restart"/>
                  <w:tcBorders>
                    <w:right w:val="single" w:color="auto" w:sz="4" w:space="0"/>
                  </w:tcBorders>
                  <w:vAlign w:val="center"/>
                </w:tcPr>
                <w:p>
                  <w:pPr>
                    <w:jc w:val="center"/>
                    <w:rPr>
                      <w:rFonts w:cs="Times New Roman"/>
                      <w:bCs/>
                      <w:color w:val="auto"/>
                      <w:sz w:val="21"/>
                      <w:szCs w:val="21"/>
                    </w:rPr>
                  </w:pPr>
                  <w:r>
                    <w:rPr>
                      <w:rFonts w:cs="Times New Roman"/>
                      <w:bCs/>
                      <w:color w:val="auto"/>
                      <w:sz w:val="21"/>
                      <w:szCs w:val="21"/>
                    </w:rPr>
                    <w:t>《大气污染物综合排放标准》（GB16297-1996）表2二级标准</w:t>
                  </w:r>
                </w:p>
              </w:tc>
              <w:tc>
                <w:tcPr>
                  <w:tcW w:w="2258" w:type="dxa"/>
                  <w:tcBorders>
                    <w:left w:val="single" w:color="auto" w:sz="4" w:space="0"/>
                    <w:bottom w:val="single" w:color="auto" w:sz="6" w:space="0"/>
                  </w:tcBorders>
                  <w:vAlign w:val="center"/>
                </w:tcPr>
                <w:p>
                  <w:pPr>
                    <w:jc w:val="center"/>
                    <w:rPr>
                      <w:rFonts w:cs="Times New Roman"/>
                      <w:bCs/>
                      <w:color w:val="auto"/>
                      <w:sz w:val="21"/>
                      <w:szCs w:val="21"/>
                    </w:rPr>
                  </w:pPr>
                  <w:r>
                    <w:rPr>
                      <w:rFonts w:hint="eastAsia" w:cs="Times New Roman"/>
                      <w:bCs/>
                      <w:color w:val="auto"/>
                      <w:sz w:val="21"/>
                      <w:szCs w:val="21"/>
                    </w:rPr>
                    <w:t>排气筒高度</w:t>
                  </w:r>
                </w:p>
              </w:tc>
              <w:tc>
                <w:tcPr>
                  <w:tcW w:w="1114" w:type="dxa"/>
                  <w:vMerge w:val="restart"/>
                  <w:tcBorders>
                    <w:right w:val="single" w:color="auto" w:sz="4" w:space="0"/>
                  </w:tcBorders>
                  <w:vAlign w:val="center"/>
                </w:tcPr>
                <w:p>
                  <w:pPr>
                    <w:jc w:val="center"/>
                    <w:rPr>
                      <w:rFonts w:cs="Times New Roman"/>
                      <w:bCs/>
                      <w:color w:val="auto"/>
                      <w:sz w:val="21"/>
                      <w:szCs w:val="21"/>
                    </w:rPr>
                  </w:pPr>
                  <w:r>
                    <w:rPr>
                      <w:rFonts w:cs="Times New Roman"/>
                      <w:bCs/>
                      <w:color w:val="auto"/>
                      <w:sz w:val="21"/>
                      <w:szCs w:val="21"/>
                    </w:rPr>
                    <w:t>颗粒物</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hint="eastAsia" w:cs="Times New Roman"/>
                      <w:bCs/>
                      <w:color w:val="auto"/>
                      <w:sz w:val="21"/>
                      <w:szCs w:val="21"/>
                    </w:rPr>
                    <w:t>m</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continue"/>
                  <w:tcBorders>
                    <w:right w:val="single" w:color="auto" w:sz="4" w:space="0"/>
                  </w:tcBorders>
                  <w:vAlign w:val="center"/>
                </w:tcPr>
                <w:p>
                  <w:pPr>
                    <w:jc w:val="center"/>
                    <w:rPr>
                      <w:rFonts w:cs="Times New Roman"/>
                      <w:bCs/>
                      <w:color w:val="auto"/>
                      <w:sz w:val="21"/>
                      <w:szCs w:val="21"/>
                    </w:rPr>
                  </w:pPr>
                </w:p>
              </w:tc>
              <w:tc>
                <w:tcPr>
                  <w:tcW w:w="2258" w:type="dxa"/>
                  <w:tcBorders>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最高允许排放浓度</w:t>
                  </w:r>
                </w:p>
              </w:tc>
              <w:tc>
                <w:tcPr>
                  <w:tcW w:w="1114" w:type="dxa"/>
                  <w:vMerge w:val="continue"/>
                  <w:tcBorders>
                    <w:right w:val="single" w:color="auto" w:sz="4" w:space="0"/>
                  </w:tcBorders>
                  <w:vAlign w:val="center"/>
                </w:tcPr>
                <w:p>
                  <w:pPr>
                    <w:jc w:val="center"/>
                    <w:rPr>
                      <w:rFonts w:cs="Times New Roman"/>
                      <w:bCs/>
                      <w:color w:val="auto"/>
                      <w:sz w:val="21"/>
                      <w:szCs w:val="21"/>
                    </w:rPr>
                  </w:pP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continue"/>
                  <w:tcBorders>
                    <w:right w:val="single" w:color="auto" w:sz="4" w:space="0"/>
                  </w:tcBorders>
                  <w:vAlign w:val="center"/>
                </w:tcPr>
                <w:p>
                  <w:pPr>
                    <w:jc w:val="center"/>
                    <w:rPr>
                      <w:rFonts w:cs="Times New Roman"/>
                      <w:bCs/>
                      <w:color w:val="auto"/>
                      <w:sz w:val="21"/>
                      <w:szCs w:val="21"/>
                    </w:rPr>
                  </w:pPr>
                </w:p>
              </w:tc>
              <w:tc>
                <w:tcPr>
                  <w:tcW w:w="2258" w:type="dxa"/>
                  <w:tcBorders>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最高允许排放速率</w:t>
                  </w:r>
                </w:p>
              </w:tc>
              <w:tc>
                <w:tcPr>
                  <w:tcW w:w="1114" w:type="dxa"/>
                  <w:vMerge w:val="continue"/>
                  <w:tcBorders>
                    <w:right w:val="single" w:color="auto" w:sz="4" w:space="0"/>
                  </w:tcBorders>
                  <w:vAlign w:val="center"/>
                </w:tcPr>
                <w:p>
                  <w:pPr>
                    <w:jc w:val="center"/>
                    <w:rPr>
                      <w:rFonts w:cs="Times New Roman"/>
                      <w:bCs/>
                      <w:color w:val="auto"/>
                      <w:sz w:val="21"/>
                      <w:szCs w:val="21"/>
                    </w:rPr>
                  </w:pP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kg/h</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2023" w:type="dxa"/>
                  <w:vMerge w:val="continue"/>
                  <w:tcBorders>
                    <w:right w:val="single" w:color="auto" w:sz="4" w:space="0"/>
                  </w:tcBorders>
                  <w:vAlign w:val="center"/>
                </w:tcPr>
                <w:p>
                  <w:pPr>
                    <w:jc w:val="center"/>
                    <w:rPr>
                      <w:rFonts w:cs="Times New Roman"/>
                      <w:bCs/>
                      <w:color w:val="auto"/>
                      <w:sz w:val="21"/>
                      <w:szCs w:val="21"/>
                    </w:rPr>
                  </w:pPr>
                </w:p>
              </w:tc>
              <w:tc>
                <w:tcPr>
                  <w:tcW w:w="2258" w:type="dxa"/>
                  <w:tcBorders>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周界外浓度最高点</w:t>
                  </w:r>
                </w:p>
              </w:tc>
              <w:tc>
                <w:tcPr>
                  <w:tcW w:w="1114" w:type="dxa"/>
                  <w:vMerge w:val="continue"/>
                  <w:tcBorders>
                    <w:right w:val="single" w:color="auto" w:sz="4" w:space="0"/>
                  </w:tcBorders>
                  <w:vAlign w:val="center"/>
                </w:tcPr>
                <w:p>
                  <w:pPr>
                    <w:jc w:val="center"/>
                    <w:rPr>
                      <w:rFonts w:cs="Times New Roman"/>
                      <w:bCs/>
                      <w:color w:val="auto"/>
                      <w:sz w:val="21"/>
                      <w:szCs w:val="21"/>
                    </w:rPr>
                  </w:pP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mg/m</w:t>
                  </w:r>
                  <w:r>
                    <w:rPr>
                      <w:rFonts w:cs="Times New Roman"/>
                      <w:bCs/>
                      <w:color w:val="auto"/>
                      <w:sz w:val="21"/>
                      <w:szCs w:val="21"/>
                      <w:vertAlign w:val="superscript"/>
                    </w:rPr>
                    <w:t>3</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restart"/>
                  <w:tcBorders>
                    <w:left w:val="nil"/>
                  </w:tcBorders>
                  <w:vAlign w:val="center"/>
                </w:tcPr>
                <w:p>
                  <w:pPr>
                    <w:jc w:val="center"/>
                    <w:rPr>
                      <w:rFonts w:cs="Times New Roman"/>
                      <w:bCs/>
                      <w:color w:val="auto"/>
                      <w:sz w:val="21"/>
                      <w:szCs w:val="21"/>
                    </w:rPr>
                  </w:pPr>
                  <w:r>
                    <w:rPr>
                      <w:rFonts w:cs="Times New Roman"/>
                      <w:bCs/>
                      <w:color w:val="auto"/>
                      <w:sz w:val="21"/>
                      <w:szCs w:val="21"/>
                    </w:rPr>
                    <w:t>废水</w:t>
                  </w:r>
                </w:p>
              </w:tc>
              <w:tc>
                <w:tcPr>
                  <w:tcW w:w="4281" w:type="dxa"/>
                  <w:gridSpan w:val="2"/>
                  <w:vMerge w:val="restart"/>
                  <w:vAlign w:val="center"/>
                </w:tcPr>
                <w:p>
                  <w:pPr>
                    <w:jc w:val="center"/>
                    <w:rPr>
                      <w:rFonts w:cs="Times New Roman"/>
                      <w:bCs/>
                      <w:color w:val="auto"/>
                      <w:sz w:val="21"/>
                      <w:szCs w:val="21"/>
                    </w:rPr>
                  </w:pPr>
                  <w:r>
                    <w:rPr>
                      <w:rFonts w:cs="Times New Roman"/>
                      <w:bCs/>
                      <w:color w:val="auto"/>
                      <w:sz w:val="21"/>
                      <w:szCs w:val="21"/>
                    </w:rPr>
                    <w:t>新乡市</w:t>
                  </w:r>
                  <w:r>
                    <w:rPr>
                      <w:rFonts w:hint="eastAsia" w:cs="Times New Roman"/>
                      <w:bCs/>
                      <w:color w:val="auto"/>
                      <w:sz w:val="21"/>
                      <w:szCs w:val="21"/>
                    </w:rPr>
                    <w:t>大块镇</w:t>
                  </w:r>
                  <w:r>
                    <w:rPr>
                      <w:rFonts w:cs="Times New Roman"/>
                      <w:bCs/>
                      <w:color w:val="auto"/>
                      <w:sz w:val="21"/>
                      <w:szCs w:val="21"/>
                    </w:rPr>
                    <w:t>污水处理厂收水标准</w:t>
                  </w:r>
                </w:p>
              </w:tc>
              <w:tc>
                <w:tcPr>
                  <w:tcW w:w="1114" w:type="dxa"/>
                  <w:tcBorders>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COD</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mg/L</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350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4281" w:type="dxa"/>
                  <w:gridSpan w:val="2"/>
                  <w:vMerge w:val="continue"/>
                  <w:vAlign w:val="center"/>
                </w:tcPr>
                <w:p>
                  <w:pPr>
                    <w:jc w:val="center"/>
                    <w:rPr>
                      <w:rFonts w:cs="Times New Roman"/>
                      <w:bCs/>
                      <w:color w:val="auto"/>
                      <w:sz w:val="21"/>
                      <w:szCs w:val="21"/>
                    </w:rPr>
                  </w:pPr>
                </w:p>
              </w:tc>
              <w:tc>
                <w:tcPr>
                  <w:tcW w:w="1114" w:type="dxa"/>
                  <w:tcBorders>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SS</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mg/L</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hint="eastAsia" w:cs="Times New Roman"/>
                      <w:bCs/>
                      <w:color w:val="auto"/>
                      <w:sz w:val="21"/>
                      <w:szCs w:val="21"/>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4281" w:type="dxa"/>
                  <w:gridSpan w:val="2"/>
                  <w:vMerge w:val="continue"/>
                  <w:vAlign w:val="center"/>
                </w:tcPr>
                <w:p>
                  <w:pPr>
                    <w:jc w:val="center"/>
                    <w:rPr>
                      <w:rFonts w:cs="Times New Roman"/>
                      <w:bCs/>
                      <w:color w:val="auto"/>
                      <w:sz w:val="21"/>
                      <w:szCs w:val="21"/>
                    </w:rPr>
                  </w:pPr>
                </w:p>
              </w:tc>
              <w:tc>
                <w:tcPr>
                  <w:tcW w:w="1114" w:type="dxa"/>
                  <w:tcBorders>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氨氮</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mg/L</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eastAsia="黑体" w:cs="Times New Roman"/>
                      <w:bCs/>
                      <w:color w:val="auto"/>
                      <w:sz w:val="21"/>
                      <w:szCs w:val="21"/>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left w:val="nil"/>
                  </w:tcBorders>
                  <w:vAlign w:val="center"/>
                </w:tcPr>
                <w:p>
                  <w:pPr>
                    <w:jc w:val="center"/>
                    <w:rPr>
                      <w:rFonts w:cs="Times New Roman"/>
                      <w:bCs/>
                      <w:color w:val="auto"/>
                      <w:sz w:val="21"/>
                      <w:szCs w:val="21"/>
                    </w:rPr>
                  </w:pPr>
                </w:p>
              </w:tc>
              <w:tc>
                <w:tcPr>
                  <w:tcW w:w="4281" w:type="dxa"/>
                  <w:gridSpan w:val="2"/>
                  <w:vMerge w:val="continue"/>
                  <w:tcBorders>
                    <w:bottom w:val="single" w:color="auto" w:sz="6" w:space="0"/>
                  </w:tcBorders>
                  <w:vAlign w:val="center"/>
                </w:tcPr>
                <w:p>
                  <w:pPr>
                    <w:jc w:val="center"/>
                    <w:rPr>
                      <w:rFonts w:cs="Times New Roman"/>
                      <w:bCs/>
                      <w:color w:val="auto"/>
                      <w:sz w:val="21"/>
                      <w:szCs w:val="21"/>
                    </w:rPr>
                  </w:pPr>
                </w:p>
              </w:tc>
              <w:tc>
                <w:tcPr>
                  <w:tcW w:w="1114" w:type="dxa"/>
                  <w:tcBorders>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总磷</w:t>
                  </w:r>
                </w:p>
              </w:tc>
              <w:tc>
                <w:tcPr>
                  <w:tcW w:w="1005" w:type="dxa"/>
                  <w:tcBorders>
                    <w:top w:val="single" w:color="auto" w:sz="6" w:space="0"/>
                    <w:left w:val="single" w:color="auto" w:sz="4"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mg/L</w:t>
                  </w:r>
                </w:p>
              </w:tc>
              <w:tc>
                <w:tcPr>
                  <w:tcW w:w="1144" w:type="dxa"/>
                  <w:tcBorders>
                    <w:top w:val="single" w:color="auto" w:sz="6"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restart"/>
                  <w:tcBorders>
                    <w:top w:val="single" w:color="auto" w:sz="6" w:space="0"/>
                    <w:left w:val="nil"/>
                    <w:bottom w:val="single" w:color="auto" w:sz="6" w:space="0"/>
                  </w:tcBorders>
                  <w:vAlign w:val="center"/>
                </w:tcPr>
                <w:p>
                  <w:pPr>
                    <w:jc w:val="center"/>
                    <w:rPr>
                      <w:rFonts w:cs="Times New Roman"/>
                      <w:bCs/>
                      <w:color w:val="auto"/>
                      <w:sz w:val="21"/>
                      <w:szCs w:val="21"/>
                    </w:rPr>
                  </w:pPr>
                  <w:r>
                    <w:rPr>
                      <w:rFonts w:cs="Times New Roman"/>
                      <w:bCs/>
                      <w:color w:val="auto"/>
                      <w:sz w:val="21"/>
                      <w:szCs w:val="21"/>
                    </w:rPr>
                    <w:t>噪声</w:t>
                  </w:r>
                </w:p>
              </w:tc>
              <w:tc>
                <w:tcPr>
                  <w:tcW w:w="4281" w:type="dxa"/>
                  <w:gridSpan w:val="2"/>
                  <w:vMerge w:val="restart"/>
                  <w:tcBorders>
                    <w:top w:val="single" w:color="auto" w:sz="6"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《工业企业厂界环境噪声排放标准》</w:t>
                  </w:r>
                </w:p>
                <w:p>
                  <w:pPr>
                    <w:jc w:val="center"/>
                    <w:rPr>
                      <w:rFonts w:cs="Times New Roman"/>
                      <w:bCs/>
                      <w:color w:val="auto"/>
                      <w:sz w:val="21"/>
                      <w:szCs w:val="21"/>
                    </w:rPr>
                  </w:pPr>
                  <w:r>
                    <w:rPr>
                      <w:rFonts w:cs="Times New Roman"/>
                      <w:bCs/>
                      <w:color w:val="auto"/>
                      <w:sz w:val="21"/>
                      <w:szCs w:val="21"/>
                    </w:rPr>
                    <w:t>（GB12348-2008）</w:t>
                  </w:r>
                  <w:r>
                    <w:rPr>
                      <w:rFonts w:hint="eastAsia" w:cs="Times New Roman"/>
                      <w:bCs/>
                      <w:color w:val="auto"/>
                      <w:sz w:val="21"/>
                      <w:szCs w:val="21"/>
                    </w:rPr>
                    <w:t>2</w:t>
                  </w:r>
                  <w:r>
                    <w:rPr>
                      <w:rFonts w:cs="Times New Roman"/>
                      <w:bCs/>
                      <w:color w:val="auto"/>
                      <w:sz w:val="21"/>
                      <w:szCs w:val="21"/>
                    </w:rPr>
                    <w:t>类</w:t>
                  </w:r>
                </w:p>
              </w:tc>
              <w:tc>
                <w:tcPr>
                  <w:tcW w:w="1114" w:type="dxa"/>
                  <w:vMerge w:val="restart"/>
                  <w:tcBorders>
                    <w:top w:val="single" w:color="auto" w:sz="6" w:space="0"/>
                    <w:bottom w:val="single" w:color="auto" w:sz="6" w:space="0"/>
                  </w:tcBorders>
                  <w:vAlign w:val="center"/>
                </w:tcPr>
                <w:p>
                  <w:pPr>
                    <w:jc w:val="center"/>
                    <w:rPr>
                      <w:rFonts w:cs="Times New Roman"/>
                      <w:bCs/>
                      <w:color w:val="auto"/>
                      <w:sz w:val="21"/>
                      <w:szCs w:val="21"/>
                    </w:rPr>
                  </w:pPr>
                  <w:r>
                    <w:rPr>
                      <w:rFonts w:cs="Times New Roman"/>
                      <w:bCs/>
                      <w:color w:val="auto"/>
                      <w:sz w:val="21"/>
                      <w:szCs w:val="21"/>
                    </w:rPr>
                    <w:t>Leq</w:t>
                  </w:r>
                </w:p>
              </w:tc>
              <w:tc>
                <w:tcPr>
                  <w:tcW w:w="1005" w:type="dxa"/>
                  <w:tcBorders>
                    <w:top w:val="single" w:color="auto" w:sz="6" w:space="0"/>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昼间</w:t>
                  </w:r>
                </w:p>
              </w:tc>
              <w:tc>
                <w:tcPr>
                  <w:tcW w:w="1144" w:type="dxa"/>
                  <w:tcBorders>
                    <w:top w:val="single" w:color="auto" w:sz="6" w:space="0"/>
                    <w:left w:val="single" w:color="auto" w:sz="4"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6</w:t>
                  </w:r>
                  <w:r>
                    <w:rPr>
                      <w:rFonts w:hint="eastAsia" w:cs="Times New Roman"/>
                      <w:bCs/>
                      <w:color w:val="auto"/>
                      <w:sz w:val="21"/>
                      <w:szCs w:val="21"/>
                    </w:rPr>
                    <w:t>0</w:t>
                  </w:r>
                  <w:r>
                    <w:rPr>
                      <w:rFonts w:cs="Times New Roman"/>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top w:val="single" w:color="auto" w:sz="6" w:space="0"/>
                    <w:left w:val="nil"/>
                    <w:bottom w:val="single" w:color="auto" w:sz="6" w:space="0"/>
                  </w:tcBorders>
                  <w:vAlign w:val="center"/>
                </w:tcPr>
                <w:p>
                  <w:pPr>
                    <w:jc w:val="center"/>
                    <w:rPr>
                      <w:rFonts w:cs="Times New Roman"/>
                      <w:bCs/>
                      <w:color w:val="auto"/>
                      <w:sz w:val="21"/>
                      <w:szCs w:val="21"/>
                    </w:rPr>
                  </w:pPr>
                </w:p>
              </w:tc>
              <w:tc>
                <w:tcPr>
                  <w:tcW w:w="4281" w:type="dxa"/>
                  <w:gridSpan w:val="2"/>
                  <w:vMerge w:val="continue"/>
                  <w:tcBorders>
                    <w:top w:val="single" w:color="auto" w:sz="6" w:space="0"/>
                    <w:bottom w:val="single" w:color="auto" w:sz="6" w:space="0"/>
                  </w:tcBorders>
                  <w:vAlign w:val="center"/>
                </w:tcPr>
                <w:p>
                  <w:pPr>
                    <w:jc w:val="center"/>
                    <w:rPr>
                      <w:rFonts w:cs="Times New Roman"/>
                      <w:bCs/>
                      <w:color w:val="auto"/>
                      <w:sz w:val="21"/>
                      <w:szCs w:val="21"/>
                    </w:rPr>
                  </w:pPr>
                </w:p>
              </w:tc>
              <w:tc>
                <w:tcPr>
                  <w:tcW w:w="1114" w:type="dxa"/>
                  <w:vMerge w:val="continue"/>
                  <w:tcBorders>
                    <w:top w:val="single" w:color="auto" w:sz="6" w:space="0"/>
                    <w:bottom w:val="single" w:color="auto" w:sz="6" w:space="0"/>
                  </w:tcBorders>
                  <w:vAlign w:val="center"/>
                </w:tcPr>
                <w:p>
                  <w:pPr>
                    <w:jc w:val="center"/>
                    <w:rPr>
                      <w:rFonts w:cs="Times New Roman"/>
                      <w:bCs/>
                      <w:color w:val="auto"/>
                      <w:sz w:val="21"/>
                      <w:szCs w:val="21"/>
                    </w:rPr>
                  </w:pPr>
                </w:p>
              </w:tc>
              <w:tc>
                <w:tcPr>
                  <w:tcW w:w="1005" w:type="dxa"/>
                  <w:tcBorders>
                    <w:top w:val="single" w:color="auto" w:sz="6" w:space="0"/>
                    <w:bottom w:val="single" w:color="auto" w:sz="6" w:space="0"/>
                    <w:right w:val="single" w:color="auto" w:sz="4" w:space="0"/>
                  </w:tcBorders>
                  <w:vAlign w:val="center"/>
                </w:tcPr>
                <w:p>
                  <w:pPr>
                    <w:jc w:val="center"/>
                    <w:rPr>
                      <w:rFonts w:cs="Times New Roman"/>
                      <w:bCs/>
                      <w:color w:val="auto"/>
                      <w:sz w:val="21"/>
                      <w:szCs w:val="21"/>
                    </w:rPr>
                  </w:pPr>
                  <w:r>
                    <w:rPr>
                      <w:rFonts w:cs="Times New Roman"/>
                      <w:bCs/>
                      <w:color w:val="auto"/>
                      <w:sz w:val="21"/>
                      <w:szCs w:val="21"/>
                    </w:rPr>
                    <w:t>夜间</w:t>
                  </w:r>
                </w:p>
              </w:tc>
              <w:tc>
                <w:tcPr>
                  <w:tcW w:w="1144" w:type="dxa"/>
                  <w:tcBorders>
                    <w:top w:val="single" w:color="auto" w:sz="6" w:space="0"/>
                    <w:left w:val="single" w:color="auto" w:sz="4"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5</w:t>
                  </w:r>
                  <w:r>
                    <w:rPr>
                      <w:rFonts w:hint="eastAsia" w:cs="Times New Roman"/>
                      <w:bCs/>
                      <w:color w:val="auto"/>
                      <w:sz w:val="21"/>
                      <w:szCs w:val="21"/>
                    </w:rPr>
                    <w:t>0</w:t>
                  </w:r>
                  <w:r>
                    <w:rPr>
                      <w:rFonts w:cs="Times New Roman"/>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restart"/>
                  <w:tcBorders>
                    <w:top w:val="single" w:color="auto" w:sz="6" w:space="0"/>
                    <w:left w:val="nil"/>
                    <w:bottom w:val="single" w:color="auto" w:sz="6" w:space="0"/>
                  </w:tcBorders>
                  <w:vAlign w:val="center"/>
                </w:tcPr>
                <w:p>
                  <w:pPr>
                    <w:jc w:val="center"/>
                    <w:rPr>
                      <w:rFonts w:cs="Times New Roman"/>
                      <w:bCs/>
                      <w:color w:val="auto"/>
                      <w:sz w:val="21"/>
                      <w:szCs w:val="21"/>
                    </w:rPr>
                  </w:pPr>
                  <w:r>
                    <w:rPr>
                      <w:rFonts w:cs="Times New Roman"/>
                      <w:bCs/>
                      <w:color w:val="auto"/>
                      <w:sz w:val="21"/>
                      <w:szCs w:val="21"/>
                    </w:rPr>
                    <w:t>固废</w:t>
                  </w:r>
                </w:p>
              </w:tc>
              <w:tc>
                <w:tcPr>
                  <w:tcW w:w="7544" w:type="dxa"/>
                  <w:gridSpan w:val="5"/>
                  <w:tcBorders>
                    <w:top w:val="single" w:color="auto" w:sz="6" w:space="0"/>
                    <w:bottom w:val="single" w:color="auto" w:sz="6" w:space="0"/>
                    <w:right w:val="nil"/>
                  </w:tcBorders>
                  <w:vAlign w:val="center"/>
                </w:tcPr>
                <w:p>
                  <w:pPr>
                    <w:jc w:val="center"/>
                    <w:rPr>
                      <w:rFonts w:cs="Times New Roman"/>
                      <w:bCs/>
                      <w:color w:val="auto"/>
                      <w:sz w:val="21"/>
                      <w:szCs w:val="21"/>
                    </w:rPr>
                  </w:pPr>
                  <w:r>
                    <w:rPr>
                      <w:rFonts w:cs="Times New Roman"/>
                      <w:bCs/>
                      <w:color w:val="auto"/>
                      <w:sz w:val="21"/>
                      <w:szCs w:val="21"/>
                    </w:rPr>
                    <w:t>《一般工业固体废物贮存、处置场污染控制标准（GB18599-2001）》（2013修订）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95" w:type="dxa"/>
                  <w:vMerge w:val="continue"/>
                  <w:tcBorders>
                    <w:top w:val="single" w:color="auto" w:sz="6" w:space="0"/>
                    <w:left w:val="nil"/>
                    <w:bottom w:val="single" w:color="auto" w:sz="4" w:space="0"/>
                  </w:tcBorders>
                  <w:vAlign w:val="center"/>
                </w:tcPr>
                <w:p>
                  <w:pPr>
                    <w:jc w:val="center"/>
                    <w:rPr>
                      <w:rFonts w:cs="Times New Roman"/>
                      <w:bCs/>
                      <w:color w:val="auto"/>
                      <w:sz w:val="21"/>
                      <w:szCs w:val="21"/>
                    </w:rPr>
                  </w:pPr>
                </w:p>
              </w:tc>
              <w:tc>
                <w:tcPr>
                  <w:tcW w:w="7544" w:type="dxa"/>
                  <w:gridSpan w:val="5"/>
                  <w:tcBorders>
                    <w:top w:val="single" w:color="auto" w:sz="6" w:space="0"/>
                    <w:bottom w:val="single" w:color="auto" w:sz="4" w:space="0"/>
                    <w:right w:val="nil"/>
                  </w:tcBorders>
                  <w:vAlign w:val="center"/>
                </w:tcPr>
                <w:p>
                  <w:pPr>
                    <w:jc w:val="center"/>
                    <w:rPr>
                      <w:rFonts w:cs="Times New Roman"/>
                      <w:bCs/>
                      <w:color w:val="auto"/>
                      <w:sz w:val="21"/>
                      <w:szCs w:val="21"/>
                    </w:rPr>
                  </w:pPr>
                  <w:r>
                    <w:rPr>
                      <w:rFonts w:cs="Times New Roman"/>
                      <w:bCs/>
                      <w:color w:val="auto"/>
                      <w:sz w:val="21"/>
                      <w:szCs w:val="21"/>
                    </w:rPr>
                    <w:t>《危险废物贮存污染控制标准（GB18597-2001）》（2013修订）</w:t>
                  </w:r>
                </w:p>
              </w:tc>
            </w:tr>
          </w:tbl>
          <w:p>
            <w:pPr>
              <w:adjustRightInd w:val="0"/>
              <w:snapToGrid w:val="0"/>
              <w:spacing w:line="280" w:lineRule="exact"/>
              <w:ind w:firstLine="420" w:firstLineChars="200"/>
              <w:jc w:val="left"/>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dxa"/>
            <w:vAlign w:val="center"/>
          </w:tcPr>
          <w:p>
            <w:pPr>
              <w:jc w:val="center"/>
              <w:rPr>
                <w:rFonts w:cs="Times New Roman"/>
                <w:b/>
                <w:color w:val="auto"/>
                <w:sz w:val="21"/>
                <w:szCs w:val="21"/>
                <w:highlight w:val="yellow"/>
              </w:rPr>
            </w:pPr>
            <w:r>
              <w:rPr>
                <w:rFonts w:cs="Times New Roman"/>
                <w:b/>
                <w:color w:val="auto"/>
                <w:sz w:val="21"/>
                <w:szCs w:val="21"/>
              </w:rPr>
              <w:t>总量控制指标</w:t>
            </w:r>
          </w:p>
        </w:tc>
        <w:tc>
          <w:tcPr>
            <w:tcW w:w="8369" w:type="dxa"/>
            <w:vAlign w:val="center"/>
          </w:tcPr>
          <w:p>
            <w:pPr>
              <w:spacing w:line="360" w:lineRule="auto"/>
              <w:ind w:firstLine="480" w:firstLineChars="200"/>
              <w:rPr>
                <w:color w:val="auto"/>
                <w:kern w:val="0"/>
                <w:sz w:val="24"/>
                <w:lang w:val="zh-CN"/>
              </w:rPr>
            </w:pPr>
            <w:r>
              <w:rPr>
                <w:color w:val="auto"/>
                <w:kern w:val="0"/>
                <w:sz w:val="24"/>
                <w:lang w:val="zh-CN"/>
              </w:rPr>
              <w:t>本项目</w:t>
            </w:r>
            <w:r>
              <w:rPr>
                <w:color w:val="auto"/>
                <w:kern w:val="0"/>
                <w:sz w:val="24"/>
              </w:rPr>
              <w:t>大气污染物排放主要为</w:t>
            </w:r>
            <w:r>
              <w:rPr>
                <w:rFonts w:hint="eastAsia"/>
                <w:color w:val="auto"/>
                <w:kern w:val="0"/>
                <w:sz w:val="24"/>
              </w:rPr>
              <w:t>配料工序产生的颗粒物和烘干、烘焙过程中产生的NO</w:t>
            </w:r>
            <w:r>
              <w:rPr>
                <w:rFonts w:hint="eastAsia"/>
                <w:color w:val="auto"/>
                <w:kern w:val="0"/>
                <w:sz w:val="24"/>
                <w:vertAlign w:val="subscript"/>
              </w:rPr>
              <w:t>2</w:t>
            </w:r>
            <w:r>
              <w:rPr>
                <w:rFonts w:hint="eastAsia"/>
                <w:color w:val="auto"/>
                <w:kern w:val="0"/>
                <w:sz w:val="24"/>
              </w:rPr>
              <w:t>，新增颗粒物排放量0.0042t/a，新增NO</w:t>
            </w:r>
            <w:r>
              <w:rPr>
                <w:rFonts w:hint="eastAsia"/>
                <w:color w:val="auto"/>
                <w:kern w:val="0"/>
                <w:sz w:val="24"/>
                <w:vertAlign w:val="subscript"/>
              </w:rPr>
              <w:t>2</w:t>
            </w:r>
            <w:r>
              <w:rPr>
                <w:rFonts w:hint="eastAsia"/>
                <w:color w:val="auto"/>
                <w:kern w:val="0"/>
                <w:sz w:val="24"/>
              </w:rPr>
              <w:t>排放量0.0235t/a</w:t>
            </w:r>
            <w:r>
              <w:rPr>
                <w:color w:val="auto"/>
                <w:kern w:val="0"/>
                <w:sz w:val="24"/>
                <w:lang w:val="zh-CN"/>
              </w:rPr>
              <w:t>；</w:t>
            </w:r>
            <w:r>
              <w:rPr>
                <w:color w:val="auto"/>
                <w:kern w:val="0"/>
                <w:sz w:val="24"/>
              </w:rPr>
              <w:t>项目废水主要为生活污水，</w:t>
            </w:r>
            <w:r>
              <w:rPr>
                <w:color w:val="auto"/>
                <w:kern w:val="0"/>
                <w:sz w:val="24"/>
                <w:lang w:val="zh-CN"/>
              </w:rPr>
              <w:t>生活污水经化粪池处理后</w:t>
            </w:r>
            <w:r>
              <w:rPr>
                <w:rFonts w:hint="eastAsia"/>
                <w:color w:val="auto"/>
                <w:kern w:val="0"/>
                <w:sz w:val="24"/>
              </w:rPr>
              <w:t>定期清运，待大块镇污水处理厂正式运行后排入大块镇污水处理厂进一步处理，最终排入共产主义渠</w:t>
            </w:r>
            <w:r>
              <w:rPr>
                <w:color w:val="auto"/>
                <w:kern w:val="0"/>
                <w:sz w:val="24"/>
                <w:lang w:val="zh-CN"/>
              </w:rPr>
              <w:t>。废水排放量为</w:t>
            </w:r>
            <w:r>
              <w:rPr>
                <w:rFonts w:hint="eastAsia"/>
                <w:color w:val="auto"/>
                <w:kern w:val="0"/>
                <w:sz w:val="24"/>
              </w:rPr>
              <w:t>72</w:t>
            </w:r>
            <w:r>
              <w:rPr>
                <w:color w:val="auto"/>
                <w:kern w:val="0"/>
                <w:sz w:val="24"/>
                <w:lang w:val="zh-CN"/>
              </w:rPr>
              <w:t>m</w:t>
            </w:r>
            <w:r>
              <w:rPr>
                <w:color w:val="auto"/>
                <w:kern w:val="0"/>
                <w:sz w:val="24"/>
                <w:vertAlign w:val="superscript"/>
                <w:lang w:val="zh-CN"/>
              </w:rPr>
              <w:t>3</w:t>
            </w:r>
            <w:r>
              <w:rPr>
                <w:color w:val="auto"/>
                <w:kern w:val="0"/>
                <w:sz w:val="24"/>
                <w:lang w:val="zh-CN"/>
              </w:rPr>
              <w:t>/a。废水经</w:t>
            </w:r>
            <w:r>
              <w:rPr>
                <w:rFonts w:hint="eastAsia"/>
                <w:color w:val="auto"/>
                <w:kern w:val="0"/>
                <w:sz w:val="24"/>
              </w:rPr>
              <w:t>大块镇污水</w:t>
            </w:r>
            <w:r>
              <w:rPr>
                <w:color w:val="auto"/>
                <w:kern w:val="0"/>
                <w:sz w:val="24"/>
                <w:lang w:val="zh-CN"/>
              </w:rPr>
              <w:t>处理厂处理后排放浓度为COD40mg/L、氨氮2.0mg/L、总磷0.4mg/L，则全厂水污染物排放量为COD</w:t>
            </w:r>
            <w:r>
              <w:rPr>
                <w:rFonts w:hint="eastAsia"/>
                <w:color w:val="auto"/>
                <w:kern w:val="0"/>
                <w:sz w:val="24"/>
              </w:rPr>
              <w:t>0.0029</w:t>
            </w:r>
            <w:r>
              <w:rPr>
                <w:color w:val="auto"/>
                <w:kern w:val="0"/>
                <w:sz w:val="24"/>
                <w:lang w:val="zh-CN"/>
              </w:rPr>
              <w:t>t/a、氨氮0.000</w:t>
            </w:r>
            <w:r>
              <w:rPr>
                <w:rFonts w:hint="eastAsia"/>
                <w:color w:val="auto"/>
                <w:kern w:val="0"/>
                <w:sz w:val="24"/>
              </w:rPr>
              <w:t>1</w:t>
            </w:r>
            <w:r>
              <w:rPr>
                <w:color w:val="auto"/>
                <w:kern w:val="0"/>
                <w:sz w:val="24"/>
                <w:lang w:val="zh-CN"/>
              </w:rPr>
              <w:t>t/a、总磷0.0000</w:t>
            </w:r>
            <w:r>
              <w:rPr>
                <w:rFonts w:hint="eastAsia"/>
                <w:color w:val="auto"/>
                <w:kern w:val="0"/>
                <w:sz w:val="24"/>
              </w:rPr>
              <w:t>3</w:t>
            </w:r>
            <w:r>
              <w:rPr>
                <w:color w:val="auto"/>
                <w:kern w:val="0"/>
                <w:sz w:val="24"/>
                <w:lang w:val="zh-CN"/>
              </w:rPr>
              <w:t>t/a。</w:t>
            </w:r>
          </w:p>
          <w:p>
            <w:pPr>
              <w:spacing w:line="312" w:lineRule="auto"/>
              <w:ind w:firstLine="482" w:firstLineChars="200"/>
              <w:rPr>
                <w:rFonts w:cs="Times New Roman"/>
                <w:color w:val="auto"/>
                <w:sz w:val="24"/>
                <w:szCs w:val="24"/>
              </w:rPr>
            </w:pPr>
            <w:r>
              <w:rPr>
                <w:rFonts w:hint="eastAsia"/>
                <w:b/>
                <w:bCs/>
                <w:kern w:val="0"/>
                <w:sz w:val="24"/>
                <w:szCs w:val="24"/>
                <w:u w:val="single"/>
              </w:rPr>
              <w:t>根据《新乡市建设项目新增总量指标替代管理指导意见（试行）》 ，建设项目新增主要污染物排放总量指标均实行减量替代，该项目新增主要污染物排放量为</w:t>
            </w:r>
            <w:r>
              <w:rPr>
                <w:b/>
                <w:bCs/>
                <w:kern w:val="0"/>
                <w:sz w:val="24"/>
                <w:szCs w:val="24"/>
                <w:u w:val="single"/>
              </w:rPr>
              <w:t>COD</w:t>
            </w:r>
            <w:r>
              <w:rPr>
                <w:rFonts w:hint="eastAsia"/>
                <w:b/>
                <w:bCs/>
                <w:kern w:val="0"/>
                <w:sz w:val="24"/>
                <w:szCs w:val="24"/>
                <w:u w:val="single"/>
                <w:lang w:val="en-US" w:eastAsia="zh-CN"/>
              </w:rPr>
              <w:t>0.0029</w:t>
            </w:r>
            <w:r>
              <w:rPr>
                <w:b/>
                <w:bCs/>
                <w:kern w:val="0"/>
                <w:sz w:val="24"/>
                <w:szCs w:val="24"/>
                <w:u w:val="single"/>
              </w:rPr>
              <w:t>t/a、氨氮</w:t>
            </w:r>
            <w:r>
              <w:rPr>
                <w:rFonts w:hint="eastAsia"/>
                <w:b/>
                <w:bCs/>
                <w:kern w:val="0"/>
                <w:sz w:val="24"/>
                <w:szCs w:val="24"/>
                <w:u w:val="single"/>
                <w:lang w:val="en-US" w:eastAsia="zh-CN"/>
              </w:rPr>
              <w:t>0.0001</w:t>
            </w:r>
            <w:r>
              <w:rPr>
                <w:b/>
                <w:bCs/>
                <w:kern w:val="0"/>
                <w:sz w:val="24"/>
                <w:szCs w:val="24"/>
                <w:u w:val="single"/>
              </w:rPr>
              <w:t>t/a、总磷0.00</w:t>
            </w:r>
            <w:r>
              <w:rPr>
                <w:rFonts w:hint="eastAsia"/>
                <w:b/>
                <w:bCs/>
                <w:kern w:val="0"/>
                <w:sz w:val="24"/>
                <w:szCs w:val="24"/>
                <w:u w:val="single"/>
                <w:lang w:val="en-US" w:eastAsia="zh-CN"/>
              </w:rPr>
              <w:t>003</w:t>
            </w:r>
            <w:r>
              <w:rPr>
                <w:b/>
                <w:bCs/>
                <w:kern w:val="0"/>
                <w:sz w:val="24"/>
                <w:szCs w:val="24"/>
                <w:u w:val="single"/>
              </w:rPr>
              <w:t>t/a</w:t>
            </w:r>
            <w:r>
              <w:rPr>
                <w:rFonts w:hint="eastAsia"/>
                <w:b/>
                <w:bCs/>
                <w:kern w:val="0"/>
                <w:sz w:val="24"/>
                <w:szCs w:val="24"/>
                <w:u w:val="single"/>
              </w:rPr>
              <w:t>；颗粒物0.0</w:t>
            </w:r>
            <w:r>
              <w:rPr>
                <w:rFonts w:hint="eastAsia"/>
                <w:b/>
                <w:bCs/>
                <w:kern w:val="0"/>
                <w:sz w:val="24"/>
                <w:szCs w:val="24"/>
                <w:u w:val="single"/>
                <w:lang w:val="en-US" w:eastAsia="zh-CN"/>
              </w:rPr>
              <w:t>042</w:t>
            </w:r>
            <w:r>
              <w:rPr>
                <w:rFonts w:hint="eastAsia"/>
                <w:b/>
                <w:bCs/>
                <w:kern w:val="0"/>
                <w:sz w:val="24"/>
                <w:szCs w:val="24"/>
                <w:u w:val="single"/>
              </w:rPr>
              <w:t>t/a、NOx0.0</w:t>
            </w:r>
            <w:r>
              <w:rPr>
                <w:rFonts w:hint="eastAsia"/>
                <w:b/>
                <w:bCs/>
                <w:kern w:val="0"/>
                <w:sz w:val="24"/>
                <w:szCs w:val="24"/>
                <w:u w:val="single"/>
                <w:lang w:val="en-US" w:eastAsia="zh-CN"/>
              </w:rPr>
              <w:t>235</w:t>
            </w:r>
            <w:r>
              <w:rPr>
                <w:rFonts w:hint="eastAsia"/>
                <w:b/>
                <w:bCs/>
                <w:kern w:val="0"/>
                <w:sz w:val="24"/>
                <w:szCs w:val="24"/>
                <w:u w:val="single"/>
              </w:rPr>
              <w:t>t/a，区域内同意该项目从年度总量预算指标内</w:t>
            </w:r>
            <w:r>
              <w:rPr>
                <w:rFonts w:hint="eastAsia"/>
                <w:b/>
                <w:bCs/>
                <w:kern w:val="0"/>
                <w:sz w:val="24"/>
                <w:szCs w:val="24"/>
                <w:u w:val="single"/>
                <w:lang w:eastAsia="zh-CN"/>
              </w:rPr>
              <w:t>支取</w:t>
            </w:r>
            <w:r>
              <w:rPr>
                <w:rFonts w:hint="eastAsia"/>
                <w:b/>
                <w:bCs/>
                <w:kern w:val="0"/>
                <w:sz w:val="24"/>
                <w:szCs w:val="24"/>
                <w:u w:val="single"/>
              </w:rPr>
              <w:t>。</w:t>
            </w:r>
          </w:p>
        </w:tc>
      </w:tr>
    </w:tbl>
    <w:p>
      <w:pPr>
        <w:jc w:val="left"/>
        <w:rPr>
          <w:rFonts w:eastAsia="黑体" w:cs="Times New Roman"/>
          <w:color w:val="auto"/>
          <w:sz w:val="30"/>
        </w:rPr>
      </w:pPr>
      <w:r>
        <w:rPr>
          <w:rFonts w:cs="Times New Roman"/>
          <w:b/>
          <w:color w:val="auto"/>
          <w:sz w:val="30"/>
        </w:rPr>
        <w:br w:type="page"/>
      </w:r>
      <w:r>
        <w:rPr>
          <w:rFonts w:eastAsia="黑体" w:cs="Times New Roman"/>
          <w:color w:val="auto"/>
          <w:sz w:val="30"/>
        </w:rPr>
        <w:t>建设项目工程分析</w:t>
      </w:r>
    </w:p>
    <w:tbl>
      <w:tblPr>
        <w:tblStyle w:val="26"/>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8" w:hRule="atLeast"/>
          <w:jc w:val="center"/>
        </w:trPr>
        <w:tc>
          <w:tcPr>
            <w:tcW w:w="8802" w:type="dxa"/>
            <w:vAlign w:val="center"/>
          </w:tcPr>
          <w:p>
            <w:pPr>
              <w:spacing w:line="360" w:lineRule="auto"/>
              <w:rPr>
                <w:rFonts w:eastAsia="黑体" w:cs="Times New Roman"/>
                <w:color w:val="auto"/>
                <w:szCs w:val="28"/>
              </w:rPr>
            </w:pPr>
            <w:r>
              <w:rPr>
                <w:rFonts w:eastAsia="黑体" w:cs="Times New Roman"/>
                <w:color w:val="auto"/>
                <w:szCs w:val="28"/>
              </w:rPr>
              <w:t>一、工艺流程简述及产污环节</w:t>
            </w:r>
          </w:p>
          <w:p>
            <w:pPr>
              <w:pStyle w:val="80"/>
              <w:spacing w:after="156" w:afterLines="50" w:line="360" w:lineRule="auto"/>
              <w:rPr>
                <w:rFonts w:hint="default" w:ascii="Times New Roman" w:hAnsi="Times New Roman"/>
                <w:b w:val="0"/>
                <w:bCs/>
                <w:color w:val="auto"/>
                <w:sz w:val="24"/>
                <w:szCs w:val="24"/>
                <w:lang w:eastAsia="zh-CN"/>
              </w:rPr>
            </w:pPr>
            <w:r>
              <w:rPr>
                <w:rFonts w:hint="default" w:ascii="Times New Roman" w:hAnsi="Times New Roman"/>
                <w:b w:val="0"/>
                <w:bCs/>
                <w:color w:val="auto"/>
                <w:sz w:val="24"/>
                <w:szCs w:val="24"/>
                <w:lang w:eastAsia="zh-CN"/>
              </w:rPr>
              <w:t>本项目产品为</w:t>
            </w:r>
            <w:r>
              <w:rPr>
                <w:rFonts w:ascii="Times New Roman" w:hAnsi="Times New Roman"/>
                <w:b w:val="0"/>
                <w:bCs/>
                <w:color w:val="auto"/>
                <w:sz w:val="24"/>
                <w:szCs w:val="24"/>
                <w:lang w:eastAsia="zh-CN"/>
              </w:rPr>
              <w:t>柴油机尾气净化装置生产，生产工艺包括配料、涂覆、干燥、焙烧等</w:t>
            </w:r>
            <w:r>
              <w:rPr>
                <w:rFonts w:hint="default" w:ascii="Times New Roman" w:hAnsi="Times New Roman"/>
                <w:b w:val="0"/>
                <w:bCs/>
                <w:color w:val="auto"/>
                <w:sz w:val="24"/>
                <w:szCs w:val="24"/>
                <w:lang w:eastAsia="zh-CN"/>
              </w:rPr>
              <w:t>，工艺流程如下图所示：</w:t>
            </w:r>
          </w:p>
          <w:p>
            <w:pPr>
              <w:spacing w:line="440" w:lineRule="exact"/>
              <w:ind w:firstLine="560" w:firstLineChars="200"/>
              <w:textAlignment w:val="baseline"/>
              <w:rPr>
                <w:rFonts w:cs="Times New Roman"/>
                <w:color w:val="auto"/>
              </w:rPr>
            </w:pPr>
            <w:r>
              <w:rPr>
                <w:color w:val="auto"/>
              </w:rPr>
              <w:pict>
                <v:shape id="_x0000_s1042" o:spid="_x0000_s1042" o:spt="202" type="#_x0000_t202" style="position:absolute;left:0pt;margin-left:211.2pt;margin-top:16.35pt;height:23.2pt;width:41.6pt;z-index:251623424;mso-width-relative:page;mso-height-relative:page;" filled="f" stroked="f" coordsize="21600,21600">
                  <v:path/>
                  <v:fill on="f" focussize="0,0"/>
                  <v:stroke on="f" weight="0.5pt" joinstyle="miter"/>
                  <v:imagedata o:title=""/>
                  <o:lock v:ext="edit"/>
                  <v:textbox>
                    <w:txbxContent>
                      <w:p>
                        <w:pPr>
                          <w:rPr>
                            <w:sz w:val="21"/>
                            <w:szCs w:val="21"/>
                          </w:rPr>
                        </w:pPr>
                        <w:r>
                          <w:rPr>
                            <w:rFonts w:hint="eastAsia"/>
                            <w:sz w:val="21"/>
                            <w:szCs w:val="21"/>
                          </w:rPr>
                          <w:t>噪声</w:t>
                        </w:r>
                      </w:p>
                    </w:txbxContent>
                  </v:textbox>
                </v:shape>
              </w:pict>
            </w:r>
            <w:r>
              <w:rPr>
                <w:color w:val="auto"/>
              </w:rPr>
              <w:pict>
                <v:shape id="_x0000_s1039" o:spid="_x0000_s1039" o:spt="202" type="#_x0000_t202" style="position:absolute;left:0pt;margin-left:309.65pt;margin-top:15.45pt;height:23.2pt;width:41.6pt;z-index:251620352;mso-width-relative:page;mso-height-relative:page;" filled="f" stroked="f" coordsize="21600,21600">
                  <v:path/>
                  <v:fill on="f" focussize="0,0"/>
                  <v:stroke on="f" weight="0.5pt" joinstyle="miter"/>
                  <v:imagedata o:title=""/>
                  <o:lock v:ext="edit"/>
                  <v:textbox>
                    <w:txbxContent>
                      <w:p>
                        <w:pPr>
                          <w:rPr>
                            <w:sz w:val="21"/>
                            <w:szCs w:val="21"/>
                          </w:rPr>
                        </w:pPr>
                        <w:r>
                          <w:rPr>
                            <w:rFonts w:hint="eastAsia"/>
                            <w:sz w:val="21"/>
                            <w:szCs w:val="21"/>
                          </w:rPr>
                          <w:t>废气</w:t>
                        </w:r>
                      </w:p>
                    </w:txbxContent>
                  </v:textbox>
                </v:shape>
              </w:pict>
            </w:r>
            <w:r>
              <w:rPr>
                <w:color w:val="auto"/>
              </w:rPr>
              <w:pict>
                <v:shape id="_x0000_s1030" o:spid="_x0000_s1030" o:spt="202" type="#_x0000_t202" style="position:absolute;left:0pt;margin-left:117.65pt;margin-top:17.75pt;height:23.2pt;width:69.5pt;z-index:251611136;mso-width-relative:page;mso-height-relative:page;" filled="f" stroked="t" coordsize="21600,21600">
                  <v:path/>
                  <v:fill on="f" focussize="0,0"/>
                  <v:stroke weight="0.5pt" color="#FFFFFF" joinstyle="miter"/>
                  <v:imagedata o:title=""/>
                  <o:lock v:ext="edit"/>
                  <v:textbox>
                    <w:txbxContent>
                      <w:p>
                        <w:pPr>
                          <w:rPr>
                            <w:sz w:val="21"/>
                            <w:szCs w:val="21"/>
                          </w:rPr>
                        </w:pPr>
                        <w:r>
                          <w:rPr>
                            <w:rFonts w:hint="eastAsia"/>
                            <w:sz w:val="21"/>
                            <w:szCs w:val="21"/>
                          </w:rPr>
                          <w:t>废气、噪声</w:t>
                        </w:r>
                      </w:p>
                    </w:txbxContent>
                  </v:textbox>
                </v:shape>
              </w:pict>
            </w:r>
          </w:p>
          <w:p>
            <w:pPr>
              <w:spacing w:line="440" w:lineRule="exact"/>
              <w:ind w:firstLine="560" w:firstLineChars="200"/>
              <w:textAlignment w:val="baseline"/>
              <w:rPr>
                <w:rFonts w:cs="Times New Roman"/>
                <w:color w:val="auto"/>
              </w:rPr>
            </w:pPr>
            <w:r>
              <w:rPr>
                <w:color w:val="auto"/>
              </w:rPr>
              <w:pict>
                <v:line id="_x0000_s1038" o:spid="_x0000_s1038" o:spt="20" style="position:absolute;left:0pt;flip:y;margin-left:327.4pt;margin-top:11.75pt;height:20.45pt;width:0.05pt;z-index:251619328;mso-width-relative:page;mso-height-relative:page;" coordsize="21600,21600">
                  <v:path arrowok="t"/>
                  <v:fill focussize="0,0"/>
                  <v:stroke weight="0.5pt" dashstyle="dash" endarrow="block"/>
                  <v:imagedata o:title=""/>
                  <o:lock v:ext="edit"/>
                </v:line>
              </w:pict>
            </w:r>
            <w:r>
              <w:rPr>
                <w:color w:val="auto"/>
              </w:rPr>
              <w:pict>
                <v:line id="_x0000_s1037" o:spid="_x0000_s1037" o:spt="20" style="position:absolute;left:0pt;flip:y;margin-left:229.2pt;margin-top:13.9pt;height:20.45pt;width:0.05pt;z-index:251618304;mso-width-relative:page;mso-height-relative:page;" coordsize="21600,21600">
                  <v:path arrowok="t"/>
                  <v:fill focussize="0,0"/>
                  <v:stroke weight="0.5pt" dashstyle="dash" endarrow="block"/>
                  <v:imagedata o:title=""/>
                  <o:lock v:ext="edit"/>
                </v:line>
              </w:pict>
            </w:r>
            <w:r>
              <w:rPr>
                <w:color w:val="auto"/>
              </w:rPr>
              <w:pict>
                <v:line id="_x0000_s1029" o:spid="_x0000_s1029" o:spt="20" style="position:absolute;left:0pt;flip:y;margin-left:150.4pt;margin-top:12.1pt;height:20.45pt;width:0.05pt;z-index:251610112;mso-width-relative:page;mso-height-relative:page;" coordsize="21600,21600">
                  <v:path arrowok="t"/>
                  <v:fill focussize="0,0"/>
                  <v:stroke weight="0.5pt" dashstyle="dash" endarrow="block"/>
                  <v:imagedata o:title=""/>
                  <o:lock v:ext="edit"/>
                </v:line>
              </w:pict>
            </w:r>
            <w:r>
              <w:rPr>
                <w:color w:val="auto"/>
              </w:rPr>
              <w:pict>
                <v:shape id="_x0000_s1028" o:spid="_x0000_s1028" o:spt="202" type="#_x0000_t202" style="position:absolute;left:0pt;margin-left:6.55pt;margin-top:10.95pt;height:69.45pt;width:92pt;z-index:251609088;mso-width-relative:page;mso-height-relative:page;" stroked="t" coordsize="21600,21600">
                  <v:path/>
                  <v:fill focussize="0,0"/>
                  <v:stroke weight="0.5pt" color="#FFFFFF" joinstyle="miter"/>
                  <v:imagedata o:title=""/>
                  <o:lock v:ext="edit"/>
                  <v:textbox>
                    <w:txbxContent>
                      <w:p>
                        <w:r>
                          <w:rPr>
                            <w:rFonts w:hint="eastAsia"/>
                            <w:sz w:val="21"/>
                            <w:szCs w:val="21"/>
                          </w:rPr>
                          <w:t>纯净水、铈锆氧化物、铝胶、氧化铝、硝酸、贵金属铂钯铑</w:t>
                        </w:r>
                      </w:p>
                    </w:txbxContent>
                  </v:textbox>
                </v:shape>
              </w:pict>
            </w:r>
          </w:p>
          <w:p>
            <w:pPr>
              <w:pStyle w:val="25"/>
              <w:ind w:left="560" w:firstLine="560"/>
              <w:rPr>
                <w:rFonts w:cs="Times New Roman"/>
                <w:color w:val="auto"/>
              </w:rPr>
            </w:pPr>
            <w:r>
              <w:rPr>
                <w:color w:val="auto"/>
              </w:rPr>
              <w:pict>
                <v:shape id="_x0000_s1034" o:spid="_x0000_s1034" o:spt="202" type="#_x0000_t202" style="position:absolute;left:0pt;margin-left:210.75pt;margin-top:10.95pt;height:25.25pt;width:44.35pt;z-index:251615232;mso-width-relative:page;mso-height-relative:page;" coordsize="21600,21600">
                  <v:path/>
                  <v:fill focussize="0,0"/>
                  <v:stroke weight="0.5pt" joinstyle="miter"/>
                  <v:imagedata o:title=""/>
                  <o:lock v:ext="edit"/>
                  <v:textbox>
                    <w:txbxContent>
                      <w:p>
                        <w:pPr>
                          <w:rPr>
                            <w:sz w:val="21"/>
                            <w:szCs w:val="21"/>
                          </w:rPr>
                        </w:pPr>
                        <w:r>
                          <w:rPr>
                            <w:rFonts w:hint="eastAsia"/>
                            <w:sz w:val="21"/>
                            <w:szCs w:val="21"/>
                          </w:rPr>
                          <w:t>涂覆</w:t>
                        </w:r>
                      </w:p>
                    </w:txbxContent>
                  </v:textbox>
                </v:shape>
              </w:pict>
            </w:r>
            <w:r>
              <w:rPr>
                <w:color w:val="auto"/>
              </w:rPr>
              <w:pict>
                <v:line id="_x0000_s1051" o:spid="_x0000_s1051" o:spt="20" style="position:absolute;left:0pt;margin-left:411.05pt;margin-top:35.4pt;height:16.5pt;width:0.05pt;z-index:251633664;mso-width-relative:page;mso-height-relative:page;" filled="t" coordsize="21600,21600">
                  <v:path arrowok="t"/>
                  <v:fill on="t" focussize="0,0"/>
                  <v:stroke weight="0.5pt" endarrow="block"/>
                  <v:imagedata o:title=""/>
                  <o:lock v:ext="edit"/>
                </v:line>
              </w:pict>
            </w:r>
            <w:r>
              <w:rPr>
                <w:color w:val="auto"/>
              </w:rPr>
              <w:pict>
                <v:shape id="_x0000_s1040" o:spid="_x0000_s1040" o:spt="202" type="#_x0000_t202" style="position:absolute;left:0pt;margin-left:391.85pt;margin-top:10.45pt;height:25.25pt;width:39.1pt;z-index:251621376;mso-width-relative:page;mso-height-relative:page;" coordsize="21600,21600">
                  <v:path/>
                  <v:fill focussize="0,0"/>
                  <v:stroke weight="0.5pt" joinstyle="miter"/>
                  <v:imagedata o:title=""/>
                  <o:lock v:ext="edit"/>
                  <v:textbox>
                    <w:txbxContent>
                      <w:p>
                        <w:pPr>
                          <w:rPr>
                            <w:sz w:val="21"/>
                            <w:szCs w:val="21"/>
                          </w:rPr>
                        </w:pPr>
                        <w:r>
                          <w:rPr>
                            <w:rFonts w:hint="eastAsia"/>
                            <w:sz w:val="21"/>
                            <w:szCs w:val="21"/>
                          </w:rPr>
                          <w:t>封壳</w:t>
                        </w:r>
                      </w:p>
                    </w:txbxContent>
                  </v:textbox>
                </v:shape>
              </w:pict>
            </w:r>
            <w:r>
              <w:rPr>
                <w:color w:val="auto"/>
              </w:rPr>
              <w:pict>
                <v:line id="_x0000_s1041" o:spid="_x0000_s1041" o:spt="20" style="position:absolute;left:0pt;margin-left:358.9pt;margin-top:22.9pt;height:0.05pt;width:34.1pt;z-index:251622400;mso-width-relative:page;mso-height-relative:page;" coordsize="21600,21600">
                  <v:path arrowok="t"/>
                  <v:fill focussize="0,0"/>
                  <v:stroke weight="0.5pt" endarrow="block"/>
                  <v:imagedata o:title=""/>
                  <o:lock v:ext="edit"/>
                </v:line>
              </w:pict>
            </w:r>
            <w:r>
              <w:rPr>
                <w:color w:val="auto"/>
              </w:rPr>
              <w:pict>
                <v:shape id="_x0000_s1036" o:spid="_x0000_s1036" o:spt="202" type="#_x0000_t202" style="position:absolute;left:0pt;margin-left:290.25pt;margin-top:10.05pt;height:25.25pt;width:68.2pt;z-index:251617280;mso-width-relative:page;mso-height-relative:page;" coordsize="21600,21600">
                  <v:path/>
                  <v:fill focussize="0,0"/>
                  <v:stroke weight="0.5pt" joinstyle="miter"/>
                  <v:imagedata o:title=""/>
                  <o:lock v:ext="edit"/>
                  <v:textbox>
                    <w:txbxContent>
                      <w:p>
                        <w:pPr>
                          <w:rPr>
                            <w:sz w:val="21"/>
                            <w:szCs w:val="21"/>
                          </w:rPr>
                        </w:pPr>
                        <w:r>
                          <w:rPr>
                            <w:rFonts w:hint="eastAsia"/>
                            <w:sz w:val="21"/>
                            <w:szCs w:val="21"/>
                          </w:rPr>
                          <w:t>干燥、焙烧</w:t>
                        </w:r>
                      </w:p>
                    </w:txbxContent>
                  </v:textbox>
                </v:shape>
              </w:pict>
            </w:r>
            <w:r>
              <w:rPr>
                <w:color w:val="auto"/>
              </w:rPr>
              <w:pict>
                <v:line id="_x0000_s1035" o:spid="_x0000_s1035" o:spt="20" style="position:absolute;left:0pt;margin-left:256.25pt;margin-top:23.85pt;height:0.05pt;width:34.1pt;z-index:251616256;mso-width-relative:page;mso-height-relative:page;" coordsize="21600,21600">
                  <v:path arrowok="t"/>
                  <v:fill focussize="0,0"/>
                  <v:stroke weight="0.5pt" endarrow="block"/>
                  <v:imagedata o:title=""/>
                  <o:lock v:ext="edit"/>
                </v:line>
              </w:pict>
            </w:r>
            <w:r>
              <w:rPr>
                <w:color w:val="auto"/>
              </w:rPr>
              <w:pict>
                <v:line id="_x0000_s1033" o:spid="_x0000_s1033" o:spt="20" style="position:absolute;left:0pt;margin-left:176.05pt;margin-top:24.1pt;height:0.05pt;width:34.1pt;z-index:251614208;mso-width-relative:page;mso-height-relative:page;" coordsize="21600,21600">
                  <v:path arrowok="t"/>
                  <v:fill focussize="0,0"/>
                  <v:stroke weight="0.5pt" endarrow="block"/>
                  <v:imagedata o:title=""/>
                  <o:lock v:ext="edit"/>
                </v:line>
              </w:pict>
            </w:r>
            <w:r>
              <w:rPr>
                <w:color w:val="auto"/>
              </w:rPr>
              <w:pict>
                <v:shape id="_x0000_s1032" o:spid="_x0000_s1032" o:spt="202" type="#_x0000_t202" style="position:absolute;left:0pt;margin-left:130.6pt;margin-top:10.7pt;height:25.25pt;width:44.35pt;z-index:251613184;mso-width-relative:page;mso-height-relative:page;" coordsize="21600,21600">
                  <v:path/>
                  <v:fill focussize="0,0"/>
                  <v:stroke weight="0.5pt" joinstyle="miter"/>
                  <v:imagedata o:title=""/>
                  <o:lock v:ext="edit"/>
                  <v:textbox>
                    <w:txbxContent>
                      <w:p>
                        <w:pPr>
                          <w:rPr>
                            <w:sz w:val="21"/>
                            <w:szCs w:val="21"/>
                          </w:rPr>
                        </w:pPr>
                        <w:r>
                          <w:rPr>
                            <w:rFonts w:hint="eastAsia"/>
                            <w:sz w:val="21"/>
                            <w:szCs w:val="21"/>
                          </w:rPr>
                          <w:t>配料</w:t>
                        </w:r>
                      </w:p>
                    </w:txbxContent>
                  </v:textbox>
                </v:shape>
              </w:pict>
            </w:r>
            <w:r>
              <w:rPr>
                <w:color w:val="auto"/>
              </w:rPr>
              <w:pict>
                <v:line id="_x0000_s1031" o:spid="_x0000_s1031" o:spt="20" style="position:absolute;left:0pt;margin-left:93.8pt;margin-top:23.7pt;height:0.05pt;width:34.1pt;z-index:251612160;mso-width-relative:page;mso-height-relative:page;" coordsize="21600,21600">
                  <v:path arrowok="t"/>
                  <v:fill focussize="0,0"/>
                  <v:stroke weight="0.5pt" endarrow="block"/>
                  <v:imagedata o:title=""/>
                  <o:lock v:ext="edit"/>
                </v:line>
              </w:pict>
            </w:r>
          </w:p>
          <w:p>
            <w:pPr>
              <w:rPr>
                <w:rFonts w:cs="Times New Roman"/>
                <w:color w:val="auto"/>
              </w:rPr>
            </w:pPr>
            <w:r>
              <w:rPr>
                <w:color w:val="auto"/>
              </w:rPr>
              <w:pict>
                <v:shape id="_x0000_s1052" o:spid="_x0000_s1052" o:spt="202" type="#_x0000_t202" style="position:absolute;left:0pt;margin-left:392.35pt;margin-top:8.7pt;height:27.7pt;width:36.75pt;z-index:251634688;mso-width-relative:page;mso-height-relative:page;" filled="f" stroked="f" coordsize="21600,21600">
                  <v:path/>
                  <v:fill on="f" focussize="0,0"/>
                  <v:stroke on="f" weight="0.5pt" joinstyle="miter"/>
                  <v:imagedata o:title=""/>
                  <o:lock v:ext="edit"/>
                  <v:textbox>
                    <w:txbxContent>
                      <w:p>
                        <w:pPr>
                          <w:rPr>
                            <w:sz w:val="21"/>
                            <w:szCs w:val="21"/>
                          </w:rPr>
                        </w:pPr>
                        <w:r>
                          <w:rPr>
                            <w:rFonts w:hint="eastAsia"/>
                            <w:sz w:val="21"/>
                            <w:szCs w:val="21"/>
                          </w:rPr>
                          <w:t>产品</w:t>
                        </w:r>
                      </w:p>
                    </w:txbxContent>
                  </v:textbox>
                </v:shape>
              </w:pict>
            </w:r>
          </w:p>
          <w:p>
            <w:pPr>
              <w:pStyle w:val="25"/>
              <w:ind w:left="560" w:firstLine="1200" w:firstLineChars="500"/>
              <w:rPr>
                <w:rFonts w:ascii="黑体" w:hAnsi="黑体" w:eastAsia="黑体" w:cs="黑体"/>
                <w:color w:val="auto"/>
                <w:sz w:val="24"/>
                <w:szCs w:val="24"/>
              </w:rPr>
            </w:pPr>
          </w:p>
          <w:p>
            <w:pPr>
              <w:pStyle w:val="25"/>
              <w:ind w:left="560" w:firstLine="1200" w:firstLineChars="500"/>
              <w:rPr>
                <w:rFonts w:ascii="黑体" w:hAnsi="黑体" w:eastAsia="黑体" w:cs="黑体"/>
                <w:color w:val="auto"/>
                <w:sz w:val="24"/>
                <w:szCs w:val="24"/>
              </w:rPr>
            </w:pPr>
            <w:r>
              <w:rPr>
                <w:rFonts w:hint="eastAsia" w:ascii="黑体" w:hAnsi="黑体" w:eastAsia="黑体" w:cs="黑体"/>
                <w:color w:val="auto"/>
                <w:sz w:val="24"/>
                <w:szCs w:val="24"/>
              </w:rPr>
              <w:t>图1  项目生产工艺及产污环节示意图</w:t>
            </w:r>
          </w:p>
          <w:p>
            <w:pPr>
              <w:spacing w:line="360" w:lineRule="auto"/>
              <w:ind w:firstLine="480" w:firstLineChars="200"/>
              <w:textAlignment w:val="baseline"/>
              <w:rPr>
                <w:rFonts w:eastAsia="黑体" w:cs="Times New Roman"/>
                <w:color w:val="auto"/>
                <w:sz w:val="24"/>
                <w:szCs w:val="24"/>
              </w:rPr>
            </w:pPr>
            <w:r>
              <w:rPr>
                <w:rFonts w:eastAsia="黑体" w:cs="Times New Roman"/>
                <w:color w:val="auto"/>
                <w:sz w:val="24"/>
                <w:szCs w:val="24"/>
              </w:rPr>
              <w:t>工艺流程说明：</w:t>
            </w:r>
          </w:p>
          <w:p>
            <w:pPr>
              <w:spacing w:line="360" w:lineRule="auto"/>
              <w:ind w:firstLine="482"/>
              <w:jc w:val="left"/>
              <w:rPr>
                <w:rFonts w:cs="Times New Roman"/>
                <w:color w:val="auto"/>
                <w:sz w:val="24"/>
                <w:szCs w:val="24"/>
              </w:rPr>
            </w:pPr>
            <w:r>
              <w:rPr>
                <w:rFonts w:cs="Times New Roman"/>
                <w:color w:val="auto"/>
                <w:sz w:val="24"/>
                <w:szCs w:val="24"/>
              </w:rPr>
              <w:t>（</w:t>
            </w:r>
            <w:r>
              <w:rPr>
                <w:rFonts w:hint="eastAsia" w:cs="Times New Roman"/>
                <w:color w:val="auto"/>
                <w:sz w:val="24"/>
                <w:szCs w:val="24"/>
              </w:rPr>
              <w:t>1</w:t>
            </w:r>
            <w:r>
              <w:rPr>
                <w:rFonts w:cs="Times New Roman"/>
                <w:color w:val="auto"/>
                <w:sz w:val="24"/>
                <w:szCs w:val="24"/>
              </w:rPr>
              <w:t>）</w:t>
            </w:r>
            <w:r>
              <w:rPr>
                <w:rFonts w:hint="eastAsia" w:cs="Times New Roman"/>
                <w:color w:val="auto"/>
                <w:sz w:val="24"/>
                <w:szCs w:val="24"/>
              </w:rPr>
              <w:t>配料</w:t>
            </w:r>
          </w:p>
          <w:p>
            <w:pPr>
              <w:spacing w:line="360" w:lineRule="auto"/>
              <w:ind w:firstLine="482"/>
              <w:jc w:val="left"/>
              <w:rPr>
                <w:rFonts w:cs="Times New Roman"/>
                <w:bCs/>
                <w:color w:val="auto"/>
                <w:sz w:val="24"/>
                <w:szCs w:val="24"/>
              </w:rPr>
            </w:pPr>
            <w:r>
              <w:rPr>
                <w:rFonts w:hint="eastAsia" w:cs="Times New Roman"/>
                <w:b/>
                <w:bCs w:val="0"/>
                <w:color w:val="auto"/>
                <w:sz w:val="24"/>
                <w:szCs w:val="24"/>
                <w:u w:val="single"/>
              </w:rPr>
              <w:t>本项目使用原材料包括铈锆氧化物、铝胶（拟薄水铝石）、活性氧化铝、硝酸、贵金属铂钯铑及纯水。项目铈锆氧化物、活性氧化铝使用电子秤称量，贵金属铂钯铑采用电子天平称量，然后混合纯净水、铝胶和硝酸按照一定比例加入气动乳化机内搅拌、乳化，乳化后浆料PH控制在3.5~5.5之间。项目原料中纯水采用“石英砂过滤+活性炭过滤+精密过滤+二级反渗透”工艺制取，制水率80%。此工段废气主要铈锆氧化物、活性氧化铝等粉状物料称量、投料过程中产生的粉尘和纯净水制备过程中产生的浓盐水及纯水制备系统定期更换的滤芯等。</w:t>
            </w:r>
          </w:p>
          <w:p>
            <w:pPr>
              <w:spacing w:line="360" w:lineRule="auto"/>
              <w:ind w:firstLine="482"/>
              <w:jc w:val="left"/>
              <w:rPr>
                <w:rFonts w:cs="Times New Roman"/>
                <w:color w:val="auto"/>
                <w:sz w:val="24"/>
                <w:szCs w:val="24"/>
              </w:rPr>
            </w:pPr>
            <w:r>
              <w:rPr>
                <w:rFonts w:cs="Times New Roman"/>
                <w:color w:val="auto"/>
                <w:sz w:val="24"/>
                <w:szCs w:val="24"/>
              </w:rPr>
              <w:t>（</w:t>
            </w:r>
            <w:r>
              <w:rPr>
                <w:rFonts w:hint="eastAsia" w:cs="Times New Roman"/>
                <w:color w:val="auto"/>
                <w:sz w:val="24"/>
                <w:szCs w:val="24"/>
              </w:rPr>
              <w:t>2</w:t>
            </w:r>
            <w:r>
              <w:rPr>
                <w:rFonts w:cs="Times New Roman"/>
                <w:color w:val="auto"/>
                <w:sz w:val="24"/>
                <w:szCs w:val="24"/>
              </w:rPr>
              <w:t>）</w:t>
            </w:r>
            <w:r>
              <w:rPr>
                <w:rFonts w:hint="eastAsia" w:cs="Times New Roman"/>
                <w:color w:val="auto"/>
                <w:sz w:val="24"/>
                <w:szCs w:val="24"/>
              </w:rPr>
              <w:t>涂覆</w:t>
            </w:r>
          </w:p>
          <w:p>
            <w:pPr>
              <w:spacing w:line="360" w:lineRule="auto"/>
              <w:ind w:firstLine="482"/>
              <w:jc w:val="left"/>
              <w:rPr>
                <w:rFonts w:hint="eastAsia" w:cs="Times New Roman"/>
                <w:b/>
                <w:bCs w:val="0"/>
                <w:color w:val="000000" w:themeColor="text1"/>
                <w:sz w:val="24"/>
                <w:szCs w:val="24"/>
                <w:u w:val="single"/>
                <w:lang w:val="en-US" w:eastAsia="zh-CN"/>
                <w14:textFill>
                  <w14:solidFill>
                    <w14:schemeClr w14:val="tx1"/>
                  </w14:solidFill>
                </w14:textFill>
              </w:rPr>
            </w:pPr>
            <w:r>
              <w:rPr>
                <w:rFonts w:hint="eastAsia" w:cs="Times New Roman"/>
                <w:b/>
                <w:bCs w:val="0"/>
                <w:color w:val="auto"/>
                <w:sz w:val="24"/>
                <w:szCs w:val="24"/>
                <w:u w:val="single"/>
              </w:rPr>
              <w:t>乳化好的浆料转入</w:t>
            </w:r>
            <w:r>
              <w:rPr>
                <w:rFonts w:hint="eastAsia" w:cs="Times New Roman"/>
                <w:b/>
                <w:bCs w:val="0"/>
                <w:color w:val="000000" w:themeColor="text1"/>
                <w:sz w:val="24"/>
                <w:szCs w:val="24"/>
                <w:u w:val="single"/>
                <w14:textFill>
                  <w14:solidFill>
                    <w14:schemeClr w14:val="tx1"/>
                  </w14:solidFill>
                </w14:textFill>
              </w:rPr>
              <w:t>半自动涂覆机内，</w:t>
            </w:r>
            <w:r>
              <w:rPr>
                <w:rFonts w:hint="eastAsia" w:cs="Times New Roman"/>
                <w:b/>
                <w:bCs w:val="0"/>
                <w:color w:val="000000" w:themeColor="text1"/>
                <w:sz w:val="24"/>
                <w:szCs w:val="24"/>
                <w:u w:val="single"/>
                <w:lang w:val="en-US" w:eastAsia="zh-CN"/>
                <w14:textFill>
                  <w14:solidFill>
                    <w14:schemeClr w14:val="tx1"/>
                  </w14:solidFill>
                </w14:textFill>
              </w:rPr>
              <w:t>将蜂窝陶瓷载体浸入浆料内，使乳化状</w:t>
            </w:r>
            <w:r>
              <w:rPr>
                <w:rFonts w:hint="eastAsia" w:cs="Times New Roman"/>
                <w:b/>
                <w:bCs w:val="0"/>
                <w:color w:val="000000" w:themeColor="text1"/>
                <w:sz w:val="24"/>
                <w:szCs w:val="24"/>
                <w:u w:val="single"/>
                <w14:textFill>
                  <w14:solidFill>
                    <w14:schemeClr w14:val="tx1"/>
                  </w14:solidFill>
                </w14:textFill>
              </w:rPr>
              <w:t>将浆料涂覆至蜂窝陶瓷上</w:t>
            </w:r>
            <w:r>
              <w:rPr>
                <w:rFonts w:hint="eastAsia" w:cs="Times New Roman"/>
                <w:b/>
                <w:bCs w:val="0"/>
                <w:color w:val="000000" w:themeColor="text1"/>
                <w:sz w:val="24"/>
                <w:szCs w:val="24"/>
                <w:u w:val="single"/>
                <w:lang w:val="en-US" w:eastAsia="zh-CN"/>
                <w14:textFill>
                  <w14:solidFill>
                    <w14:schemeClr w14:val="tx1"/>
                  </w14:solidFill>
                </w14:textFill>
              </w:rPr>
              <w:t>。浆料中不含有机污染物，无挥发性污染物，涂覆主要是浆料粘覆在蜂窝陶瓷表面，此工段无污染物产生。</w:t>
            </w:r>
          </w:p>
          <w:p>
            <w:pPr>
              <w:spacing w:line="360" w:lineRule="auto"/>
              <w:ind w:firstLine="482"/>
              <w:jc w:val="left"/>
              <w:rPr>
                <w:rFonts w:cs="Times New Roman"/>
                <w:color w:val="auto"/>
                <w:sz w:val="24"/>
                <w:szCs w:val="24"/>
              </w:rPr>
            </w:pPr>
            <w:r>
              <w:rPr>
                <w:rFonts w:cs="Times New Roman"/>
                <w:color w:val="auto"/>
                <w:sz w:val="24"/>
                <w:szCs w:val="24"/>
              </w:rPr>
              <w:t>（</w:t>
            </w:r>
            <w:r>
              <w:rPr>
                <w:rFonts w:hint="eastAsia" w:cs="Times New Roman"/>
                <w:color w:val="auto"/>
                <w:sz w:val="24"/>
                <w:szCs w:val="24"/>
              </w:rPr>
              <w:t>3</w:t>
            </w:r>
            <w:r>
              <w:rPr>
                <w:rFonts w:cs="Times New Roman"/>
                <w:color w:val="auto"/>
                <w:sz w:val="24"/>
                <w:szCs w:val="24"/>
              </w:rPr>
              <w:t>）</w:t>
            </w:r>
            <w:r>
              <w:rPr>
                <w:rFonts w:hint="eastAsia" w:cs="Times New Roman"/>
                <w:color w:val="auto"/>
                <w:sz w:val="24"/>
                <w:szCs w:val="24"/>
              </w:rPr>
              <w:t>干燥、烘焙</w:t>
            </w:r>
          </w:p>
          <w:p>
            <w:pPr>
              <w:spacing w:line="360" w:lineRule="auto"/>
              <w:ind w:firstLine="482"/>
              <w:jc w:val="left"/>
              <w:rPr>
                <w:rFonts w:cs="Times New Roman"/>
                <w:color w:val="auto"/>
                <w:sz w:val="24"/>
                <w:szCs w:val="24"/>
              </w:rPr>
            </w:pPr>
            <w:r>
              <w:rPr>
                <w:rFonts w:hint="eastAsia" w:cs="Times New Roman"/>
                <w:color w:val="auto"/>
                <w:sz w:val="24"/>
                <w:szCs w:val="24"/>
              </w:rPr>
              <w:t>涂覆后的蜂窝陶瓷载体在快速烘干机内，快速升温至150℃干燥后冷却，然后后进入程序升温台车炉进行催化剂烘焙，烘焙温度设置为550℃，烘焙时间6小时，干燥和烘焙过程中由于贵金属的硝酸盐和硝酸分解产生NO</w:t>
            </w:r>
            <w:r>
              <w:rPr>
                <w:rFonts w:hint="eastAsia" w:cs="Times New Roman"/>
                <w:color w:val="auto"/>
                <w:sz w:val="24"/>
                <w:szCs w:val="24"/>
                <w:vertAlign w:val="subscript"/>
              </w:rPr>
              <w:t>2</w:t>
            </w:r>
            <w:r>
              <w:rPr>
                <w:rFonts w:hint="eastAsia" w:cs="Times New Roman"/>
                <w:color w:val="auto"/>
                <w:sz w:val="24"/>
                <w:szCs w:val="24"/>
              </w:rPr>
              <w:t>，经</w:t>
            </w:r>
            <w:r>
              <w:rPr>
                <w:rFonts w:hint="eastAsia" w:cs="Times New Roman"/>
                <w:color w:val="auto"/>
                <w:sz w:val="24"/>
                <w:szCs w:val="24"/>
                <w:lang w:eastAsia="zh-CN"/>
              </w:rPr>
              <w:t>碱液喷淋</w:t>
            </w:r>
            <w:r>
              <w:rPr>
                <w:rFonts w:hint="eastAsia" w:cs="Times New Roman"/>
                <w:color w:val="auto"/>
                <w:sz w:val="24"/>
                <w:szCs w:val="24"/>
              </w:rPr>
              <w:t>塔后排放。</w:t>
            </w:r>
          </w:p>
          <w:p>
            <w:pPr>
              <w:numPr>
                <w:ilvl w:val="0"/>
                <w:numId w:val="4"/>
              </w:numPr>
              <w:spacing w:line="360" w:lineRule="auto"/>
              <w:ind w:firstLine="482"/>
              <w:jc w:val="left"/>
              <w:rPr>
                <w:rFonts w:cs="Times New Roman"/>
                <w:color w:val="auto"/>
                <w:sz w:val="24"/>
                <w:szCs w:val="24"/>
              </w:rPr>
            </w:pPr>
            <w:r>
              <w:rPr>
                <w:rFonts w:hint="eastAsia" w:cs="Times New Roman"/>
                <w:color w:val="auto"/>
                <w:sz w:val="24"/>
                <w:szCs w:val="24"/>
              </w:rPr>
              <w:t>封壳</w:t>
            </w:r>
          </w:p>
          <w:p>
            <w:pPr>
              <w:spacing w:line="360" w:lineRule="auto"/>
              <w:ind w:firstLine="480" w:firstLineChars="200"/>
              <w:jc w:val="left"/>
              <w:rPr>
                <w:rFonts w:cs="Times New Roman"/>
                <w:color w:val="auto"/>
                <w:sz w:val="24"/>
                <w:szCs w:val="24"/>
              </w:rPr>
            </w:pPr>
            <w:r>
              <w:rPr>
                <w:rFonts w:hint="eastAsia" w:cs="Times New Roman"/>
                <w:color w:val="auto"/>
                <w:sz w:val="24"/>
                <w:szCs w:val="24"/>
              </w:rPr>
              <w:t>烘焙后的产品自然冷却，经在通气率及积灰试验后，进行封壳。封壳采用外购的不锈钢壳体，直接进行封装，无切割、焊接等工艺。封壳后即为产品。</w:t>
            </w:r>
          </w:p>
          <w:p>
            <w:pPr>
              <w:topLinePunct/>
              <w:snapToGrid w:val="0"/>
              <w:spacing w:line="360" w:lineRule="auto"/>
              <w:jc w:val="left"/>
              <w:rPr>
                <w:rFonts w:eastAsia="黑体" w:cs="Times New Roman"/>
                <w:color w:val="auto"/>
                <w:szCs w:val="28"/>
              </w:rPr>
            </w:pPr>
            <w:r>
              <w:rPr>
                <w:rFonts w:eastAsia="黑体" w:cs="Times New Roman"/>
                <w:color w:val="auto"/>
                <w:szCs w:val="28"/>
              </w:rPr>
              <w:t>二、产污环节分析</w:t>
            </w:r>
          </w:p>
          <w:p>
            <w:pPr>
              <w:pStyle w:val="2"/>
              <w:ind w:firstLine="504" w:firstLineChars="200"/>
              <w:rPr>
                <w:rFonts w:cs="Times New Roman"/>
                <w:b/>
                <w:bCs/>
                <w:color w:val="auto"/>
                <w:szCs w:val="24"/>
              </w:rPr>
            </w:pPr>
            <w:r>
              <w:rPr>
                <w:rFonts w:cs="Times New Roman"/>
                <w:bCs/>
                <w:color w:val="auto"/>
              </w:rPr>
              <w:t>根据生产工艺分析，项目生产运营期主要产污环节详见表1</w:t>
            </w:r>
            <w:r>
              <w:rPr>
                <w:rFonts w:hint="eastAsia" w:cs="Times New Roman"/>
                <w:bCs/>
                <w:color w:val="auto"/>
              </w:rPr>
              <w:t>5</w:t>
            </w:r>
            <w:r>
              <w:rPr>
                <w:rFonts w:cs="Times New Roman"/>
                <w:bCs/>
                <w:color w:val="auto"/>
              </w:rPr>
              <w:t xml:space="preserve">。 </w:t>
            </w:r>
            <w:r>
              <w:rPr>
                <w:rFonts w:cs="Times New Roman"/>
                <w:b/>
                <w:bCs/>
                <w:color w:val="auto"/>
                <w:szCs w:val="24"/>
              </w:rPr>
              <w:t xml:space="preserve">  </w:t>
            </w:r>
          </w:p>
          <w:p>
            <w:pPr>
              <w:pStyle w:val="21"/>
              <w:ind w:firstLine="420"/>
              <w:rPr>
                <w:color w:val="auto"/>
              </w:rPr>
            </w:pPr>
            <w:r>
              <w:rPr>
                <w:rFonts w:hint="eastAsia"/>
                <w:color w:val="auto"/>
              </w:rPr>
              <w:t xml:space="preserve">                     </w:t>
            </w:r>
            <w:r>
              <w:rPr>
                <w:color w:val="auto"/>
              </w:rPr>
              <w:t>项目产污环节一览表</w:t>
            </w:r>
          </w:p>
          <w:tbl>
            <w:tblPr>
              <w:tblStyle w:val="26"/>
              <w:tblW w:w="8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530"/>
              <w:gridCol w:w="1376"/>
              <w:gridCol w:w="4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tcBorders>
                    <w:top w:val="single" w:color="auto" w:sz="8" w:space="0"/>
                    <w:bottom w:val="single" w:color="auto" w:sz="8" w:space="0"/>
                  </w:tcBorders>
                  <w:vAlign w:val="center"/>
                </w:tcPr>
                <w:p>
                  <w:pPr>
                    <w:jc w:val="center"/>
                    <w:rPr>
                      <w:rFonts w:cs="Times New Roman"/>
                      <w:color w:val="auto"/>
                      <w:sz w:val="18"/>
                      <w:szCs w:val="18"/>
                    </w:rPr>
                  </w:pPr>
                  <w:r>
                    <w:rPr>
                      <w:rFonts w:cs="Times New Roman"/>
                      <w:color w:val="auto"/>
                      <w:sz w:val="18"/>
                      <w:szCs w:val="18"/>
                    </w:rPr>
                    <w:t>污染因素</w:t>
                  </w:r>
                </w:p>
              </w:tc>
              <w:tc>
                <w:tcPr>
                  <w:tcW w:w="1530" w:type="dxa"/>
                  <w:tcBorders>
                    <w:top w:val="single" w:color="auto" w:sz="8" w:space="0"/>
                    <w:bottom w:val="single" w:color="auto" w:sz="8" w:space="0"/>
                  </w:tcBorders>
                  <w:vAlign w:val="center"/>
                </w:tcPr>
                <w:p>
                  <w:pPr>
                    <w:jc w:val="center"/>
                    <w:rPr>
                      <w:rFonts w:cs="Times New Roman"/>
                      <w:color w:val="auto"/>
                      <w:sz w:val="18"/>
                      <w:szCs w:val="18"/>
                    </w:rPr>
                  </w:pPr>
                  <w:r>
                    <w:rPr>
                      <w:rFonts w:cs="Times New Roman"/>
                      <w:color w:val="auto"/>
                      <w:sz w:val="18"/>
                      <w:szCs w:val="18"/>
                    </w:rPr>
                    <w:t>产污环节</w:t>
                  </w:r>
                </w:p>
              </w:tc>
              <w:tc>
                <w:tcPr>
                  <w:tcW w:w="1376" w:type="dxa"/>
                  <w:tcBorders>
                    <w:top w:val="single" w:color="auto" w:sz="8" w:space="0"/>
                    <w:bottom w:val="single" w:color="auto" w:sz="8" w:space="0"/>
                  </w:tcBorders>
                  <w:vAlign w:val="center"/>
                </w:tcPr>
                <w:p>
                  <w:pPr>
                    <w:jc w:val="center"/>
                    <w:rPr>
                      <w:rFonts w:cs="Times New Roman"/>
                      <w:color w:val="auto"/>
                      <w:sz w:val="18"/>
                      <w:szCs w:val="18"/>
                    </w:rPr>
                  </w:pPr>
                  <w:r>
                    <w:rPr>
                      <w:rFonts w:cs="Times New Roman"/>
                      <w:color w:val="auto"/>
                      <w:sz w:val="18"/>
                      <w:szCs w:val="18"/>
                    </w:rPr>
                    <w:t>污染物</w:t>
                  </w:r>
                </w:p>
              </w:tc>
              <w:tc>
                <w:tcPr>
                  <w:tcW w:w="4749" w:type="dxa"/>
                  <w:tcBorders>
                    <w:top w:val="single" w:color="auto" w:sz="8" w:space="0"/>
                    <w:bottom w:val="single" w:color="auto" w:sz="8" w:space="0"/>
                  </w:tcBorders>
                  <w:vAlign w:val="center"/>
                </w:tcPr>
                <w:p>
                  <w:pPr>
                    <w:jc w:val="center"/>
                    <w:rPr>
                      <w:rFonts w:cs="Times New Roman"/>
                      <w:color w:val="auto"/>
                      <w:sz w:val="18"/>
                      <w:szCs w:val="18"/>
                    </w:rPr>
                  </w:pPr>
                  <w:r>
                    <w:rPr>
                      <w:rFonts w:cs="Times New Roman"/>
                      <w:color w:val="auto"/>
                      <w:sz w:val="18"/>
                      <w:szCs w:val="18"/>
                    </w:rPr>
                    <w:t>污染防治措施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restart"/>
                  <w:vAlign w:val="center"/>
                </w:tcPr>
                <w:p>
                  <w:pPr>
                    <w:jc w:val="center"/>
                    <w:rPr>
                      <w:rFonts w:cs="Times New Roman"/>
                      <w:color w:val="auto"/>
                      <w:sz w:val="18"/>
                      <w:szCs w:val="18"/>
                    </w:rPr>
                  </w:pPr>
                  <w:r>
                    <w:rPr>
                      <w:rFonts w:hint="eastAsia" w:cs="Times New Roman"/>
                      <w:color w:val="auto"/>
                      <w:sz w:val="18"/>
                      <w:szCs w:val="18"/>
                    </w:rPr>
                    <w:t>废气</w:t>
                  </w:r>
                </w:p>
              </w:tc>
              <w:tc>
                <w:tcPr>
                  <w:tcW w:w="1530" w:type="dxa"/>
                  <w:vAlign w:val="center"/>
                </w:tcPr>
                <w:p>
                  <w:pPr>
                    <w:jc w:val="center"/>
                    <w:rPr>
                      <w:rFonts w:cs="Times New Roman"/>
                      <w:color w:val="auto"/>
                      <w:sz w:val="18"/>
                      <w:szCs w:val="18"/>
                    </w:rPr>
                  </w:pPr>
                  <w:r>
                    <w:rPr>
                      <w:rFonts w:hint="eastAsia" w:cs="Times New Roman"/>
                      <w:color w:val="auto"/>
                      <w:sz w:val="18"/>
                      <w:szCs w:val="18"/>
                    </w:rPr>
                    <w:t>配料工序</w:t>
                  </w:r>
                </w:p>
              </w:tc>
              <w:tc>
                <w:tcPr>
                  <w:tcW w:w="1376" w:type="dxa"/>
                  <w:vAlign w:val="center"/>
                </w:tcPr>
                <w:p>
                  <w:pPr>
                    <w:jc w:val="center"/>
                    <w:rPr>
                      <w:rFonts w:cs="Times New Roman"/>
                      <w:color w:val="auto"/>
                      <w:sz w:val="18"/>
                      <w:szCs w:val="18"/>
                    </w:rPr>
                  </w:pPr>
                  <w:r>
                    <w:rPr>
                      <w:rFonts w:hint="eastAsia" w:cs="Times New Roman"/>
                      <w:color w:val="auto"/>
                      <w:sz w:val="18"/>
                      <w:szCs w:val="18"/>
                    </w:rPr>
                    <w:t>颗粒物</w:t>
                  </w:r>
                </w:p>
              </w:tc>
              <w:tc>
                <w:tcPr>
                  <w:tcW w:w="4749" w:type="dxa"/>
                  <w:vAlign w:val="center"/>
                </w:tcPr>
                <w:p>
                  <w:pPr>
                    <w:jc w:val="center"/>
                    <w:rPr>
                      <w:rFonts w:cs="Times New Roman"/>
                      <w:color w:val="auto"/>
                      <w:sz w:val="18"/>
                      <w:szCs w:val="18"/>
                    </w:rPr>
                  </w:pPr>
                  <w:r>
                    <w:rPr>
                      <w:rFonts w:hint="eastAsia" w:cs="Times New Roman"/>
                      <w:color w:val="auto"/>
                      <w:sz w:val="18"/>
                      <w:szCs w:val="18"/>
                    </w:rPr>
                    <w:t>设置独立密闭的配料间+袋式除尘器处理后经15m高排气筒排放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Align w:val="center"/>
                </w:tcPr>
                <w:p>
                  <w:pPr>
                    <w:jc w:val="center"/>
                    <w:rPr>
                      <w:rFonts w:cs="Times New Roman"/>
                      <w:color w:val="auto"/>
                      <w:sz w:val="18"/>
                      <w:szCs w:val="18"/>
                    </w:rPr>
                  </w:pPr>
                  <w:r>
                    <w:rPr>
                      <w:rFonts w:hint="eastAsia" w:cs="Times New Roman"/>
                      <w:color w:val="auto"/>
                      <w:sz w:val="18"/>
                      <w:szCs w:val="18"/>
                    </w:rPr>
                    <w:t>烘干、烘焙工序</w:t>
                  </w:r>
                </w:p>
              </w:tc>
              <w:tc>
                <w:tcPr>
                  <w:tcW w:w="1376" w:type="dxa"/>
                  <w:vAlign w:val="center"/>
                </w:tcPr>
                <w:p>
                  <w:pPr>
                    <w:jc w:val="center"/>
                    <w:rPr>
                      <w:rFonts w:cs="Times New Roman"/>
                      <w:color w:val="auto"/>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4749" w:type="dxa"/>
                  <w:vAlign w:val="center"/>
                </w:tcPr>
                <w:p>
                  <w:pPr>
                    <w:jc w:val="center"/>
                    <w:rPr>
                      <w:rFonts w:cs="Times New Roman"/>
                      <w:color w:val="auto"/>
                      <w:sz w:val="18"/>
                      <w:szCs w:val="18"/>
                    </w:rPr>
                  </w:pPr>
                  <w:r>
                    <w:rPr>
                      <w:rFonts w:hint="eastAsia" w:cs="Times New Roman"/>
                      <w:color w:val="auto"/>
                      <w:sz w:val="18"/>
                      <w:szCs w:val="18"/>
                    </w:rPr>
                    <w:t>采用</w:t>
                  </w:r>
                  <w:r>
                    <w:rPr>
                      <w:rFonts w:hint="eastAsia" w:cs="Times New Roman"/>
                      <w:color w:val="auto"/>
                      <w:sz w:val="18"/>
                      <w:szCs w:val="18"/>
                      <w:lang w:eastAsia="zh-CN"/>
                    </w:rPr>
                    <w:t>碱液喷淋</w:t>
                  </w:r>
                  <w:r>
                    <w:rPr>
                      <w:rFonts w:hint="eastAsia" w:cs="Times New Roman"/>
                      <w:color w:val="auto"/>
                      <w:sz w:val="18"/>
                      <w:szCs w:val="18"/>
                    </w:rPr>
                    <w:t>塔喷淋处理后，经15m高排气筒排放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restart"/>
                  <w:vAlign w:val="center"/>
                </w:tcPr>
                <w:p>
                  <w:pPr>
                    <w:jc w:val="center"/>
                    <w:rPr>
                      <w:rFonts w:cs="Times New Roman"/>
                      <w:color w:val="auto"/>
                      <w:sz w:val="18"/>
                      <w:szCs w:val="18"/>
                    </w:rPr>
                  </w:pPr>
                  <w:r>
                    <w:rPr>
                      <w:rFonts w:hint="eastAsia" w:cs="Times New Roman"/>
                      <w:color w:val="auto"/>
                      <w:sz w:val="18"/>
                      <w:szCs w:val="18"/>
                    </w:rPr>
                    <w:t>废水</w:t>
                  </w:r>
                </w:p>
              </w:tc>
              <w:tc>
                <w:tcPr>
                  <w:tcW w:w="1530" w:type="dxa"/>
                  <w:vAlign w:val="center"/>
                </w:tcPr>
                <w:p>
                  <w:pPr>
                    <w:jc w:val="center"/>
                    <w:rPr>
                      <w:rFonts w:cs="Times New Roman"/>
                      <w:color w:val="auto"/>
                      <w:sz w:val="18"/>
                      <w:szCs w:val="18"/>
                    </w:rPr>
                  </w:pPr>
                  <w:r>
                    <w:rPr>
                      <w:rFonts w:hint="eastAsia" w:cs="Times New Roman"/>
                      <w:color w:val="auto"/>
                      <w:sz w:val="18"/>
                      <w:szCs w:val="18"/>
                    </w:rPr>
                    <w:t>纯水制备废水</w:t>
                  </w:r>
                </w:p>
              </w:tc>
              <w:tc>
                <w:tcPr>
                  <w:tcW w:w="1376" w:type="dxa"/>
                  <w:vAlign w:val="center"/>
                </w:tcPr>
                <w:p>
                  <w:pPr>
                    <w:jc w:val="center"/>
                    <w:rPr>
                      <w:rFonts w:cs="Times New Roman"/>
                      <w:color w:val="auto"/>
                      <w:sz w:val="18"/>
                      <w:szCs w:val="18"/>
                    </w:rPr>
                  </w:pPr>
                  <w:r>
                    <w:rPr>
                      <w:rFonts w:hint="eastAsia" w:cs="Times New Roman"/>
                      <w:color w:val="auto"/>
                      <w:sz w:val="18"/>
                      <w:szCs w:val="18"/>
                    </w:rPr>
                    <w:t>COD、SS</w:t>
                  </w:r>
                </w:p>
              </w:tc>
              <w:tc>
                <w:tcPr>
                  <w:tcW w:w="4749" w:type="dxa"/>
                  <w:vAlign w:val="center"/>
                </w:tcPr>
                <w:p>
                  <w:pPr>
                    <w:jc w:val="center"/>
                    <w:rPr>
                      <w:rFonts w:cs="Times New Roman"/>
                      <w:color w:val="auto"/>
                      <w:sz w:val="18"/>
                      <w:szCs w:val="18"/>
                    </w:rPr>
                  </w:pPr>
                  <w:r>
                    <w:rPr>
                      <w:rFonts w:hint="eastAsia" w:cs="Times New Roman"/>
                      <w:color w:val="auto"/>
                      <w:sz w:val="18"/>
                      <w:szCs w:val="18"/>
                    </w:rPr>
                    <w:t>用作厂区洒水降尘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Align w:val="center"/>
                </w:tcPr>
                <w:p>
                  <w:pPr>
                    <w:jc w:val="center"/>
                    <w:rPr>
                      <w:rFonts w:cs="Times New Roman"/>
                      <w:color w:val="auto"/>
                      <w:sz w:val="18"/>
                      <w:szCs w:val="18"/>
                    </w:rPr>
                  </w:pPr>
                  <w:r>
                    <w:rPr>
                      <w:rFonts w:hint="eastAsia" w:cs="Times New Roman"/>
                      <w:color w:val="auto"/>
                      <w:sz w:val="18"/>
                      <w:szCs w:val="18"/>
                    </w:rPr>
                    <w:t>喷淋塔排水</w:t>
                  </w:r>
                </w:p>
              </w:tc>
              <w:tc>
                <w:tcPr>
                  <w:tcW w:w="1376" w:type="dxa"/>
                  <w:vAlign w:val="center"/>
                </w:tcPr>
                <w:p>
                  <w:pPr>
                    <w:jc w:val="center"/>
                    <w:rPr>
                      <w:rFonts w:cs="Times New Roman"/>
                      <w:color w:val="auto"/>
                      <w:sz w:val="18"/>
                      <w:szCs w:val="18"/>
                    </w:rPr>
                  </w:pPr>
                  <w:r>
                    <w:rPr>
                      <w:rFonts w:hint="eastAsia" w:cs="Times New Roman"/>
                      <w:color w:val="auto"/>
                      <w:sz w:val="18"/>
                      <w:szCs w:val="18"/>
                    </w:rPr>
                    <w:t>COD、SS</w:t>
                  </w:r>
                </w:p>
              </w:tc>
              <w:tc>
                <w:tcPr>
                  <w:tcW w:w="4749" w:type="dxa"/>
                  <w:vAlign w:val="center"/>
                </w:tcPr>
                <w:p>
                  <w:pPr>
                    <w:jc w:val="center"/>
                    <w:rPr>
                      <w:rFonts w:hint="default" w:eastAsia="宋体" w:cs="Times New Roman"/>
                      <w:color w:val="auto"/>
                      <w:sz w:val="18"/>
                      <w:szCs w:val="18"/>
                      <w:lang w:val="en-US" w:eastAsia="zh-CN"/>
                    </w:rPr>
                  </w:pPr>
                  <w:r>
                    <w:rPr>
                      <w:rFonts w:hint="eastAsia" w:cs="Times New Roman"/>
                      <w:color w:val="auto"/>
                      <w:sz w:val="18"/>
                      <w:szCs w:val="18"/>
                      <w:lang w:val="en-US" w:eastAsia="zh-CN"/>
                    </w:rPr>
                    <w:t>絮凝沉淀处理后循环使用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Align w:val="center"/>
                </w:tcPr>
                <w:p>
                  <w:pPr>
                    <w:jc w:val="center"/>
                    <w:rPr>
                      <w:rFonts w:cs="Times New Roman"/>
                      <w:color w:val="auto"/>
                      <w:sz w:val="18"/>
                      <w:szCs w:val="18"/>
                    </w:rPr>
                  </w:pPr>
                  <w:r>
                    <w:rPr>
                      <w:rFonts w:cs="Times New Roman"/>
                      <w:color w:val="auto"/>
                      <w:sz w:val="18"/>
                      <w:szCs w:val="18"/>
                    </w:rPr>
                    <w:t>生活污水</w:t>
                  </w:r>
                </w:p>
              </w:tc>
              <w:tc>
                <w:tcPr>
                  <w:tcW w:w="1376" w:type="dxa"/>
                  <w:vAlign w:val="center"/>
                </w:tcPr>
                <w:p>
                  <w:pPr>
                    <w:jc w:val="center"/>
                    <w:rPr>
                      <w:rFonts w:cs="Times New Roman"/>
                      <w:color w:val="auto"/>
                      <w:sz w:val="18"/>
                      <w:szCs w:val="18"/>
                      <w:lang w:val="pt-BR"/>
                    </w:rPr>
                  </w:pPr>
                  <w:r>
                    <w:rPr>
                      <w:rFonts w:cs="Times New Roman"/>
                      <w:color w:val="auto"/>
                      <w:sz w:val="18"/>
                      <w:szCs w:val="18"/>
                      <w:lang w:val="pt-BR"/>
                    </w:rPr>
                    <w:t>COD</w:t>
                  </w:r>
                  <w:r>
                    <w:rPr>
                      <w:rFonts w:cs="Times New Roman"/>
                      <w:color w:val="auto"/>
                      <w:sz w:val="18"/>
                      <w:szCs w:val="18"/>
                    </w:rPr>
                    <w:t>、</w:t>
                  </w:r>
                  <w:r>
                    <w:rPr>
                      <w:rFonts w:cs="Times New Roman"/>
                      <w:color w:val="auto"/>
                      <w:sz w:val="18"/>
                      <w:szCs w:val="18"/>
                      <w:lang w:val="pt-BR"/>
                    </w:rPr>
                    <w:t>SS</w:t>
                  </w:r>
                  <w:r>
                    <w:rPr>
                      <w:rFonts w:cs="Times New Roman"/>
                      <w:color w:val="auto"/>
                      <w:sz w:val="18"/>
                      <w:szCs w:val="18"/>
                    </w:rPr>
                    <w:t>、</w:t>
                  </w:r>
                  <w:r>
                    <w:rPr>
                      <w:rFonts w:cs="Times New Roman"/>
                      <w:color w:val="auto"/>
                      <w:sz w:val="18"/>
                      <w:szCs w:val="18"/>
                      <w:lang w:val="pt-BR"/>
                    </w:rPr>
                    <w:t>NH</w:t>
                  </w:r>
                  <w:r>
                    <w:rPr>
                      <w:rFonts w:cs="Times New Roman"/>
                      <w:color w:val="auto"/>
                      <w:sz w:val="18"/>
                      <w:szCs w:val="18"/>
                      <w:vertAlign w:val="subscript"/>
                      <w:lang w:val="pt-BR"/>
                    </w:rPr>
                    <w:t>3</w:t>
                  </w:r>
                  <w:r>
                    <w:rPr>
                      <w:rFonts w:cs="Times New Roman"/>
                      <w:color w:val="auto"/>
                      <w:sz w:val="18"/>
                      <w:szCs w:val="18"/>
                      <w:lang w:val="pt-BR"/>
                    </w:rPr>
                    <w:t>-N、TP</w:t>
                  </w:r>
                </w:p>
              </w:tc>
              <w:tc>
                <w:tcPr>
                  <w:tcW w:w="4749" w:type="dxa"/>
                  <w:vAlign w:val="center"/>
                </w:tcPr>
                <w:p>
                  <w:pPr>
                    <w:jc w:val="center"/>
                    <w:rPr>
                      <w:rFonts w:cs="Times New Roman"/>
                      <w:color w:val="auto"/>
                      <w:sz w:val="18"/>
                      <w:szCs w:val="18"/>
                      <w:lang w:val="pt-BR"/>
                    </w:rPr>
                  </w:pPr>
                  <w:r>
                    <w:rPr>
                      <w:rFonts w:cs="Times New Roman"/>
                      <w:color w:val="auto"/>
                      <w:sz w:val="18"/>
                      <w:szCs w:val="18"/>
                    </w:rPr>
                    <w:t>经化粪池预处理后，前期定期清运，待凤泉区污水处理厂建成运行后，进入凤泉区污水处理污水处理厂进一步处理。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tcBorders>
                    <w:bottom w:val="single" w:color="auto" w:sz="4" w:space="0"/>
                  </w:tcBorders>
                  <w:vAlign w:val="center"/>
                </w:tcPr>
                <w:p>
                  <w:pPr>
                    <w:jc w:val="center"/>
                    <w:rPr>
                      <w:rFonts w:cs="Times New Roman"/>
                      <w:color w:val="auto"/>
                      <w:sz w:val="18"/>
                      <w:szCs w:val="18"/>
                    </w:rPr>
                  </w:pPr>
                  <w:r>
                    <w:rPr>
                      <w:rFonts w:cs="Times New Roman"/>
                      <w:color w:val="auto"/>
                      <w:sz w:val="18"/>
                      <w:szCs w:val="18"/>
                    </w:rPr>
                    <w:t>噪声</w:t>
                  </w:r>
                </w:p>
              </w:tc>
              <w:tc>
                <w:tcPr>
                  <w:tcW w:w="1530" w:type="dxa"/>
                  <w:tcBorders>
                    <w:bottom w:val="single" w:color="auto" w:sz="4" w:space="0"/>
                  </w:tcBorders>
                  <w:vAlign w:val="center"/>
                </w:tcPr>
                <w:p>
                  <w:pPr>
                    <w:jc w:val="center"/>
                    <w:rPr>
                      <w:rFonts w:cs="Times New Roman"/>
                      <w:color w:val="auto"/>
                      <w:sz w:val="18"/>
                      <w:szCs w:val="18"/>
                    </w:rPr>
                  </w:pPr>
                  <w:r>
                    <w:rPr>
                      <w:rFonts w:hint="eastAsia" w:cs="Times New Roman"/>
                      <w:color w:val="auto"/>
                      <w:sz w:val="18"/>
                      <w:szCs w:val="18"/>
                    </w:rPr>
                    <w:t>自动升降乳化机、涂覆机等设置运转</w:t>
                  </w:r>
                </w:p>
              </w:tc>
              <w:tc>
                <w:tcPr>
                  <w:tcW w:w="1376" w:type="dxa"/>
                  <w:tcBorders>
                    <w:bottom w:val="single" w:color="auto" w:sz="4" w:space="0"/>
                  </w:tcBorders>
                  <w:vAlign w:val="center"/>
                </w:tcPr>
                <w:p>
                  <w:pPr>
                    <w:jc w:val="center"/>
                    <w:rPr>
                      <w:rFonts w:cs="Times New Roman"/>
                      <w:color w:val="auto"/>
                      <w:sz w:val="18"/>
                      <w:szCs w:val="18"/>
                    </w:rPr>
                  </w:pPr>
                  <w:r>
                    <w:rPr>
                      <w:rFonts w:cs="Times New Roman"/>
                      <w:color w:val="auto"/>
                      <w:sz w:val="18"/>
                      <w:szCs w:val="18"/>
                    </w:rPr>
                    <w:t>噪声</w:t>
                  </w:r>
                </w:p>
              </w:tc>
              <w:tc>
                <w:tcPr>
                  <w:tcW w:w="4749" w:type="dxa"/>
                  <w:tcBorders>
                    <w:bottom w:val="single" w:color="auto" w:sz="4" w:space="0"/>
                  </w:tcBorders>
                  <w:vAlign w:val="center"/>
                </w:tcPr>
                <w:p>
                  <w:pPr>
                    <w:jc w:val="center"/>
                    <w:rPr>
                      <w:rFonts w:cs="Times New Roman"/>
                      <w:color w:val="auto"/>
                      <w:sz w:val="18"/>
                      <w:szCs w:val="18"/>
                    </w:rPr>
                  </w:pPr>
                  <w:r>
                    <w:rPr>
                      <w:rFonts w:hint="eastAsia" w:cs="Times New Roman"/>
                      <w:color w:val="auto"/>
                      <w:sz w:val="18"/>
                      <w:szCs w:val="18"/>
                    </w:rPr>
                    <w:t>基础减振、厂房隔声、加装隔声罩等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restart"/>
                  <w:vAlign w:val="center"/>
                </w:tcPr>
                <w:p>
                  <w:pPr>
                    <w:jc w:val="center"/>
                    <w:rPr>
                      <w:rFonts w:cs="Times New Roman"/>
                      <w:color w:val="auto"/>
                      <w:sz w:val="18"/>
                      <w:szCs w:val="18"/>
                    </w:rPr>
                  </w:pPr>
                  <w:r>
                    <w:rPr>
                      <w:rFonts w:cs="Times New Roman"/>
                      <w:color w:val="auto"/>
                      <w:sz w:val="18"/>
                      <w:szCs w:val="18"/>
                    </w:rPr>
                    <w:t>固废</w:t>
                  </w:r>
                </w:p>
              </w:tc>
              <w:tc>
                <w:tcPr>
                  <w:tcW w:w="1530" w:type="dxa"/>
                  <w:vMerge w:val="restart"/>
                  <w:vAlign w:val="center"/>
                </w:tcPr>
                <w:p>
                  <w:pPr>
                    <w:jc w:val="center"/>
                    <w:rPr>
                      <w:rFonts w:cs="Times New Roman"/>
                      <w:color w:val="auto"/>
                      <w:sz w:val="18"/>
                      <w:szCs w:val="18"/>
                    </w:rPr>
                  </w:pPr>
                  <w:r>
                    <w:rPr>
                      <w:rFonts w:hint="eastAsia" w:cs="Times New Roman"/>
                      <w:color w:val="auto"/>
                      <w:sz w:val="18"/>
                      <w:szCs w:val="18"/>
                    </w:rPr>
                    <w:t>原料拆装</w:t>
                  </w:r>
                </w:p>
              </w:tc>
              <w:tc>
                <w:tcPr>
                  <w:tcW w:w="1376" w:type="dxa"/>
                  <w:vAlign w:val="center"/>
                </w:tcPr>
                <w:p>
                  <w:pPr>
                    <w:jc w:val="center"/>
                    <w:rPr>
                      <w:rFonts w:cs="Times New Roman"/>
                      <w:color w:val="auto"/>
                      <w:sz w:val="18"/>
                      <w:szCs w:val="18"/>
                    </w:rPr>
                  </w:pPr>
                  <w:r>
                    <w:rPr>
                      <w:rFonts w:hint="eastAsia" w:cs="Times New Roman"/>
                      <w:color w:val="auto"/>
                      <w:sz w:val="18"/>
                      <w:szCs w:val="18"/>
                    </w:rPr>
                    <w:t>废包装袋</w:t>
                  </w:r>
                </w:p>
              </w:tc>
              <w:tc>
                <w:tcPr>
                  <w:tcW w:w="4749" w:type="dxa"/>
                  <w:vAlign w:val="center"/>
                </w:tcPr>
                <w:p>
                  <w:pPr>
                    <w:jc w:val="center"/>
                    <w:rPr>
                      <w:rFonts w:cs="Times New Roman"/>
                      <w:color w:val="auto"/>
                      <w:sz w:val="18"/>
                      <w:szCs w:val="18"/>
                    </w:rPr>
                  </w:pPr>
                  <w:r>
                    <w:rPr>
                      <w:rFonts w:cs="Times New Roman"/>
                      <w:color w:val="auto"/>
                      <w:sz w:val="18"/>
                      <w:szCs w:val="18"/>
                    </w:rPr>
                    <w:t>一般固废暂存间临时存放，定期出售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Merge w:val="continue"/>
                  <w:vAlign w:val="center"/>
                </w:tcPr>
                <w:p>
                  <w:pPr>
                    <w:jc w:val="center"/>
                    <w:rPr>
                      <w:rFonts w:cs="Times New Roman"/>
                      <w:color w:val="auto"/>
                      <w:sz w:val="18"/>
                      <w:szCs w:val="18"/>
                    </w:rPr>
                  </w:pPr>
                </w:p>
              </w:tc>
              <w:tc>
                <w:tcPr>
                  <w:tcW w:w="1376" w:type="dxa"/>
                  <w:vAlign w:val="center"/>
                </w:tcPr>
                <w:p>
                  <w:pPr>
                    <w:jc w:val="center"/>
                    <w:rPr>
                      <w:rFonts w:cs="Times New Roman"/>
                      <w:color w:val="auto"/>
                      <w:sz w:val="18"/>
                      <w:szCs w:val="18"/>
                    </w:rPr>
                  </w:pPr>
                  <w:r>
                    <w:rPr>
                      <w:rFonts w:hint="eastAsia" w:cs="Times New Roman"/>
                      <w:color w:val="auto"/>
                      <w:sz w:val="18"/>
                      <w:szCs w:val="18"/>
                    </w:rPr>
                    <w:t>废玻璃容器（硝酸、贵金属包装）</w:t>
                  </w:r>
                </w:p>
              </w:tc>
              <w:tc>
                <w:tcPr>
                  <w:tcW w:w="4749" w:type="dxa"/>
                  <w:vAlign w:val="center"/>
                </w:tcPr>
                <w:p>
                  <w:pPr>
                    <w:jc w:val="center"/>
                    <w:rPr>
                      <w:rFonts w:cs="Times New Roman"/>
                      <w:color w:val="auto"/>
                      <w:sz w:val="18"/>
                      <w:szCs w:val="18"/>
                    </w:rPr>
                  </w:pPr>
                  <w:r>
                    <w:rPr>
                      <w:rFonts w:hint="eastAsia" w:cs="Times New Roman"/>
                      <w:color w:val="auto"/>
                      <w:sz w:val="18"/>
                      <w:szCs w:val="18"/>
                    </w:rPr>
                    <w:t>危废暂存间暂存后，委托资质单位处理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Align w:val="center"/>
                </w:tcPr>
                <w:p>
                  <w:pPr>
                    <w:jc w:val="center"/>
                    <w:rPr>
                      <w:rFonts w:cs="Times New Roman"/>
                      <w:color w:val="auto"/>
                      <w:sz w:val="18"/>
                      <w:szCs w:val="18"/>
                    </w:rPr>
                  </w:pPr>
                  <w:r>
                    <w:rPr>
                      <w:rFonts w:hint="eastAsia" w:cs="Times New Roman"/>
                      <w:color w:val="auto"/>
                      <w:sz w:val="18"/>
                      <w:szCs w:val="18"/>
                    </w:rPr>
                    <w:t>检验工序</w:t>
                  </w:r>
                </w:p>
              </w:tc>
              <w:tc>
                <w:tcPr>
                  <w:tcW w:w="1376" w:type="dxa"/>
                  <w:vAlign w:val="center"/>
                </w:tcPr>
                <w:p>
                  <w:pPr>
                    <w:jc w:val="center"/>
                    <w:rPr>
                      <w:rFonts w:cs="Times New Roman"/>
                      <w:color w:val="auto"/>
                      <w:sz w:val="18"/>
                      <w:szCs w:val="18"/>
                    </w:rPr>
                  </w:pPr>
                  <w:r>
                    <w:rPr>
                      <w:rFonts w:hint="eastAsia" w:cs="Times New Roman"/>
                      <w:color w:val="auto"/>
                      <w:sz w:val="18"/>
                      <w:szCs w:val="18"/>
                    </w:rPr>
                    <w:t>不合格产品</w:t>
                  </w:r>
                </w:p>
              </w:tc>
              <w:tc>
                <w:tcPr>
                  <w:tcW w:w="4749" w:type="dxa"/>
                  <w:vAlign w:val="center"/>
                </w:tcPr>
                <w:p>
                  <w:pPr>
                    <w:jc w:val="center"/>
                    <w:rPr>
                      <w:rFonts w:cs="Times New Roman"/>
                      <w:color w:val="auto"/>
                      <w:sz w:val="18"/>
                      <w:szCs w:val="18"/>
                    </w:rPr>
                  </w:pPr>
                  <w:r>
                    <w:rPr>
                      <w:rFonts w:hint="eastAsia" w:cs="Times New Roman"/>
                      <w:color w:val="auto"/>
                      <w:sz w:val="18"/>
                      <w:szCs w:val="18"/>
                    </w:rPr>
                    <w:t>危废暂存间暂存后，委托资质单位处理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Align w:val="center"/>
                </w:tcPr>
                <w:p>
                  <w:pPr>
                    <w:jc w:val="center"/>
                    <w:rPr>
                      <w:rFonts w:cs="Times New Roman"/>
                      <w:color w:val="auto"/>
                      <w:sz w:val="18"/>
                      <w:szCs w:val="18"/>
                    </w:rPr>
                  </w:pPr>
                  <w:r>
                    <w:rPr>
                      <w:rFonts w:hint="eastAsia" w:cs="Times New Roman"/>
                      <w:color w:val="auto"/>
                      <w:sz w:val="18"/>
                      <w:szCs w:val="18"/>
                    </w:rPr>
                    <w:t>纯水制备</w:t>
                  </w:r>
                </w:p>
              </w:tc>
              <w:tc>
                <w:tcPr>
                  <w:tcW w:w="1376" w:type="dxa"/>
                  <w:vAlign w:val="center"/>
                </w:tcPr>
                <w:p>
                  <w:pPr>
                    <w:jc w:val="center"/>
                    <w:rPr>
                      <w:rFonts w:cs="Times New Roman"/>
                      <w:color w:val="auto"/>
                      <w:sz w:val="18"/>
                      <w:szCs w:val="18"/>
                    </w:rPr>
                  </w:pPr>
                  <w:r>
                    <w:rPr>
                      <w:rFonts w:hint="eastAsia" w:cs="Times New Roman"/>
                      <w:color w:val="auto"/>
                      <w:sz w:val="18"/>
                      <w:szCs w:val="18"/>
                    </w:rPr>
                    <w:t>废滤芯和反渗透膜</w:t>
                  </w:r>
                </w:p>
              </w:tc>
              <w:tc>
                <w:tcPr>
                  <w:tcW w:w="4749" w:type="dxa"/>
                  <w:vAlign w:val="center"/>
                </w:tcPr>
                <w:p>
                  <w:pPr>
                    <w:jc w:val="center"/>
                    <w:rPr>
                      <w:rFonts w:cs="Times New Roman"/>
                      <w:color w:val="auto"/>
                      <w:sz w:val="18"/>
                      <w:szCs w:val="18"/>
                    </w:rPr>
                  </w:pPr>
                  <w:r>
                    <w:rPr>
                      <w:rFonts w:hint="eastAsia" w:cs="Times New Roman"/>
                      <w:color w:val="auto"/>
                      <w:sz w:val="18"/>
                      <w:szCs w:val="18"/>
                    </w:rPr>
                    <w:t>由设备厂家更换后带走再生，厂内不暂存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jc w:val="center"/>
                    <w:rPr>
                      <w:rFonts w:cs="Times New Roman"/>
                      <w:color w:val="auto"/>
                      <w:sz w:val="18"/>
                      <w:szCs w:val="18"/>
                    </w:rPr>
                  </w:pPr>
                </w:p>
              </w:tc>
              <w:tc>
                <w:tcPr>
                  <w:tcW w:w="1530" w:type="dxa"/>
                  <w:vAlign w:val="center"/>
                </w:tcPr>
                <w:p>
                  <w:pPr>
                    <w:jc w:val="center"/>
                    <w:rPr>
                      <w:rFonts w:hint="eastAsia" w:eastAsia="宋体" w:cs="Times New Roman"/>
                      <w:color w:val="auto"/>
                      <w:sz w:val="18"/>
                      <w:szCs w:val="18"/>
                      <w:lang w:val="en-US" w:eastAsia="zh-CN"/>
                    </w:rPr>
                  </w:pPr>
                  <w:r>
                    <w:rPr>
                      <w:rFonts w:hint="eastAsia" w:cs="Times New Roman"/>
                      <w:color w:val="auto"/>
                      <w:sz w:val="18"/>
                      <w:szCs w:val="18"/>
                      <w:lang w:val="en-US" w:eastAsia="zh-CN"/>
                    </w:rPr>
                    <w:t>絮凝沉淀池</w:t>
                  </w:r>
                </w:p>
              </w:tc>
              <w:tc>
                <w:tcPr>
                  <w:tcW w:w="1376" w:type="dxa"/>
                  <w:vAlign w:val="center"/>
                </w:tcPr>
                <w:p>
                  <w:pPr>
                    <w:jc w:val="center"/>
                    <w:rPr>
                      <w:rFonts w:hint="eastAsia" w:eastAsia="宋体" w:cs="Times New Roman"/>
                      <w:color w:val="auto"/>
                      <w:sz w:val="18"/>
                      <w:szCs w:val="18"/>
                      <w:lang w:val="en-US" w:eastAsia="zh-CN"/>
                    </w:rPr>
                  </w:pPr>
                  <w:r>
                    <w:rPr>
                      <w:rFonts w:hint="eastAsia" w:cs="Times New Roman"/>
                      <w:color w:val="auto"/>
                      <w:sz w:val="18"/>
                      <w:szCs w:val="18"/>
                      <w:lang w:val="en-US" w:eastAsia="zh-CN"/>
                    </w:rPr>
                    <w:t>污泥</w:t>
                  </w:r>
                </w:p>
              </w:tc>
              <w:tc>
                <w:tcPr>
                  <w:tcW w:w="4749" w:type="dxa"/>
                  <w:vAlign w:val="center"/>
                </w:tcPr>
                <w:p>
                  <w:pPr>
                    <w:jc w:val="center"/>
                    <w:rPr>
                      <w:rFonts w:hint="default" w:eastAsia="宋体" w:cs="Times New Roman"/>
                      <w:color w:val="auto"/>
                      <w:sz w:val="18"/>
                      <w:szCs w:val="18"/>
                      <w:lang w:val="en-US" w:eastAsia="zh-CN"/>
                    </w:rPr>
                  </w:pPr>
                  <w:r>
                    <w:rPr>
                      <w:rFonts w:hint="eastAsia" w:cs="Times New Roman"/>
                      <w:color w:val="auto"/>
                      <w:sz w:val="18"/>
                      <w:szCs w:val="18"/>
                      <w:lang w:val="en-US" w:eastAsia="zh-CN"/>
                    </w:rPr>
                    <w:t>外运垃圾填埋场填埋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1" w:type="dxa"/>
                  <w:vMerge w:val="continue"/>
                  <w:vAlign w:val="center"/>
                </w:tcPr>
                <w:p>
                  <w:pPr>
                    <w:widowControl/>
                    <w:jc w:val="left"/>
                    <w:rPr>
                      <w:rFonts w:cs="Times New Roman"/>
                      <w:color w:val="auto"/>
                      <w:sz w:val="18"/>
                      <w:szCs w:val="18"/>
                    </w:rPr>
                  </w:pPr>
                </w:p>
              </w:tc>
              <w:tc>
                <w:tcPr>
                  <w:tcW w:w="1530" w:type="dxa"/>
                  <w:vAlign w:val="center"/>
                </w:tcPr>
                <w:p>
                  <w:pPr>
                    <w:jc w:val="center"/>
                    <w:rPr>
                      <w:rFonts w:cs="Times New Roman"/>
                      <w:color w:val="auto"/>
                      <w:sz w:val="18"/>
                      <w:szCs w:val="18"/>
                    </w:rPr>
                  </w:pPr>
                  <w:r>
                    <w:rPr>
                      <w:rFonts w:hint="eastAsia" w:cs="Times New Roman"/>
                      <w:color w:val="auto"/>
                      <w:sz w:val="18"/>
                      <w:szCs w:val="18"/>
                    </w:rPr>
                    <w:t>职工办公生活</w:t>
                  </w:r>
                </w:p>
              </w:tc>
              <w:tc>
                <w:tcPr>
                  <w:tcW w:w="1376" w:type="dxa"/>
                  <w:vAlign w:val="center"/>
                </w:tcPr>
                <w:p>
                  <w:pPr>
                    <w:jc w:val="center"/>
                    <w:rPr>
                      <w:rFonts w:cs="Times New Roman"/>
                      <w:color w:val="auto"/>
                      <w:sz w:val="18"/>
                      <w:szCs w:val="18"/>
                    </w:rPr>
                  </w:pPr>
                  <w:r>
                    <w:rPr>
                      <w:rFonts w:hint="eastAsia" w:cs="Times New Roman"/>
                      <w:color w:val="auto"/>
                      <w:sz w:val="18"/>
                      <w:szCs w:val="18"/>
                    </w:rPr>
                    <w:t>生活垃圾</w:t>
                  </w:r>
                </w:p>
              </w:tc>
              <w:tc>
                <w:tcPr>
                  <w:tcW w:w="4749" w:type="dxa"/>
                  <w:vAlign w:val="center"/>
                </w:tcPr>
                <w:p>
                  <w:pPr>
                    <w:jc w:val="center"/>
                    <w:rPr>
                      <w:rFonts w:cs="Times New Roman"/>
                      <w:color w:val="auto"/>
                      <w:sz w:val="18"/>
                      <w:szCs w:val="18"/>
                    </w:rPr>
                  </w:pPr>
                  <w:r>
                    <w:rPr>
                      <w:rFonts w:hint="eastAsia" w:cs="Times New Roman"/>
                      <w:color w:val="auto"/>
                      <w:sz w:val="18"/>
                      <w:szCs w:val="18"/>
                    </w:rPr>
                    <w:t>收集后交由环卫部门统一清运</w:t>
                  </w:r>
                </w:p>
              </w:tc>
            </w:tr>
          </w:tbl>
          <w:p>
            <w:pPr>
              <w:spacing w:line="360" w:lineRule="auto"/>
              <w:rPr>
                <w:rFonts w:eastAsia="黑体" w:cs="Times New Roman"/>
                <w:color w:val="auto"/>
                <w:szCs w:val="28"/>
              </w:rPr>
            </w:pPr>
            <w:r>
              <w:rPr>
                <w:rFonts w:eastAsia="黑体" w:cs="Times New Roman"/>
                <w:color w:val="auto"/>
                <w:szCs w:val="28"/>
              </w:rPr>
              <w:t>三、拟建工程污染源强分析与核算</w:t>
            </w:r>
          </w:p>
          <w:p>
            <w:pPr>
              <w:adjustRightInd w:val="0"/>
              <w:snapToGrid w:val="0"/>
              <w:spacing w:line="360" w:lineRule="auto"/>
              <w:rPr>
                <w:rFonts w:eastAsia="黑体" w:cs="Times New Roman"/>
                <w:color w:val="auto"/>
                <w:kern w:val="0"/>
                <w:sz w:val="24"/>
                <w:szCs w:val="24"/>
              </w:rPr>
            </w:pPr>
            <w:r>
              <w:rPr>
                <w:rFonts w:eastAsia="黑体" w:cs="Times New Roman"/>
                <w:color w:val="auto"/>
                <w:kern w:val="0"/>
                <w:sz w:val="24"/>
                <w:szCs w:val="24"/>
              </w:rPr>
              <w:t>1、废气污染源分析</w:t>
            </w:r>
          </w:p>
          <w:p>
            <w:pPr>
              <w:spacing w:line="360" w:lineRule="auto"/>
              <w:ind w:firstLine="480" w:firstLineChars="200"/>
              <w:jc w:val="left"/>
              <w:rPr>
                <w:rFonts w:cs="Times New Roman"/>
                <w:color w:val="auto"/>
                <w:sz w:val="24"/>
                <w:szCs w:val="24"/>
              </w:rPr>
            </w:pPr>
            <w:r>
              <w:rPr>
                <w:rFonts w:cs="Times New Roman"/>
                <w:color w:val="auto"/>
                <w:sz w:val="24"/>
                <w:szCs w:val="24"/>
              </w:rPr>
              <w:t>本项目废气主要</w:t>
            </w:r>
            <w:r>
              <w:rPr>
                <w:rFonts w:hint="eastAsia" w:cs="Times New Roman"/>
                <w:color w:val="auto"/>
                <w:sz w:val="24"/>
                <w:szCs w:val="24"/>
              </w:rPr>
              <w:t>为配料工段产生的颗粒物和烘干、烘焙工序产生的NO</w:t>
            </w:r>
            <w:r>
              <w:rPr>
                <w:rFonts w:hint="eastAsia" w:cs="Times New Roman"/>
                <w:color w:val="auto"/>
                <w:sz w:val="24"/>
                <w:szCs w:val="24"/>
                <w:vertAlign w:val="subscript"/>
              </w:rPr>
              <w:t>2</w:t>
            </w:r>
            <w:r>
              <w:rPr>
                <w:rFonts w:cs="Times New Roman"/>
                <w:color w:val="auto"/>
                <w:sz w:val="24"/>
                <w:szCs w:val="24"/>
              </w:rPr>
              <w:t>。</w:t>
            </w:r>
          </w:p>
          <w:p>
            <w:pPr>
              <w:pStyle w:val="80"/>
              <w:spacing w:line="360" w:lineRule="auto"/>
              <w:ind w:firstLine="480" w:firstLineChars="200"/>
              <w:rPr>
                <w:rFonts w:hint="default" w:ascii="Times New Roman" w:hAnsi="Times New Roman"/>
                <w:b w:val="0"/>
                <w:bCs/>
                <w:color w:val="auto"/>
                <w:sz w:val="24"/>
                <w:szCs w:val="24"/>
                <w:lang w:eastAsia="zh-CN"/>
              </w:rPr>
            </w:pPr>
            <w:r>
              <w:rPr>
                <w:rFonts w:ascii="Times New Roman" w:hAnsi="Times New Roman"/>
                <w:b w:val="0"/>
                <w:bCs/>
                <w:color w:val="auto"/>
                <w:sz w:val="24"/>
                <w:szCs w:val="24"/>
                <w:lang w:eastAsia="zh-CN"/>
              </w:rPr>
              <w:t>（1）配料工段产生的颗粒物：</w:t>
            </w:r>
            <w:r>
              <w:rPr>
                <w:rFonts w:hint="default" w:ascii="Times New Roman" w:hAnsi="Times New Roman"/>
                <w:b w:val="0"/>
                <w:bCs/>
                <w:color w:val="auto"/>
                <w:sz w:val="24"/>
                <w:szCs w:val="24"/>
                <w:lang w:eastAsia="zh-CN"/>
              </w:rPr>
              <w:t>本项目</w:t>
            </w:r>
            <w:r>
              <w:rPr>
                <w:rFonts w:ascii="Times New Roman" w:hAnsi="Times New Roman"/>
                <w:b w:val="0"/>
                <w:bCs/>
                <w:color w:val="auto"/>
                <w:sz w:val="24"/>
                <w:szCs w:val="24"/>
                <w:lang w:eastAsia="zh-CN"/>
              </w:rPr>
              <w:t>原料采用人工称量配料，配料工程中粉尘产生主要为铈锆氧化物、活性氧化铝称量和投料产生的粉尘，粉尘产生量为原料用量的0.1%，项目铈锆氧化物、活性氧化铝用量均为42t/a，则配料工序粉尘产生量为0.084t/a。项目设置独立密闭的配料间，采用负压抽风方式将配料产生粉尘引入一套袋式除尘器进行处理，引风机风量为5000m</w:t>
            </w:r>
            <w:r>
              <w:rPr>
                <w:rFonts w:ascii="Times New Roman" w:hAnsi="Times New Roman"/>
                <w:b w:val="0"/>
                <w:bCs/>
                <w:color w:val="auto"/>
                <w:sz w:val="24"/>
                <w:szCs w:val="24"/>
                <w:vertAlign w:val="superscript"/>
                <w:lang w:eastAsia="zh-CN"/>
              </w:rPr>
              <w:t>3</w:t>
            </w:r>
            <w:r>
              <w:rPr>
                <w:rFonts w:ascii="Times New Roman" w:hAnsi="Times New Roman"/>
                <w:b w:val="0"/>
                <w:bCs/>
                <w:color w:val="auto"/>
                <w:sz w:val="24"/>
                <w:szCs w:val="24"/>
                <w:lang w:eastAsia="zh-CN"/>
              </w:rPr>
              <w:t>/a，配料工序年工作时间为600h/a，则配料工序粉尘产生浓度及产生速率为28mg/m</w:t>
            </w:r>
            <w:r>
              <w:rPr>
                <w:rFonts w:ascii="Times New Roman" w:hAnsi="Times New Roman"/>
                <w:b w:val="0"/>
                <w:bCs/>
                <w:color w:val="auto"/>
                <w:sz w:val="24"/>
                <w:szCs w:val="24"/>
                <w:vertAlign w:val="superscript"/>
                <w:lang w:eastAsia="zh-CN"/>
              </w:rPr>
              <w:t>3</w:t>
            </w:r>
            <w:r>
              <w:rPr>
                <w:rFonts w:ascii="Times New Roman" w:hAnsi="Times New Roman"/>
                <w:b w:val="0"/>
                <w:bCs/>
                <w:color w:val="auto"/>
                <w:sz w:val="24"/>
                <w:szCs w:val="24"/>
                <w:lang w:eastAsia="zh-CN"/>
              </w:rPr>
              <w:t>、0.14kg/h，袋式除尘器处理效率不低于95%，则项目配料工序粉尘排放浓度及排放速率为1.4mg/m</w:t>
            </w:r>
            <w:r>
              <w:rPr>
                <w:rFonts w:ascii="Times New Roman" w:hAnsi="Times New Roman"/>
                <w:b w:val="0"/>
                <w:bCs/>
                <w:color w:val="auto"/>
                <w:sz w:val="24"/>
                <w:szCs w:val="24"/>
                <w:vertAlign w:val="superscript"/>
                <w:lang w:eastAsia="zh-CN"/>
              </w:rPr>
              <w:t>3</w:t>
            </w:r>
            <w:r>
              <w:rPr>
                <w:rFonts w:ascii="Times New Roman" w:hAnsi="Times New Roman"/>
                <w:b w:val="0"/>
                <w:bCs/>
                <w:color w:val="auto"/>
                <w:sz w:val="24"/>
                <w:szCs w:val="24"/>
                <w:lang w:eastAsia="zh-CN"/>
              </w:rPr>
              <w:t>、0.007kg/h（0.0042t/a）。满足《大气污染我综合排放标准》（GB16297-1996）表2二级标准要求；</w:t>
            </w:r>
          </w:p>
          <w:p>
            <w:pPr>
              <w:pStyle w:val="80"/>
              <w:spacing w:line="360" w:lineRule="auto"/>
              <w:ind w:firstLine="480" w:firstLineChars="200"/>
              <w:rPr>
                <w:rFonts w:hint="default" w:ascii="Times New Roman" w:hAnsi="Times New Roman"/>
                <w:b w:val="0"/>
                <w:bCs/>
                <w:color w:val="000000" w:themeColor="text1"/>
                <w:sz w:val="24"/>
                <w:szCs w:val="24"/>
                <w:lang w:eastAsia="zh-CN"/>
                <w14:textFill>
                  <w14:solidFill>
                    <w14:schemeClr w14:val="tx1"/>
                  </w14:solidFill>
                </w14:textFill>
              </w:rPr>
            </w:pPr>
            <w:r>
              <w:rPr>
                <w:rFonts w:ascii="Times New Roman" w:hAnsi="Times New Roman"/>
                <w:b w:val="0"/>
                <w:bCs/>
                <w:color w:val="000000" w:themeColor="text1"/>
                <w:sz w:val="24"/>
                <w:szCs w:val="24"/>
                <w:lang w:eastAsia="zh-CN"/>
                <w14:textFill>
                  <w14:solidFill>
                    <w14:schemeClr w14:val="tx1"/>
                  </w14:solidFill>
                </w14:textFill>
              </w:rPr>
              <w:t>（2）烘干、烘焙工序产生的NO</w:t>
            </w:r>
            <w:r>
              <w:rPr>
                <w:rFonts w:ascii="Times New Roman" w:hAnsi="Times New Roman"/>
                <w:b w:val="0"/>
                <w:bCs/>
                <w:color w:val="000000" w:themeColor="text1"/>
                <w:sz w:val="24"/>
                <w:szCs w:val="24"/>
                <w:vertAlign w:val="subscript"/>
                <w:lang w:eastAsia="zh-CN"/>
                <w14:textFill>
                  <w14:solidFill>
                    <w14:schemeClr w14:val="tx1"/>
                  </w14:solidFill>
                </w14:textFill>
              </w:rPr>
              <w:t>2</w:t>
            </w:r>
            <w:r>
              <w:rPr>
                <w:rFonts w:ascii="Times New Roman" w:hAnsi="Times New Roman"/>
                <w:b w:val="0"/>
                <w:bCs/>
                <w:color w:val="000000" w:themeColor="text1"/>
                <w:sz w:val="24"/>
                <w:szCs w:val="24"/>
                <w:lang w:eastAsia="zh-CN"/>
                <w14:textFill>
                  <w14:solidFill>
                    <w14:schemeClr w14:val="tx1"/>
                  </w14:solidFill>
                </w14:textFill>
              </w:rPr>
              <w:t>：</w:t>
            </w:r>
          </w:p>
          <w:p>
            <w:pPr>
              <w:spacing w:line="360" w:lineRule="auto"/>
              <w:ind w:firstLine="482" w:firstLineChars="200"/>
              <w:jc w:val="left"/>
              <w:rPr>
                <w:rFonts w:cs="Times New Roman"/>
                <w:b/>
                <w:bCs/>
                <w:color w:val="auto"/>
                <w:sz w:val="24"/>
                <w:szCs w:val="24"/>
                <w:u w:val="single"/>
              </w:rPr>
            </w:pPr>
            <w:r>
              <w:rPr>
                <w:rFonts w:hint="eastAsia" w:cs="Times New Roman"/>
                <w:b/>
                <w:bCs/>
                <w:color w:val="000000" w:themeColor="text1"/>
                <w:sz w:val="24"/>
                <w:szCs w:val="24"/>
                <w:u w:val="single"/>
                <w:lang w:val="en-US" w:eastAsia="zh-CN"/>
                <w14:textFill>
                  <w14:solidFill>
                    <w14:schemeClr w14:val="tx1"/>
                  </w14:solidFill>
                </w14:textFill>
              </w:rPr>
              <w:t>本项目</w:t>
            </w:r>
            <w:r>
              <w:rPr>
                <w:rFonts w:hint="eastAsia" w:cs="Times New Roman"/>
                <w:b/>
                <w:bCs/>
                <w:color w:val="000000" w:themeColor="text1"/>
                <w:sz w:val="24"/>
                <w:szCs w:val="24"/>
                <w:u w:val="single"/>
                <w14:textFill>
                  <w14:solidFill>
                    <w14:schemeClr w14:val="tx1"/>
                  </w14:solidFill>
                </w14:textFill>
              </w:rPr>
              <w:t>干燥和烘焙</w:t>
            </w:r>
            <w:r>
              <w:rPr>
                <w:rFonts w:hint="eastAsia" w:cs="Times New Roman"/>
                <w:b/>
                <w:bCs/>
                <w:color w:val="000000" w:themeColor="text1"/>
                <w:sz w:val="24"/>
                <w:szCs w:val="24"/>
                <w:u w:val="single"/>
                <w:lang w:val="en-US" w:eastAsia="zh-CN"/>
                <w14:textFill>
                  <w14:solidFill>
                    <w14:schemeClr w14:val="tx1"/>
                  </w14:solidFill>
                </w14:textFill>
              </w:rPr>
              <w:t>采用电加热，此过程废气主要为</w:t>
            </w:r>
            <w:r>
              <w:rPr>
                <w:rFonts w:hint="eastAsia" w:cs="Times New Roman"/>
                <w:b/>
                <w:bCs/>
                <w:color w:val="000000" w:themeColor="text1"/>
                <w:sz w:val="24"/>
                <w:szCs w:val="24"/>
                <w:u w:val="single"/>
                <w14:textFill>
                  <w14:solidFill>
                    <w14:schemeClr w14:val="tx1"/>
                  </w14:solidFill>
                </w14:textFill>
              </w:rPr>
              <w:t>酸性废气，项目原料使用贵金属铂钯铑的硝酸盐溶于硝酸中制</w:t>
            </w:r>
            <w:r>
              <w:rPr>
                <w:rFonts w:hint="eastAsia" w:cs="Times New Roman"/>
                <w:b/>
                <w:bCs/>
                <w:color w:val="auto"/>
                <w:sz w:val="24"/>
                <w:szCs w:val="24"/>
                <w:u w:val="single"/>
              </w:rPr>
              <w:t>取浆料。由于硝酸热稳定性差，加热会发生热分解，硝酸盐的热分解规律为：金属活动性顺序表中从K到Mg的硝酸盐加热时生成亚硝酸盐和氧气；金属活动性顺序表中从Mg到Cu（包括Mg和Cu）的硝酸盐加热时生成金属氧化物、二氧化氮和氧气， H在金属活动顺序表中排在 Mg与Cu之间，因而 HNO</w:t>
            </w:r>
            <w:r>
              <w:rPr>
                <w:rFonts w:hint="eastAsia" w:cs="Times New Roman"/>
                <w:b/>
                <w:bCs/>
                <w:color w:val="auto"/>
                <w:sz w:val="24"/>
                <w:szCs w:val="24"/>
                <w:u w:val="single"/>
                <w:vertAlign w:val="subscript"/>
              </w:rPr>
              <w:t>3</w:t>
            </w:r>
            <w:r>
              <w:rPr>
                <w:rFonts w:hint="eastAsia" w:cs="Times New Roman"/>
                <w:b/>
                <w:bCs/>
                <w:color w:val="auto"/>
                <w:sz w:val="24"/>
                <w:szCs w:val="24"/>
                <w:u w:val="single"/>
              </w:rPr>
              <w:t>受热分解生成NO</w:t>
            </w:r>
            <w:r>
              <w:rPr>
                <w:rFonts w:hint="eastAsia" w:cs="Times New Roman"/>
                <w:b/>
                <w:bCs/>
                <w:color w:val="auto"/>
                <w:sz w:val="24"/>
                <w:szCs w:val="24"/>
                <w:u w:val="single"/>
                <w:vertAlign w:val="subscript"/>
              </w:rPr>
              <w:t>2</w:t>
            </w:r>
            <w:r>
              <w:rPr>
                <w:rFonts w:hint="eastAsia" w:cs="Times New Roman"/>
                <w:b/>
                <w:bCs/>
                <w:color w:val="auto"/>
                <w:sz w:val="24"/>
                <w:szCs w:val="24"/>
                <w:u w:val="single"/>
              </w:rPr>
              <w:t>、O</w:t>
            </w:r>
            <w:r>
              <w:rPr>
                <w:rFonts w:hint="eastAsia" w:cs="Times New Roman"/>
                <w:b/>
                <w:bCs/>
                <w:color w:val="auto"/>
                <w:sz w:val="24"/>
                <w:szCs w:val="24"/>
                <w:u w:val="single"/>
                <w:vertAlign w:val="subscript"/>
              </w:rPr>
              <w:t>2</w:t>
            </w:r>
            <w:r>
              <w:rPr>
                <w:rFonts w:hint="eastAsia" w:cs="Times New Roman"/>
                <w:b/>
                <w:bCs/>
                <w:color w:val="auto"/>
                <w:sz w:val="24"/>
                <w:szCs w:val="24"/>
                <w:u w:val="single"/>
              </w:rPr>
              <w:t>、H</w:t>
            </w:r>
            <w:r>
              <w:rPr>
                <w:rFonts w:hint="eastAsia" w:cs="Times New Roman"/>
                <w:b/>
                <w:bCs/>
                <w:color w:val="auto"/>
                <w:sz w:val="24"/>
                <w:szCs w:val="24"/>
                <w:u w:val="single"/>
                <w:vertAlign w:val="subscript"/>
              </w:rPr>
              <w:t>2</w:t>
            </w:r>
            <w:r>
              <w:rPr>
                <w:rFonts w:hint="eastAsia" w:cs="Times New Roman"/>
                <w:b/>
                <w:bCs/>
                <w:color w:val="auto"/>
                <w:sz w:val="24"/>
                <w:szCs w:val="24"/>
                <w:u w:val="single"/>
              </w:rPr>
              <w:t>O（H的氧化物），其反应方程式为：</w:t>
            </w:r>
          </w:p>
          <w:p>
            <w:pPr>
              <w:pStyle w:val="25"/>
              <w:ind w:left="560" w:firstLine="560"/>
              <w:rPr>
                <w:b/>
                <w:bCs/>
                <w:color w:val="auto"/>
                <w:u w:val="single"/>
              </w:rPr>
            </w:pPr>
            <w:r>
              <w:rPr>
                <w:b/>
                <w:bCs/>
                <w:color w:val="auto"/>
                <w:u w:val="single"/>
              </w:rPr>
              <w:pict>
                <v:shape id="_x0000_s1043" o:spid="_x0000_s1043" o:spt="5" type="#_x0000_t5" style="position:absolute;left:0pt;margin-left:119.65pt;margin-top:7.9pt;height:7.5pt;width:5.95pt;z-index:251626496;mso-width-relative:page;mso-height-relative:page;" coordsize="21600,21600">
                  <v:path/>
                  <v:fill focussize="0,0"/>
                  <v:stroke weight="0.5pt" joinstyle="miter"/>
                  <v:imagedata o:title=""/>
                  <o:lock v:ext="edit"/>
                </v:shape>
              </w:pict>
            </w:r>
            <w:r>
              <w:rPr>
                <w:b/>
                <w:bCs/>
                <w:color w:val="auto"/>
                <w:u w:val="single"/>
              </w:rPr>
              <w:pict>
                <v:line id="_x0000_s1044" o:spid="_x0000_s1044" o:spt="20" style="position:absolute;left:0pt;margin-left:103.2pt;margin-top:16.85pt;height:0.05pt;width:42.25pt;z-index:251625472;mso-width-relative:page;mso-height-relative:page;" filled="t" coordsize="21600,21600">
                  <v:path arrowok="t"/>
                  <v:fill on="t" focussize="0,0"/>
                  <v:stroke weight="0.5pt" endarrow="block"/>
                  <v:imagedata o:title=""/>
                  <o:lock v:ext="edit"/>
                </v:line>
              </w:pict>
            </w:r>
            <w:r>
              <w:rPr>
                <w:b/>
                <w:bCs/>
                <w:color w:val="auto"/>
                <w:u w:val="single"/>
              </w:rPr>
              <w:t>4HNO</w:t>
            </w:r>
            <w:r>
              <w:rPr>
                <w:b/>
                <w:bCs/>
                <w:color w:val="auto"/>
                <w:u w:val="single"/>
                <w:vertAlign w:val="subscript"/>
              </w:rPr>
              <w:t>3</w:t>
            </w:r>
            <w:r>
              <w:rPr>
                <w:rFonts w:hint="eastAsia"/>
                <w:b/>
                <w:bCs/>
                <w:color w:val="auto"/>
                <w:u w:val="single"/>
                <w:vertAlign w:val="subscript"/>
              </w:rPr>
              <w:t xml:space="preserve">            </w:t>
            </w:r>
            <w:r>
              <w:rPr>
                <w:b/>
                <w:bCs/>
                <w:color w:val="auto"/>
                <w:u w:val="single"/>
              </w:rPr>
              <w:t>4NO</w:t>
            </w:r>
            <w:r>
              <w:rPr>
                <w:b/>
                <w:bCs/>
                <w:color w:val="auto"/>
                <w:u w:val="single"/>
                <w:vertAlign w:val="subscript"/>
              </w:rPr>
              <w:t>2</w:t>
            </w:r>
            <w:r>
              <w:rPr>
                <w:b/>
                <w:bCs/>
                <w:color w:val="auto"/>
                <w:u w:val="single"/>
              </w:rPr>
              <w:t>↑+O</w:t>
            </w:r>
            <w:r>
              <w:rPr>
                <w:b/>
                <w:bCs/>
                <w:color w:val="auto"/>
                <w:u w:val="single"/>
                <w:vertAlign w:val="subscript"/>
              </w:rPr>
              <w:t>2</w:t>
            </w:r>
            <w:r>
              <w:rPr>
                <w:b/>
                <w:bCs/>
                <w:color w:val="auto"/>
                <w:u w:val="single"/>
              </w:rPr>
              <w:t>↑+2H</w:t>
            </w:r>
            <w:r>
              <w:rPr>
                <w:b/>
                <w:bCs/>
                <w:color w:val="auto"/>
                <w:u w:val="single"/>
                <w:vertAlign w:val="subscript"/>
              </w:rPr>
              <w:t>2</w:t>
            </w:r>
            <w:r>
              <w:rPr>
                <w:b/>
                <w:bCs/>
                <w:color w:val="auto"/>
                <w:u w:val="single"/>
              </w:rPr>
              <w:t>O</w:t>
            </w:r>
            <w:bookmarkStart w:id="8" w:name="_GoBack"/>
            <w:bookmarkEnd w:id="8"/>
          </w:p>
          <w:p>
            <w:pPr>
              <w:pStyle w:val="80"/>
              <w:spacing w:line="360" w:lineRule="auto"/>
              <w:ind w:firstLine="480" w:firstLineChars="200"/>
              <w:rPr>
                <w:rFonts w:hint="default" w:ascii="Times New Roman" w:hAnsi="Times New Roman"/>
                <w:b/>
                <w:bCs/>
                <w:color w:val="auto"/>
                <w:sz w:val="24"/>
                <w:szCs w:val="24"/>
                <w:u w:val="single"/>
                <w:lang w:eastAsia="zh-CN"/>
              </w:rPr>
            </w:pPr>
            <w:r>
              <w:rPr>
                <w:rFonts w:ascii="Times New Roman" w:hAnsi="Times New Roman"/>
                <w:b/>
                <w:bCs/>
                <w:color w:val="000000" w:themeColor="text1"/>
                <w:sz w:val="24"/>
                <w:szCs w:val="24"/>
                <w:u w:val="single"/>
                <w:lang w:eastAsia="zh-CN"/>
                <w14:textFill>
                  <w14:solidFill>
                    <w14:schemeClr w14:val="tx1"/>
                  </w14:solidFill>
                </w14:textFill>
              </w:rPr>
              <w:t>项目原料为65%硝酸溶液，年用量为0.1t/a，则计算NO</w:t>
            </w:r>
            <w:r>
              <w:rPr>
                <w:rFonts w:ascii="Times New Roman" w:hAnsi="Times New Roman"/>
                <w:b/>
                <w:bCs/>
                <w:color w:val="000000" w:themeColor="text1"/>
                <w:sz w:val="24"/>
                <w:szCs w:val="24"/>
                <w:u w:val="single"/>
                <w:vertAlign w:val="subscript"/>
                <w:lang w:eastAsia="zh-CN"/>
                <w14:textFill>
                  <w14:solidFill>
                    <w14:schemeClr w14:val="tx1"/>
                  </w14:solidFill>
                </w14:textFill>
              </w:rPr>
              <w:t>2</w:t>
            </w:r>
            <w:r>
              <w:rPr>
                <w:rFonts w:ascii="Times New Roman" w:hAnsi="Times New Roman"/>
                <w:b/>
                <w:bCs/>
                <w:color w:val="000000" w:themeColor="text1"/>
                <w:sz w:val="24"/>
                <w:szCs w:val="24"/>
                <w:u w:val="single"/>
                <w:lang w:eastAsia="zh-CN"/>
                <w14:textFill>
                  <w14:solidFill>
                    <w14:schemeClr w14:val="tx1"/>
                  </w14:solidFill>
                </w14:textFill>
              </w:rPr>
              <w:t>产生量为0.047t/a，项目烘干、烘焙炉</w:t>
            </w:r>
            <w:r>
              <w:rPr>
                <w:rFonts w:hint="eastAsia" w:ascii="Times New Roman" w:hAnsi="Times New Roman"/>
                <w:b/>
                <w:bCs/>
                <w:color w:val="000000" w:themeColor="text1"/>
                <w:sz w:val="24"/>
                <w:szCs w:val="24"/>
                <w:u w:val="single"/>
                <w:lang w:val="en-US" w:eastAsia="zh-CN"/>
                <w14:textFill>
                  <w14:solidFill>
                    <w14:schemeClr w14:val="tx1"/>
                  </w14:solidFill>
                </w14:textFill>
              </w:rPr>
              <w:t>为密闭炉窑，尾气直接经排气口</w:t>
            </w:r>
            <w:r>
              <w:rPr>
                <w:rFonts w:ascii="Times New Roman" w:hAnsi="Times New Roman"/>
                <w:b/>
                <w:bCs/>
                <w:color w:val="000000" w:themeColor="text1"/>
                <w:sz w:val="24"/>
                <w:szCs w:val="24"/>
                <w:u w:val="single"/>
                <w:lang w:eastAsia="zh-CN"/>
                <w14:textFill>
                  <w14:solidFill>
                    <w14:schemeClr w14:val="tx1"/>
                  </w14:solidFill>
                </w14:textFill>
              </w:rPr>
              <w:t>引入</w:t>
            </w:r>
            <w:r>
              <w:rPr>
                <w:rFonts w:hint="eastAsia" w:ascii="Times New Roman" w:hAnsi="Times New Roman"/>
                <w:b/>
                <w:bCs/>
                <w:color w:val="000000" w:themeColor="text1"/>
                <w:sz w:val="24"/>
                <w:szCs w:val="24"/>
                <w:u w:val="single"/>
                <w:lang w:eastAsia="zh-CN"/>
                <w14:textFill>
                  <w14:solidFill>
                    <w14:schemeClr w14:val="tx1"/>
                  </w14:solidFill>
                </w14:textFill>
              </w:rPr>
              <w:t>碱液</w:t>
            </w:r>
            <w:r>
              <w:rPr>
                <w:rFonts w:hint="eastAsia" w:ascii="Times New Roman" w:hAnsi="Times New Roman"/>
                <w:b/>
                <w:bCs/>
                <w:color w:val="auto"/>
                <w:sz w:val="24"/>
                <w:szCs w:val="24"/>
                <w:u w:val="single"/>
                <w:lang w:eastAsia="zh-CN"/>
              </w:rPr>
              <w:t>喷淋</w:t>
            </w:r>
            <w:r>
              <w:rPr>
                <w:rFonts w:ascii="Times New Roman" w:hAnsi="Times New Roman"/>
                <w:b/>
                <w:bCs/>
                <w:color w:val="auto"/>
                <w:sz w:val="24"/>
                <w:szCs w:val="24"/>
                <w:u w:val="single"/>
                <w:lang w:eastAsia="zh-CN"/>
              </w:rPr>
              <w:t>塔处理后，经15m高排气筒排放，引风机风量为2000m</w:t>
            </w:r>
            <w:r>
              <w:rPr>
                <w:rFonts w:ascii="Times New Roman" w:hAnsi="Times New Roman"/>
                <w:b/>
                <w:bCs/>
                <w:color w:val="auto"/>
                <w:sz w:val="24"/>
                <w:szCs w:val="24"/>
                <w:u w:val="single"/>
                <w:vertAlign w:val="superscript"/>
                <w:lang w:eastAsia="zh-CN"/>
              </w:rPr>
              <w:t>3</w:t>
            </w:r>
            <w:r>
              <w:rPr>
                <w:rFonts w:ascii="Times New Roman" w:hAnsi="Times New Roman"/>
                <w:b/>
                <w:bCs/>
                <w:color w:val="auto"/>
                <w:sz w:val="24"/>
                <w:szCs w:val="24"/>
                <w:u w:val="single"/>
                <w:lang w:eastAsia="zh-CN"/>
              </w:rPr>
              <w:t>/h，喷淋塔对NO</w:t>
            </w:r>
            <w:r>
              <w:rPr>
                <w:rFonts w:ascii="Times New Roman" w:hAnsi="Times New Roman"/>
                <w:b/>
                <w:bCs/>
                <w:color w:val="auto"/>
                <w:sz w:val="24"/>
                <w:szCs w:val="24"/>
                <w:u w:val="single"/>
                <w:vertAlign w:val="subscript"/>
                <w:lang w:eastAsia="zh-CN"/>
              </w:rPr>
              <w:t>2</w:t>
            </w:r>
            <w:r>
              <w:rPr>
                <w:rFonts w:ascii="Times New Roman" w:hAnsi="Times New Roman"/>
                <w:b/>
                <w:bCs/>
                <w:color w:val="auto"/>
                <w:sz w:val="24"/>
                <w:szCs w:val="24"/>
                <w:u w:val="single"/>
                <w:lang w:eastAsia="zh-CN"/>
              </w:rPr>
              <w:t>的去除效率按50%计，则尾气中NO</w:t>
            </w:r>
            <w:r>
              <w:rPr>
                <w:rFonts w:ascii="Times New Roman" w:hAnsi="Times New Roman"/>
                <w:b/>
                <w:bCs/>
                <w:color w:val="auto"/>
                <w:sz w:val="24"/>
                <w:szCs w:val="24"/>
                <w:u w:val="single"/>
                <w:vertAlign w:val="subscript"/>
                <w:lang w:eastAsia="zh-CN"/>
              </w:rPr>
              <w:t>2</w:t>
            </w:r>
            <w:r>
              <w:rPr>
                <w:rFonts w:ascii="Times New Roman" w:hAnsi="Times New Roman"/>
                <w:b/>
                <w:bCs/>
                <w:color w:val="auto"/>
                <w:sz w:val="24"/>
                <w:szCs w:val="24"/>
                <w:u w:val="single"/>
                <w:lang w:eastAsia="zh-CN"/>
              </w:rPr>
              <w:t>的排放浓度及排放量为4.9mg/m</w:t>
            </w:r>
            <w:r>
              <w:rPr>
                <w:rFonts w:ascii="Times New Roman" w:hAnsi="Times New Roman"/>
                <w:b/>
                <w:bCs/>
                <w:color w:val="auto"/>
                <w:sz w:val="24"/>
                <w:szCs w:val="24"/>
                <w:u w:val="single"/>
                <w:vertAlign w:val="superscript"/>
                <w:lang w:eastAsia="zh-CN"/>
              </w:rPr>
              <w:t>3</w:t>
            </w:r>
            <w:r>
              <w:rPr>
                <w:rFonts w:ascii="Times New Roman" w:hAnsi="Times New Roman"/>
                <w:b/>
                <w:bCs/>
                <w:color w:val="auto"/>
                <w:sz w:val="24"/>
                <w:szCs w:val="24"/>
                <w:u w:val="single"/>
                <w:lang w:eastAsia="zh-CN"/>
              </w:rPr>
              <w:t>、0.0235t/a。满足</w:t>
            </w:r>
            <w:r>
              <w:rPr>
                <w:rFonts w:hint="eastAsia" w:ascii="Times New Roman" w:hAnsi="Times New Roman"/>
                <w:b/>
                <w:bCs/>
                <w:color w:val="auto"/>
                <w:sz w:val="24"/>
                <w:szCs w:val="24"/>
                <w:u w:val="single"/>
                <w:lang w:val="en-US" w:eastAsia="zh-CN"/>
              </w:rPr>
              <w:t>河南省</w:t>
            </w:r>
            <w:r>
              <w:rPr>
                <w:rFonts w:hint="eastAsia" w:ascii="Times New Roman" w:hAnsi="Times New Roman"/>
                <w:b/>
                <w:bCs/>
                <w:color w:val="auto"/>
                <w:sz w:val="24"/>
                <w:szCs w:val="24"/>
                <w:u w:val="single"/>
                <w:lang w:eastAsia="zh-CN"/>
              </w:rPr>
              <w:t>《</w:t>
            </w:r>
            <w:r>
              <w:rPr>
                <w:rFonts w:hint="eastAsia" w:ascii="Times New Roman" w:hAnsi="Times New Roman"/>
                <w:b/>
                <w:bCs/>
                <w:color w:val="auto"/>
                <w:sz w:val="24"/>
                <w:szCs w:val="24"/>
                <w:u w:val="single"/>
                <w:lang w:val="en-US" w:eastAsia="zh-CN"/>
              </w:rPr>
              <w:t>工业炉窑大气污染物排放标准</w:t>
            </w:r>
            <w:r>
              <w:rPr>
                <w:rFonts w:hint="eastAsia" w:ascii="Times New Roman" w:hAnsi="Times New Roman"/>
                <w:b/>
                <w:bCs/>
                <w:color w:val="auto"/>
                <w:sz w:val="24"/>
                <w:szCs w:val="24"/>
                <w:u w:val="single"/>
                <w:lang w:eastAsia="zh-CN"/>
              </w:rPr>
              <w:t>》（</w:t>
            </w:r>
            <w:r>
              <w:rPr>
                <w:rFonts w:hint="eastAsia" w:ascii="Times New Roman" w:hAnsi="Times New Roman"/>
                <w:b/>
                <w:bCs/>
                <w:color w:val="auto"/>
                <w:sz w:val="24"/>
                <w:szCs w:val="24"/>
                <w:u w:val="single"/>
                <w:lang w:val="en-US" w:eastAsia="zh-CN"/>
              </w:rPr>
              <w:t>DB41/1066-2015</w:t>
            </w:r>
            <w:r>
              <w:rPr>
                <w:rFonts w:hint="eastAsia" w:ascii="Times New Roman" w:hAnsi="Times New Roman"/>
                <w:b/>
                <w:bCs/>
                <w:color w:val="auto"/>
                <w:sz w:val="24"/>
                <w:szCs w:val="24"/>
                <w:u w:val="single"/>
                <w:lang w:eastAsia="zh-CN"/>
              </w:rPr>
              <w:t>）</w:t>
            </w:r>
            <w:r>
              <w:rPr>
                <w:rFonts w:hint="eastAsia" w:ascii="Times New Roman" w:hAnsi="Times New Roman"/>
                <w:b/>
                <w:bCs/>
                <w:color w:val="auto"/>
                <w:sz w:val="24"/>
                <w:szCs w:val="24"/>
                <w:u w:val="single"/>
                <w:lang w:val="en-US" w:eastAsia="zh-CN"/>
              </w:rPr>
              <w:t>标准及</w:t>
            </w:r>
            <w:r>
              <w:rPr>
                <w:rFonts w:ascii="Times New Roman" w:hAnsi="Times New Roman"/>
                <w:b/>
                <w:bCs/>
                <w:color w:val="auto"/>
                <w:sz w:val="24"/>
                <w:szCs w:val="24"/>
                <w:u w:val="single"/>
                <w:lang w:eastAsia="zh-CN"/>
              </w:rPr>
              <w:t>《新乡市环境污染攻坚战三年行动实施方案》（2018-2020）要求：颗粒物、二氧化硫、氮氧化物排放限值分别不高于 30 毫克/立方米、200 毫克/立方米、300毫克/立方米。</w:t>
            </w:r>
          </w:p>
          <w:p>
            <w:pPr>
              <w:adjustRightInd w:val="0"/>
              <w:snapToGrid w:val="0"/>
              <w:spacing w:line="360" w:lineRule="auto"/>
              <w:ind w:firstLine="480" w:firstLineChars="200"/>
              <w:rPr>
                <w:rFonts w:eastAsia="黑体" w:cs="Times New Roman"/>
                <w:color w:val="auto"/>
                <w:kern w:val="0"/>
                <w:sz w:val="24"/>
                <w:szCs w:val="24"/>
              </w:rPr>
            </w:pPr>
            <w:r>
              <w:rPr>
                <w:rFonts w:eastAsia="黑体" w:cs="Times New Roman"/>
                <w:color w:val="auto"/>
                <w:kern w:val="0"/>
                <w:sz w:val="24"/>
                <w:szCs w:val="24"/>
              </w:rPr>
              <w:t>2、废水污染源分析</w:t>
            </w:r>
          </w:p>
          <w:p>
            <w:pPr>
              <w:spacing w:line="360" w:lineRule="auto"/>
              <w:ind w:firstLine="470" w:firstLineChars="196"/>
              <w:textAlignment w:val="baseline"/>
              <w:rPr>
                <w:rFonts w:cs="Times New Roman"/>
                <w:color w:val="auto"/>
                <w:sz w:val="24"/>
                <w:szCs w:val="24"/>
              </w:rPr>
            </w:pPr>
            <w:r>
              <w:rPr>
                <w:rFonts w:cs="Times New Roman"/>
                <w:color w:val="auto"/>
                <w:sz w:val="24"/>
                <w:szCs w:val="24"/>
              </w:rPr>
              <w:t>本项目</w:t>
            </w:r>
            <w:r>
              <w:rPr>
                <w:rFonts w:hint="eastAsia" w:cs="Times New Roman"/>
                <w:color w:val="auto"/>
                <w:sz w:val="24"/>
                <w:szCs w:val="24"/>
              </w:rPr>
              <w:t>废水主要包括纯水制备废水、喷淋塔</w:t>
            </w:r>
            <w:r>
              <w:rPr>
                <w:rFonts w:hint="eastAsia" w:cs="Times New Roman"/>
                <w:color w:val="auto"/>
                <w:sz w:val="24"/>
                <w:szCs w:val="24"/>
                <w:lang w:val="en-US" w:eastAsia="zh-CN"/>
              </w:rPr>
              <w:t>喷淋废水</w:t>
            </w:r>
            <w:r>
              <w:rPr>
                <w:rFonts w:hint="eastAsia" w:cs="Times New Roman"/>
                <w:color w:val="auto"/>
                <w:sz w:val="24"/>
                <w:szCs w:val="24"/>
              </w:rPr>
              <w:t>和生活污水。</w:t>
            </w:r>
          </w:p>
          <w:p>
            <w:pPr>
              <w:numPr>
                <w:ilvl w:val="0"/>
                <w:numId w:val="5"/>
              </w:numPr>
              <w:spacing w:line="360" w:lineRule="auto"/>
              <w:ind w:firstLine="470" w:firstLineChars="196"/>
              <w:textAlignment w:val="baseline"/>
              <w:rPr>
                <w:rFonts w:cs="Times New Roman"/>
                <w:color w:val="auto"/>
                <w:sz w:val="24"/>
                <w:szCs w:val="24"/>
              </w:rPr>
            </w:pPr>
            <w:r>
              <w:rPr>
                <w:rFonts w:hint="eastAsia" w:cs="Times New Roman"/>
                <w:color w:val="auto"/>
                <w:sz w:val="24"/>
                <w:szCs w:val="24"/>
              </w:rPr>
              <w:t>纯水制备废水：本项目配料需使用纯水，配套一套0.5t/h纯净水制水机，制水机出水率80%，项目纯净水使用量为120t/a，则纯水制备废水产生量为0.1t/d、30t/a。</w:t>
            </w:r>
            <w:r>
              <w:rPr>
                <w:rFonts w:hint="eastAsia" w:cs="Times New Roman"/>
                <w:b/>
                <w:bCs/>
                <w:color w:val="auto"/>
                <w:sz w:val="24"/>
                <w:szCs w:val="24"/>
                <w:u w:val="single"/>
                <w:lang w:eastAsia="zh-CN"/>
              </w:rPr>
              <w:t>项目设置</w:t>
            </w:r>
            <w:r>
              <w:rPr>
                <w:rFonts w:hint="eastAsia" w:cs="Times New Roman"/>
                <w:b/>
                <w:bCs/>
                <w:color w:val="auto"/>
                <w:sz w:val="24"/>
                <w:szCs w:val="24"/>
                <w:u w:val="single"/>
                <w:lang w:val="en-US" w:eastAsia="zh-CN"/>
              </w:rPr>
              <w:t>0.5m</w:t>
            </w:r>
            <w:r>
              <w:rPr>
                <w:rFonts w:hint="eastAsia" w:cs="Times New Roman"/>
                <w:b/>
                <w:bCs/>
                <w:color w:val="auto"/>
                <w:sz w:val="24"/>
                <w:szCs w:val="24"/>
                <w:u w:val="single"/>
                <w:vertAlign w:val="superscript"/>
                <w:lang w:val="en-US" w:eastAsia="zh-CN"/>
              </w:rPr>
              <w:t>3</w:t>
            </w:r>
            <w:r>
              <w:rPr>
                <w:rFonts w:hint="eastAsia" w:cs="Times New Roman"/>
                <w:b/>
                <w:bCs/>
                <w:color w:val="auto"/>
                <w:sz w:val="24"/>
                <w:szCs w:val="24"/>
                <w:u w:val="single"/>
                <w:lang w:val="en-US" w:eastAsia="zh-CN"/>
              </w:rPr>
              <w:t>浓水收集池收集</w:t>
            </w:r>
            <w:r>
              <w:rPr>
                <w:rFonts w:hint="eastAsia" w:cs="Times New Roman"/>
                <w:b/>
                <w:bCs/>
                <w:color w:val="auto"/>
                <w:sz w:val="24"/>
                <w:szCs w:val="24"/>
                <w:u w:val="single"/>
              </w:rPr>
              <w:t>纯水制备废水用作厂区洒水降尘，</w:t>
            </w:r>
            <w:r>
              <w:rPr>
                <w:rFonts w:hint="eastAsia" w:cs="Times New Roman"/>
                <w:color w:val="auto"/>
                <w:sz w:val="24"/>
                <w:szCs w:val="24"/>
              </w:rPr>
              <w:t>根据现场勘查，项目租赁厂区硬化地面及道路约27800m</w:t>
            </w:r>
            <w:r>
              <w:rPr>
                <w:rFonts w:hint="eastAsia" w:cs="Times New Roman"/>
                <w:color w:val="auto"/>
                <w:sz w:val="24"/>
                <w:szCs w:val="24"/>
                <w:vertAlign w:val="superscript"/>
              </w:rPr>
              <w:t>2</w:t>
            </w:r>
            <w:r>
              <w:rPr>
                <w:rFonts w:hint="eastAsia" w:cs="Times New Roman"/>
                <w:color w:val="auto"/>
                <w:sz w:val="24"/>
                <w:szCs w:val="24"/>
              </w:rPr>
              <w:t>，每天对厂区主要道路进行洒水抑尘，抑尘用水量约5m</w:t>
            </w:r>
            <w:r>
              <w:rPr>
                <w:rFonts w:hint="eastAsia" w:cs="Times New Roman"/>
                <w:color w:val="auto"/>
                <w:sz w:val="24"/>
                <w:szCs w:val="24"/>
                <w:vertAlign w:val="superscript"/>
              </w:rPr>
              <w:t>3</w:t>
            </w:r>
            <w:r>
              <w:rPr>
                <w:rFonts w:hint="eastAsia" w:cs="Times New Roman"/>
                <w:color w:val="auto"/>
                <w:sz w:val="24"/>
                <w:szCs w:val="24"/>
              </w:rPr>
              <w:t>/d，本项目纯水制备清净下水可全部消耗。</w:t>
            </w:r>
          </w:p>
          <w:p>
            <w:pPr>
              <w:numPr>
                <w:ilvl w:val="0"/>
                <w:numId w:val="5"/>
              </w:numPr>
              <w:spacing w:line="360" w:lineRule="auto"/>
              <w:ind w:firstLine="472" w:firstLineChars="196"/>
              <w:textAlignment w:val="baseline"/>
              <w:rPr>
                <w:rFonts w:cs="Times New Roman"/>
                <w:b/>
                <w:bCs/>
                <w:color w:val="auto"/>
                <w:sz w:val="24"/>
                <w:szCs w:val="24"/>
                <w:u w:val="single"/>
              </w:rPr>
            </w:pPr>
            <w:r>
              <w:rPr>
                <w:rFonts w:hint="eastAsia"/>
                <w:b/>
                <w:bCs/>
                <w:color w:val="auto"/>
                <w:sz w:val="24"/>
                <w:szCs w:val="24"/>
                <w:u w:val="single"/>
              </w:rPr>
              <w:t>喷淋塔</w:t>
            </w:r>
            <w:r>
              <w:rPr>
                <w:rFonts w:hint="eastAsia"/>
                <w:b/>
                <w:bCs/>
                <w:color w:val="auto"/>
                <w:sz w:val="24"/>
                <w:szCs w:val="24"/>
                <w:u w:val="single"/>
                <w:lang w:val="en-US" w:eastAsia="zh-CN"/>
              </w:rPr>
              <w:t>喷淋废水</w:t>
            </w:r>
            <w:r>
              <w:rPr>
                <w:rFonts w:hint="eastAsia"/>
                <w:b/>
                <w:bCs/>
                <w:color w:val="auto"/>
                <w:sz w:val="24"/>
                <w:szCs w:val="24"/>
                <w:u w:val="single"/>
              </w:rPr>
              <w:t>：根据《废气处理工程技术手册》，喷淋塔用水量约1~2L/m</w:t>
            </w:r>
            <w:r>
              <w:rPr>
                <w:rFonts w:hint="eastAsia"/>
                <w:b/>
                <w:bCs/>
                <w:color w:val="auto"/>
                <w:sz w:val="24"/>
                <w:szCs w:val="24"/>
                <w:u w:val="single"/>
                <w:vertAlign w:val="superscript"/>
              </w:rPr>
              <w:t>3</w:t>
            </w:r>
            <w:r>
              <w:rPr>
                <w:rFonts w:hint="eastAsia"/>
                <w:b/>
                <w:bCs/>
                <w:color w:val="auto"/>
                <w:sz w:val="24"/>
                <w:szCs w:val="24"/>
                <w:u w:val="single"/>
              </w:rPr>
              <w:t>废气，本项目建成后需处理废气量2000m</w:t>
            </w:r>
            <w:r>
              <w:rPr>
                <w:rFonts w:hint="eastAsia"/>
                <w:b/>
                <w:bCs/>
                <w:color w:val="auto"/>
                <w:sz w:val="24"/>
                <w:szCs w:val="24"/>
                <w:u w:val="single"/>
                <w:vertAlign w:val="superscript"/>
              </w:rPr>
              <w:t>3</w:t>
            </w:r>
            <w:r>
              <w:rPr>
                <w:rFonts w:hint="eastAsia"/>
                <w:b/>
                <w:bCs/>
                <w:color w:val="auto"/>
                <w:sz w:val="24"/>
                <w:szCs w:val="24"/>
                <w:u w:val="single"/>
              </w:rPr>
              <w:t>/h，则本项目喷淋塔循环水量为4m</w:t>
            </w:r>
            <w:r>
              <w:rPr>
                <w:rFonts w:hint="eastAsia"/>
                <w:b/>
                <w:bCs/>
                <w:color w:val="auto"/>
                <w:sz w:val="24"/>
                <w:szCs w:val="24"/>
                <w:u w:val="single"/>
                <w:vertAlign w:val="superscript"/>
              </w:rPr>
              <w:t>3</w:t>
            </w:r>
            <w:r>
              <w:rPr>
                <w:rFonts w:hint="eastAsia"/>
                <w:b/>
                <w:bCs/>
                <w:color w:val="auto"/>
                <w:sz w:val="24"/>
                <w:szCs w:val="24"/>
                <w:u w:val="single"/>
              </w:rPr>
              <w:t>/h（32m</w:t>
            </w:r>
            <w:r>
              <w:rPr>
                <w:rFonts w:hint="eastAsia"/>
                <w:b/>
                <w:bCs/>
                <w:color w:val="auto"/>
                <w:sz w:val="24"/>
                <w:szCs w:val="24"/>
                <w:u w:val="single"/>
                <w:vertAlign w:val="superscript"/>
              </w:rPr>
              <w:t>3</w:t>
            </w:r>
            <w:r>
              <w:rPr>
                <w:rFonts w:hint="eastAsia"/>
                <w:b/>
                <w:bCs/>
                <w:color w:val="auto"/>
                <w:sz w:val="24"/>
                <w:szCs w:val="24"/>
                <w:u w:val="single"/>
              </w:rPr>
              <w:t>/d），根据项目设计，</w:t>
            </w:r>
            <w:r>
              <w:rPr>
                <w:rFonts w:hint="eastAsia"/>
                <w:b/>
                <w:bCs/>
                <w:color w:val="auto"/>
                <w:sz w:val="24"/>
                <w:szCs w:val="24"/>
                <w:u w:val="single"/>
                <w:lang w:val="en-US" w:eastAsia="zh-CN"/>
              </w:rPr>
              <w:t>喷淋塔定期排放水量为循环水量的1%，喷淋废水量为0.32m</w:t>
            </w:r>
            <w:r>
              <w:rPr>
                <w:rFonts w:hint="eastAsia"/>
                <w:b/>
                <w:bCs/>
                <w:color w:val="auto"/>
                <w:sz w:val="24"/>
                <w:szCs w:val="24"/>
                <w:u w:val="single"/>
                <w:vertAlign w:val="superscript"/>
                <w:lang w:val="en-US" w:eastAsia="zh-CN"/>
              </w:rPr>
              <w:t>3</w:t>
            </w:r>
            <w:r>
              <w:rPr>
                <w:rFonts w:hint="eastAsia"/>
                <w:b/>
                <w:bCs/>
                <w:color w:val="auto"/>
                <w:sz w:val="24"/>
                <w:szCs w:val="24"/>
                <w:u w:val="single"/>
                <w:lang w:val="en-US" w:eastAsia="zh-CN"/>
              </w:rPr>
              <w:t>/d，项目设置1m</w:t>
            </w:r>
            <w:r>
              <w:rPr>
                <w:rFonts w:hint="eastAsia"/>
                <w:b/>
                <w:bCs/>
                <w:color w:val="auto"/>
                <w:sz w:val="24"/>
                <w:szCs w:val="24"/>
                <w:u w:val="single"/>
                <w:vertAlign w:val="superscript"/>
                <w:lang w:val="en-US" w:eastAsia="zh-CN"/>
              </w:rPr>
              <w:t>3</w:t>
            </w:r>
            <w:r>
              <w:rPr>
                <w:rFonts w:hint="eastAsia"/>
                <w:b/>
                <w:bCs/>
                <w:color w:val="auto"/>
                <w:sz w:val="24"/>
                <w:szCs w:val="24"/>
                <w:u w:val="single"/>
                <w:lang w:val="en-US" w:eastAsia="zh-CN"/>
              </w:rPr>
              <w:t>絮凝沉淀池，对喷淋废水进行絮凝沉淀后，循环使用，不外排</w:t>
            </w:r>
            <w:r>
              <w:rPr>
                <w:rFonts w:hint="eastAsia" w:cs="Times New Roman"/>
                <w:b/>
                <w:bCs/>
                <w:color w:val="auto"/>
                <w:sz w:val="24"/>
                <w:szCs w:val="24"/>
                <w:u w:val="single"/>
              </w:rPr>
              <w:t>。</w:t>
            </w:r>
          </w:p>
          <w:p>
            <w:pPr>
              <w:pStyle w:val="19"/>
              <w:rPr>
                <w:rFonts w:hint="eastAsia" w:cs="Times New Roman"/>
                <w:color w:val="auto"/>
                <w:sz w:val="24"/>
                <w:szCs w:val="24"/>
              </w:rPr>
            </w:pPr>
          </w:p>
          <w:p>
            <w:pPr>
              <w:pStyle w:val="19"/>
              <w:rPr>
                <w:rFonts w:hint="eastAsia" w:cs="Times New Roman"/>
                <w:color w:val="auto"/>
                <w:sz w:val="24"/>
                <w:szCs w:val="24"/>
              </w:rPr>
            </w:pPr>
          </w:p>
          <w:p>
            <w:pPr>
              <w:pStyle w:val="19"/>
              <w:rPr>
                <w:rFonts w:hint="eastAsia" w:cs="Times New Roman"/>
                <w:color w:val="auto"/>
                <w:sz w:val="24"/>
                <w:szCs w:val="24"/>
              </w:rPr>
            </w:pPr>
            <w:r>
              <w:rPr>
                <w:color w:val="auto"/>
                <w:sz w:val="24"/>
              </w:rPr>
              <w:pict>
                <v:rect id="_x0000_s1053" o:spid="_x0000_s1053" o:spt="1" style="position:absolute;left:0pt;margin-left:121.55pt;margin-top:5.4pt;height:70.55pt;width:27.8pt;z-index:251637760;mso-width-relative:page;mso-height-relative:page;" fillcolor="#FFFFFF" filled="t" stroked="t" coordsize="21600,21600">
                  <v:path/>
                  <v:fill on="t" color2="#FFFFFF" focussize="0,0"/>
                  <v:stroke weight="0.5pt" color="#000000"/>
                  <v:imagedata o:title=""/>
                  <o:lock v:ext="edit" aspectratio="f"/>
                </v:rect>
              </w:pict>
            </w:r>
            <w:r>
              <w:rPr>
                <w:color w:val="auto"/>
                <w:sz w:val="24"/>
              </w:rPr>
              <w:pict>
                <v:shape id="_x0000_s1055" o:spid="_x0000_s1055" o:spt="202" type="#_x0000_t202" style="position:absolute;left:0pt;margin-left:122.3pt;margin-top:11.45pt;height:59.25pt;width:24pt;z-index:251637760;mso-width-relative:page;mso-height-relative:page;" fillcolor="#FFFFFF" filled="t" stroked="t" coordsize="21600,21600">
                  <v:path/>
                  <v:fill on="t" color2="#FFFFFF" focussize="0,0"/>
                  <v:stroke weight="0.5pt" color="#FFFFFF"/>
                  <v:imagedata o:title=""/>
                  <o:lock v:ext="edit" aspectratio="f"/>
                  <v:textbox>
                    <w:txbxContent>
                      <w:p>
                        <w:pPr>
                          <w:rPr>
                            <w:rFonts w:hint="eastAsia" w:eastAsia="宋体"/>
                            <w:sz w:val="18"/>
                            <w:szCs w:val="18"/>
                            <w:lang w:val="en-US" w:eastAsia="zh-CN"/>
                          </w:rPr>
                        </w:pPr>
                        <w:r>
                          <w:rPr>
                            <w:rFonts w:hint="eastAsia"/>
                            <w:sz w:val="18"/>
                            <w:szCs w:val="18"/>
                            <w:lang w:val="en-US" w:eastAsia="zh-CN"/>
                          </w:rPr>
                          <w:t>喷淋塔</w:t>
                        </w:r>
                      </w:p>
                    </w:txbxContent>
                  </v:textbox>
                </v:shape>
              </w:pict>
            </w:r>
          </w:p>
          <w:p>
            <w:pPr>
              <w:pStyle w:val="19"/>
              <w:rPr>
                <w:rFonts w:hint="eastAsia" w:cs="Times New Roman"/>
                <w:color w:val="auto"/>
                <w:sz w:val="24"/>
                <w:szCs w:val="24"/>
              </w:rPr>
            </w:pPr>
            <w:r>
              <w:rPr>
                <w:color w:val="auto"/>
                <w:sz w:val="24"/>
              </w:rPr>
              <w:pict>
                <v:shape id="_x0000_s1067" o:spid="_x0000_s1067" o:spt="202" type="#_x0000_t202" style="position:absolute;left:0pt;margin-left:228.8pt;margin-top:11.8pt;height:20.25pt;width:62.25pt;z-index:251641856;mso-width-relative:page;mso-height-relative:page;" fillcolor="#FFFFFF" filled="t" stroked="t" coordsize="21600,21600">
                  <v:path/>
                  <v:fill on="t" color2="#FFFFFF" focussize="0,0"/>
                  <v:stroke weight="0.5pt" color="#FFFFFF" joinstyle="miter"/>
                  <v:imagedata o:title=""/>
                  <o:lock v:ext="edit" aspectratio="f"/>
                  <v:textbox>
                    <w:txbxContent>
                      <w:p>
                        <w:pPr>
                          <w:rPr>
                            <w:rFonts w:hint="default" w:eastAsia="宋体"/>
                            <w:sz w:val="18"/>
                            <w:szCs w:val="18"/>
                            <w:lang w:val="en-US" w:eastAsia="zh-CN"/>
                          </w:rPr>
                        </w:pPr>
                        <w:r>
                          <w:rPr>
                            <w:rFonts w:hint="eastAsia"/>
                            <w:sz w:val="18"/>
                            <w:szCs w:val="18"/>
                            <w:lang w:val="en-US" w:eastAsia="zh-CN"/>
                          </w:rPr>
                          <w:t>PAM、PAC</w:t>
                        </w:r>
                      </w:p>
                    </w:txbxContent>
                  </v:textbox>
                </v:shape>
              </w:pict>
            </w:r>
          </w:p>
          <w:p>
            <w:pPr>
              <w:pStyle w:val="19"/>
              <w:rPr>
                <w:rFonts w:hint="eastAsia" w:cs="Times New Roman"/>
                <w:color w:val="auto"/>
                <w:sz w:val="24"/>
                <w:szCs w:val="24"/>
              </w:rPr>
            </w:pPr>
            <w:r>
              <w:rPr>
                <w:color w:val="auto"/>
                <w:sz w:val="24"/>
              </w:rPr>
              <w:pict>
                <v:shape id="_x0000_s1060" o:spid="_x0000_s1060" o:spt="202" type="#_x0000_t202" style="position:absolute;left:0pt;margin-left:174.8pt;margin-top:2.4pt;height:20.25pt;width:42pt;z-index:251641856;mso-width-relative:page;mso-height-relative:page;" fillcolor="#FFFFFF" filled="t" stroked="t" coordsize="21600,21600">
                  <v:path/>
                  <v:fill on="t" color2="#FFFFFF" focussize="0,0"/>
                  <v:stroke weight="0.5pt" color="#FFFFFF"/>
                  <v:imagedata o:title=""/>
                  <o:lock v:ext="edit" aspectratio="f"/>
                  <v:textbox>
                    <w:txbxContent>
                      <w:p>
                        <w:pPr>
                          <w:rPr>
                            <w:rFonts w:hint="eastAsia" w:eastAsia="宋体"/>
                            <w:sz w:val="18"/>
                            <w:szCs w:val="18"/>
                            <w:lang w:val="en-US" w:eastAsia="zh-CN"/>
                          </w:rPr>
                        </w:pPr>
                        <w:r>
                          <w:rPr>
                            <w:rFonts w:hint="eastAsia"/>
                            <w:sz w:val="18"/>
                            <w:szCs w:val="18"/>
                            <w:lang w:val="en-US" w:eastAsia="zh-CN"/>
                          </w:rPr>
                          <w:t>回用水</w:t>
                        </w:r>
                      </w:p>
                    </w:txbxContent>
                  </v:textbox>
                </v:shape>
              </w:pict>
            </w:r>
          </w:p>
          <w:p>
            <w:pPr>
              <w:pStyle w:val="19"/>
              <w:rPr>
                <w:rFonts w:hint="eastAsia" w:cs="Times New Roman"/>
                <w:color w:val="auto"/>
                <w:sz w:val="24"/>
                <w:szCs w:val="24"/>
              </w:rPr>
            </w:pPr>
            <w:r>
              <w:rPr>
                <w:color w:val="auto"/>
                <w:sz w:val="24"/>
              </w:rPr>
              <w:pict>
                <v:line id="_x0000_s1066" o:spid="_x0000_s1066" o:spt="20" style="position:absolute;left:0pt;margin-left:255.05pt;margin-top:3.5pt;height:15pt;width:0.05pt;z-index:251637760;mso-width-relative:page;mso-height-relative:page;" fillcolor="#FFFFFF" filled="t" stroked="t" coordsize="21600,21600">
                  <v:path arrowok="t"/>
                  <v:fill on="t" color2="#FFFFFF" focussize="0,0"/>
                  <v:stroke weight="0.5pt" color="#000000" endarrow="block"/>
                  <v:imagedata o:title=""/>
                  <o:lock v:ext="edit" aspectratio="f"/>
                </v:line>
              </w:pict>
            </w:r>
            <w:r>
              <w:rPr>
                <w:color w:val="auto"/>
                <w:sz w:val="24"/>
              </w:rPr>
              <w:pict>
                <v:line id="_x0000_s1064" o:spid="_x0000_s1064" o:spt="20" style="position:absolute;left:0pt;margin-left:164.3pt;margin-top:7.25pt;height:24pt;width:0.05pt;z-index:251644928;mso-width-relative:page;mso-height-relative:page;" fillcolor="#FFFFFF" filled="t" stroked="t" coordsize="21600,21600">
                  <v:path arrowok="t"/>
                  <v:fill on="t" color2="#FFFFFF" focussize="0,0"/>
                  <v:stroke weight="0.5pt" color="#000000" endarrow="block"/>
                  <v:imagedata o:title=""/>
                  <o:lock v:ext="edit" aspectratio="f"/>
                </v:line>
              </w:pict>
            </w:r>
            <w:r>
              <w:rPr>
                <w:color w:val="auto"/>
                <w:sz w:val="24"/>
              </w:rPr>
              <w:pict>
                <v:line id="_x0000_s1063" o:spid="_x0000_s1063" o:spt="20" style="position:absolute;left:0pt;flip:x;margin-left:165.05pt;margin-top:8pt;height:0.05pt;width:63.75pt;z-index:251643904;mso-width-relative:page;mso-height-relative:page;" fillcolor="#FFFFFF" filled="t" stroked="t" coordsize="21600,21600">
                  <v:path arrowok="t"/>
                  <v:fill on="t" color2="#FFFFFF" focussize="0,0"/>
                  <v:stroke weight="0.5pt" color="#000000"/>
                  <v:imagedata o:title=""/>
                  <o:lock v:ext="edit" aspectratio="f"/>
                </v:line>
              </w:pict>
            </w:r>
            <w:r>
              <w:rPr>
                <w:color w:val="auto"/>
                <w:sz w:val="24"/>
              </w:rPr>
              <w:pict>
                <v:line id="_x0000_s1061" o:spid="_x0000_s1061" o:spt="20" style="position:absolute;left:0pt;flip:y;margin-left:228.05pt;margin-top:9.5pt;height:10.5pt;width:0.05pt;z-index:251642880;mso-width-relative:page;mso-height-relative:page;" fillcolor="#FFFFFF" filled="t" stroked="t" coordsize="21600,21600">
                  <v:path arrowok="t"/>
                  <v:fill on="t" color2="#FFFFFF" focussize="0,0"/>
                  <v:stroke weight="0.5pt" color="#000000"/>
                  <v:imagedata o:title=""/>
                  <o:lock v:ext="edit" aspectratio="f"/>
                </v:line>
              </w:pict>
            </w:r>
          </w:p>
          <w:p>
            <w:pPr>
              <w:pStyle w:val="19"/>
              <w:rPr>
                <w:rFonts w:hint="eastAsia" w:cs="Times New Roman"/>
                <w:color w:val="auto"/>
                <w:sz w:val="24"/>
                <w:szCs w:val="24"/>
              </w:rPr>
            </w:pPr>
            <w:r>
              <w:rPr>
                <w:color w:val="auto"/>
                <w:sz w:val="24"/>
              </w:rPr>
              <w:pict>
                <v:shape id="_x0000_s1065" o:spid="_x0000_s1065" o:spt="202" type="#_x0000_t202" style="position:absolute;left:0pt;margin-left:174.8pt;margin-top:12.85pt;height:20.25pt;width:42pt;z-index:251641856;mso-width-relative:page;mso-height-relative:page;" fillcolor="#FFFFFF" filled="t" stroked="t" coordsize="21600,21600">
                  <v:path/>
                  <v:fill on="t" color2="#FFFFFF" focussize="0,0"/>
                  <v:stroke weight="0.5pt" color="#FFFFFF" joinstyle="miter"/>
                  <v:imagedata o:title=""/>
                  <o:lock v:ext="edit" aspectratio="f"/>
                  <v:textbox>
                    <w:txbxContent>
                      <w:p>
                        <w:pPr>
                          <w:rPr>
                            <w:rFonts w:hint="eastAsia" w:eastAsia="宋体"/>
                            <w:sz w:val="18"/>
                            <w:szCs w:val="18"/>
                            <w:lang w:val="en-US" w:eastAsia="zh-CN"/>
                          </w:rPr>
                        </w:pPr>
                        <w:r>
                          <w:rPr>
                            <w:rFonts w:hint="eastAsia"/>
                            <w:sz w:val="18"/>
                            <w:szCs w:val="18"/>
                            <w:lang w:val="en-US" w:eastAsia="zh-CN"/>
                          </w:rPr>
                          <w:t>定排水</w:t>
                        </w:r>
                      </w:p>
                    </w:txbxContent>
                  </v:textbox>
                </v:shape>
              </w:pict>
            </w:r>
            <w:r>
              <w:rPr>
                <w:color w:val="auto"/>
                <w:sz w:val="24"/>
              </w:rPr>
              <w:pict>
                <v:shape id="_x0000_s1059" o:spid="_x0000_s1059" o:spt="202" type="#_x0000_t202" style="position:absolute;left:0pt;margin-left:217.55pt;margin-top:5.35pt;height:36.75pt;width:45.75pt;z-index:251640832;mso-width-relative:page;mso-height-relative:page;" fillcolor="#FFFFFF" filled="t" stroked="t" coordsize="21600,21600">
                  <v:path/>
                  <v:fill on="t" color2="#FFFFFF" focussize="0,0"/>
                  <v:stroke weight="0.5pt" color="#000000"/>
                  <v:imagedata o:title=""/>
                  <o:lock v:ext="edit" aspectratio="f"/>
                  <v:textbox>
                    <w:txbxContent>
                      <w:p>
                        <w:pPr>
                          <w:rPr>
                            <w:rFonts w:hint="eastAsia" w:eastAsia="宋体"/>
                            <w:sz w:val="18"/>
                            <w:szCs w:val="18"/>
                            <w:lang w:val="en-US" w:eastAsia="zh-CN"/>
                          </w:rPr>
                        </w:pPr>
                        <w:r>
                          <w:rPr>
                            <w:rFonts w:hint="eastAsia"/>
                            <w:sz w:val="18"/>
                            <w:szCs w:val="18"/>
                            <w:lang w:val="en-US" w:eastAsia="zh-CN"/>
                          </w:rPr>
                          <w:t>絮凝沉淀池</w:t>
                        </w:r>
                      </w:p>
                    </w:txbxContent>
                  </v:textbox>
                </v:shape>
              </w:pict>
            </w:r>
          </w:p>
          <w:p>
            <w:pPr>
              <w:pStyle w:val="19"/>
              <w:rPr>
                <w:rFonts w:hint="eastAsia" w:cs="Times New Roman"/>
                <w:color w:val="auto"/>
                <w:sz w:val="24"/>
                <w:szCs w:val="24"/>
              </w:rPr>
            </w:pPr>
            <w:r>
              <w:rPr>
                <w:color w:val="auto"/>
                <w:sz w:val="24"/>
              </w:rPr>
              <w:pict>
                <v:shape id="_x0000_s1057" o:spid="_x0000_s1057" o:spt="202" type="#_x0000_t202" style="position:absolute;left:0pt;margin-left:107.35pt;margin-top:3.45pt;height:20.25pt;width:62.95pt;z-index:251638784;mso-width-relative:page;mso-height-relative:page;" fillcolor="#FFFFFF" filled="t" stroked="t" coordsize="21600,21600">
                  <v:path/>
                  <v:fill on="t" color2="#FFFFFF" focussize="0,0"/>
                  <v:stroke weight="0.5pt" color="#FFFFFF"/>
                  <v:imagedata o:title=""/>
                  <o:lock v:ext="edit" aspectratio="f"/>
                  <v:textbox>
                    <w:txbxContent>
                      <w:p>
                        <w:pPr>
                          <w:rPr>
                            <w:rFonts w:hint="eastAsia" w:eastAsia="宋体"/>
                            <w:sz w:val="18"/>
                            <w:szCs w:val="18"/>
                            <w:lang w:val="en-US" w:eastAsia="zh-CN"/>
                          </w:rPr>
                        </w:pPr>
                        <w:r>
                          <w:rPr>
                            <w:rFonts w:hint="eastAsia"/>
                            <w:sz w:val="18"/>
                            <w:szCs w:val="18"/>
                            <w:lang w:val="en-US" w:eastAsia="zh-CN"/>
                          </w:rPr>
                          <w:t>循环水池</w:t>
                        </w:r>
                      </w:p>
                    </w:txbxContent>
                  </v:textbox>
                </v:shape>
              </w:pict>
            </w:r>
            <w:r>
              <w:rPr>
                <w:color w:val="auto"/>
                <w:sz w:val="24"/>
              </w:rPr>
              <w:pict>
                <v:rect id="_x0000_s1054" o:spid="_x0000_s1054" o:spt="1" style="position:absolute;left:0pt;margin-left:98.3pt;margin-top:2.65pt;height:23.3pt;width:73.45pt;z-index:251637760;mso-width-relative:page;mso-height-relative:page;" fillcolor="#FFFFFF" filled="t" stroked="t" coordsize="21600,21600">
                  <v:path/>
                  <v:fill on="t" color2="#FFFFFF" focussize="0,0"/>
                  <v:stroke weight="0.5pt" color="#000000" joinstyle="miter"/>
                  <v:imagedata o:title=""/>
                  <o:lock v:ext="edit" aspectratio="f"/>
                </v:rect>
              </w:pict>
            </w:r>
          </w:p>
          <w:p>
            <w:pPr>
              <w:pStyle w:val="19"/>
              <w:rPr>
                <w:rFonts w:hint="eastAsia" w:cs="Times New Roman"/>
                <w:color w:val="auto"/>
                <w:sz w:val="24"/>
                <w:szCs w:val="24"/>
              </w:rPr>
            </w:pPr>
            <w:r>
              <w:rPr>
                <w:color w:val="auto"/>
                <w:sz w:val="24"/>
              </w:rPr>
              <w:pict>
                <v:line id="_x0000_s1058" o:spid="_x0000_s1058" o:spt="20" style="position:absolute;left:0pt;margin-left:172.55pt;margin-top:6.05pt;height:0.75pt;width:45pt;z-index:251639808;mso-width-relative:page;mso-height-relative:page;" fillcolor="#FFFFFF" filled="t" stroked="t" coordsize="21600,21600">
                  <v:path arrowok="t"/>
                  <v:fill on="t" color2="#FFFFFF" focussize="0,0"/>
                  <v:stroke weight="0.5pt" color="#000000" endarrow="block"/>
                  <v:imagedata o:title=""/>
                  <o:lock v:ext="edit" aspectratio="f"/>
                </v:line>
              </w:pict>
            </w:r>
          </w:p>
          <w:p>
            <w:pPr>
              <w:pStyle w:val="19"/>
              <w:rPr>
                <w:rFonts w:hint="eastAsia" w:cs="Times New Roman"/>
                <w:color w:val="auto"/>
                <w:sz w:val="24"/>
                <w:szCs w:val="24"/>
              </w:rPr>
            </w:pPr>
          </w:p>
          <w:p>
            <w:pPr>
              <w:pStyle w:val="19"/>
              <w:jc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图2   喷淋废水处理工艺流程图</w:t>
            </w:r>
          </w:p>
          <w:p>
            <w:pPr>
              <w:pStyle w:val="19"/>
              <w:rPr>
                <w:rFonts w:hint="eastAsia" w:cs="Times New Roman"/>
                <w:color w:val="auto"/>
                <w:sz w:val="24"/>
                <w:szCs w:val="24"/>
              </w:rPr>
            </w:pPr>
          </w:p>
          <w:p>
            <w:pPr>
              <w:spacing w:line="360" w:lineRule="auto"/>
              <w:ind w:firstLine="470" w:firstLineChars="196"/>
              <w:textAlignment w:val="baseline"/>
              <w:rPr>
                <w:rFonts w:eastAsia="黑体"/>
                <w:bCs/>
                <w:color w:val="auto"/>
                <w:spacing w:val="-4"/>
                <w:sz w:val="24"/>
                <w:szCs w:val="24"/>
              </w:rPr>
            </w:pPr>
            <w:r>
              <w:rPr>
                <w:rFonts w:hint="eastAsia" w:cs="Times New Roman"/>
                <w:color w:val="auto"/>
                <w:sz w:val="24"/>
                <w:szCs w:val="24"/>
              </w:rPr>
              <w:t>（3）生活污水：</w:t>
            </w:r>
            <w:r>
              <w:rPr>
                <w:color w:val="auto"/>
                <w:kern w:val="0"/>
                <w:sz w:val="24"/>
                <w:szCs w:val="24"/>
              </w:rPr>
              <w:t>本项目劳动定员共计</w:t>
            </w:r>
            <w:r>
              <w:rPr>
                <w:rFonts w:hint="eastAsia"/>
                <w:color w:val="auto"/>
                <w:kern w:val="0"/>
                <w:sz w:val="24"/>
                <w:szCs w:val="24"/>
              </w:rPr>
              <w:t>1</w:t>
            </w:r>
            <w:r>
              <w:rPr>
                <w:color w:val="auto"/>
                <w:kern w:val="0"/>
                <w:sz w:val="24"/>
                <w:szCs w:val="24"/>
              </w:rPr>
              <w:t>0人，均不在厂区住宿。职工办公生活用水量按每人每天</w:t>
            </w:r>
            <w:r>
              <w:rPr>
                <w:rFonts w:hint="eastAsia"/>
                <w:color w:val="auto"/>
                <w:kern w:val="0"/>
                <w:sz w:val="24"/>
                <w:szCs w:val="24"/>
              </w:rPr>
              <w:t>3</w:t>
            </w:r>
            <w:r>
              <w:rPr>
                <w:color w:val="auto"/>
                <w:kern w:val="0"/>
                <w:sz w:val="24"/>
                <w:szCs w:val="24"/>
              </w:rPr>
              <w:t>0 L计算，则生活用水量为</w:t>
            </w:r>
            <w:r>
              <w:rPr>
                <w:rFonts w:hint="eastAsia"/>
                <w:color w:val="auto"/>
                <w:kern w:val="0"/>
                <w:sz w:val="24"/>
                <w:szCs w:val="24"/>
              </w:rPr>
              <w:t>90</w:t>
            </w:r>
            <w:r>
              <w:rPr>
                <w:color w:val="auto"/>
                <w:kern w:val="0"/>
                <w:sz w:val="24"/>
                <w:szCs w:val="24"/>
              </w:rPr>
              <w:t>m</w:t>
            </w:r>
            <w:r>
              <w:rPr>
                <w:color w:val="auto"/>
                <w:kern w:val="0"/>
                <w:sz w:val="24"/>
                <w:szCs w:val="24"/>
                <w:vertAlign w:val="superscript"/>
              </w:rPr>
              <w:t>3</w:t>
            </w:r>
            <w:r>
              <w:rPr>
                <w:color w:val="auto"/>
                <w:kern w:val="0"/>
                <w:sz w:val="24"/>
                <w:szCs w:val="24"/>
              </w:rPr>
              <w:t>/a（0.</w:t>
            </w:r>
            <w:r>
              <w:rPr>
                <w:rFonts w:hint="eastAsia"/>
                <w:color w:val="auto"/>
                <w:kern w:val="0"/>
                <w:sz w:val="24"/>
                <w:szCs w:val="24"/>
              </w:rPr>
              <w:t>3</w:t>
            </w:r>
            <w:r>
              <w:rPr>
                <w:color w:val="auto"/>
                <w:kern w:val="0"/>
                <w:sz w:val="24"/>
                <w:szCs w:val="24"/>
              </w:rPr>
              <w:t>m</w:t>
            </w:r>
            <w:r>
              <w:rPr>
                <w:color w:val="auto"/>
                <w:kern w:val="0"/>
                <w:sz w:val="24"/>
                <w:szCs w:val="24"/>
                <w:vertAlign w:val="superscript"/>
              </w:rPr>
              <w:t>3</w:t>
            </w:r>
            <w:r>
              <w:rPr>
                <w:color w:val="auto"/>
                <w:kern w:val="0"/>
                <w:sz w:val="24"/>
                <w:szCs w:val="24"/>
              </w:rPr>
              <w:t>/d），排水系数按0.8计，则生活污水排放量为</w:t>
            </w:r>
            <w:r>
              <w:rPr>
                <w:rFonts w:hint="eastAsia"/>
                <w:color w:val="auto"/>
                <w:kern w:val="0"/>
                <w:sz w:val="24"/>
                <w:szCs w:val="24"/>
              </w:rPr>
              <w:t>72</w:t>
            </w:r>
            <w:r>
              <w:rPr>
                <w:color w:val="auto"/>
                <w:kern w:val="0"/>
                <w:sz w:val="24"/>
                <w:szCs w:val="24"/>
              </w:rPr>
              <w:t>m</w:t>
            </w:r>
            <w:r>
              <w:rPr>
                <w:color w:val="auto"/>
                <w:kern w:val="0"/>
                <w:sz w:val="24"/>
                <w:szCs w:val="24"/>
                <w:vertAlign w:val="superscript"/>
              </w:rPr>
              <w:t>3</w:t>
            </w:r>
            <w:r>
              <w:rPr>
                <w:color w:val="auto"/>
                <w:kern w:val="0"/>
                <w:sz w:val="24"/>
                <w:szCs w:val="24"/>
              </w:rPr>
              <w:t>/a（0.</w:t>
            </w:r>
            <w:r>
              <w:rPr>
                <w:rFonts w:hint="eastAsia"/>
                <w:color w:val="auto"/>
                <w:kern w:val="0"/>
                <w:sz w:val="24"/>
                <w:szCs w:val="24"/>
              </w:rPr>
              <w:t>24</w:t>
            </w:r>
            <w:r>
              <w:rPr>
                <w:color w:val="auto"/>
                <w:kern w:val="0"/>
                <w:sz w:val="24"/>
                <w:szCs w:val="24"/>
              </w:rPr>
              <w:t>m</w:t>
            </w:r>
            <w:r>
              <w:rPr>
                <w:color w:val="auto"/>
                <w:kern w:val="0"/>
                <w:sz w:val="24"/>
                <w:szCs w:val="24"/>
                <w:vertAlign w:val="superscript"/>
              </w:rPr>
              <w:t>3</w:t>
            </w:r>
            <w:r>
              <w:rPr>
                <w:color w:val="auto"/>
                <w:kern w:val="0"/>
                <w:sz w:val="24"/>
                <w:szCs w:val="24"/>
              </w:rPr>
              <w:t>/d），生活污水中污染物产生浓度及产生量分别为COD</w:t>
            </w:r>
            <w:r>
              <w:rPr>
                <w:rFonts w:hint="eastAsia"/>
                <w:color w:val="auto"/>
                <w:kern w:val="0"/>
                <w:sz w:val="24"/>
                <w:szCs w:val="24"/>
              </w:rPr>
              <w:t>300</w:t>
            </w:r>
            <w:r>
              <w:rPr>
                <w:color w:val="auto"/>
                <w:kern w:val="0"/>
                <w:sz w:val="24"/>
                <w:szCs w:val="24"/>
              </w:rPr>
              <w:t>mg/L，</w:t>
            </w:r>
            <w:r>
              <w:rPr>
                <w:rFonts w:hint="eastAsia"/>
                <w:color w:val="auto"/>
                <w:kern w:val="0"/>
                <w:sz w:val="24"/>
                <w:szCs w:val="24"/>
              </w:rPr>
              <w:t>0.0216</w:t>
            </w:r>
            <w:r>
              <w:rPr>
                <w:color w:val="auto"/>
                <w:kern w:val="0"/>
                <w:sz w:val="24"/>
                <w:szCs w:val="24"/>
              </w:rPr>
              <w:t>t/a；SS2</w:t>
            </w:r>
            <w:r>
              <w:rPr>
                <w:rFonts w:hint="eastAsia"/>
                <w:color w:val="auto"/>
                <w:kern w:val="0"/>
                <w:sz w:val="24"/>
                <w:szCs w:val="24"/>
              </w:rPr>
              <w:t>5</w:t>
            </w:r>
            <w:r>
              <w:rPr>
                <w:color w:val="auto"/>
                <w:kern w:val="0"/>
                <w:sz w:val="24"/>
                <w:szCs w:val="24"/>
              </w:rPr>
              <w:t>0mg/L，0.0</w:t>
            </w:r>
            <w:r>
              <w:rPr>
                <w:rFonts w:hint="eastAsia"/>
                <w:color w:val="auto"/>
                <w:kern w:val="0"/>
                <w:sz w:val="24"/>
                <w:szCs w:val="24"/>
              </w:rPr>
              <w:t>18</w:t>
            </w:r>
            <w:r>
              <w:rPr>
                <w:color w:val="auto"/>
                <w:kern w:val="0"/>
                <w:sz w:val="24"/>
                <w:szCs w:val="24"/>
              </w:rPr>
              <w:t>t/a；氨氮25mg/L，0.00</w:t>
            </w:r>
            <w:r>
              <w:rPr>
                <w:rFonts w:hint="eastAsia"/>
                <w:color w:val="auto"/>
                <w:kern w:val="0"/>
                <w:sz w:val="24"/>
                <w:szCs w:val="24"/>
              </w:rPr>
              <w:t>18</w:t>
            </w:r>
            <w:r>
              <w:rPr>
                <w:color w:val="auto"/>
                <w:kern w:val="0"/>
                <w:sz w:val="24"/>
                <w:szCs w:val="24"/>
              </w:rPr>
              <w:t>t/a，总磷</w:t>
            </w:r>
            <w:r>
              <w:rPr>
                <w:rFonts w:hint="eastAsia"/>
                <w:color w:val="auto"/>
                <w:sz w:val="24"/>
                <w:szCs w:val="24"/>
              </w:rPr>
              <w:t>3</w:t>
            </w:r>
            <w:r>
              <w:rPr>
                <w:color w:val="auto"/>
                <w:sz w:val="24"/>
                <w:szCs w:val="24"/>
              </w:rPr>
              <w:t>mg/L、0.000</w:t>
            </w:r>
            <w:r>
              <w:rPr>
                <w:rFonts w:hint="eastAsia"/>
                <w:color w:val="auto"/>
                <w:sz w:val="24"/>
                <w:szCs w:val="24"/>
              </w:rPr>
              <w:t>2</w:t>
            </w:r>
            <w:r>
              <w:rPr>
                <w:color w:val="auto"/>
                <w:sz w:val="24"/>
                <w:szCs w:val="24"/>
              </w:rPr>
              <w:t>t/a。项目生活污水</w:t>
            </w:r>
            <w:r>
              <w:rPr>
                <w:rFonts w:hint="eastAsia"/>
                <w:color w:val="auto"/>
                <w:sz w:val="24"/>
                <w:szCs w:val="24"/>
              </w:rPr>
              <w:t>依托租赁厂区现有10</w:t>
            </w:r>
            <w:r>
              <w:rPr>
                <w:color w:val="auto"/>
                <w:sz w:val="24"/>
                <w:szCs w:val="24"/>
              </w:rPr>
              <w:t>m</w:t>
            </w:r>
            <w:r>
              <w:rPr>
                <w:color w:val="auto"/>
                <w:sz w:val="24"/>
                <w:szCs w:val="24"/>
                <w:vertAlign w:val="superscript"/>
              </w:rPr>
              <w:t>3</w:t>
            </w:r>
            <w:r>
              <w:rPr>
                <w:color w:val="auto"/>
                <w:sz w:val="24"/>
                <w:szCs w:val="24"/>
              </w:rPr>
              <w:t>化粪池处理后排放浓度及排放量为COD</w:t>
            </w:r>
            <w:r>
              <w:rPr>
                <w:rFonts w:hint="eastAsia"/>
                <w:color w:val="auto"/>
                <w:sz w:val="24"/>
                <w:szCs w:val="24"/>
              </w:rPr>
              <w:t>210</w:t>
            </w:r>
            <w:r>
              <w:rPr>
                <w:color w:val="auto"/>
                <w:sz w:val="24"/>
                <w:szCs w:val="24"/>
              </w:rPr>
              <w:t>mg/L、</w:t>
            </w:r>
            <w:r>
              <w:rPr>
                <w:rFonts w:hint="eastAsia"/>
                <w:color w:val="auto"/>
                <w:sz w:val="24"/>
                <w:szCs w:val="24"/>
              </w:rPr>
              <w:t>0.015</w:t>
            </w:r>
            <w:r>
              <w:rPr>
                <w:color w:val="auto"/>
                <w:sz w:val="24"/>
                <w:szCs w:val="24"/>
              </w:rPr>
              <w:t>t/a；氨氮25mg/L、0.00</w:t>
            </w:r>
            <w:r>
              <w:rPr>
                <w:rFonts w:hint="eastAsia"/>
                <w:color w:val="auto"/>
                <w:sz w:val="24"/>
                <w:szCs w:val="24"/>
              </w:rPr>
              <w:t>18</w:t>
            </w:r>
            <w:r>
              <w:rPr>
                <w:color w:val="auto"/>
                <w:sz w:val="24"/>
                <w:szCs w:val="24"/>
              </w:rPr>
              <w:t>t/a，SS</w:t>
            </w:r>
            <w:r>
              <w:rPr>
                <w:rFonts w:hint="eastAsia"/>
                <w:color w:val="auto"/>
                <w:sz w:val="24"/>
                <w:szCs w:val="24"/>
              </w:rPr>
              <w:t>125</w:t>
            </w:r>
            <w:r>
              <w:rPr>
                <w:color w:val="auto"/>
                <w:sz w:val="24"/>
                <w:szCs w:val="24"/>
              </w:rPr>
              <w:t>mg/L、</w:t>
            </w:r>
            <w:r>
              <w:rPr>
                <w:rFonts w:hint="eastAsia"/>
                <w:color w:val="auto"/>
                <w:sz w:val="24"/>
                <w:szCs w:val="24"/>
              </w:rPr>
              <w:t>0.009</w:t>
            </w:r>
            <w:r>
              <w:rPr>
                <w:color w:val="auto"/>
                <w:sz w:val="24"/>
                <w:szCs w:val="24"/>
              </w:rPr>
              <w:t>t/a，总磷</w:t>
            </w:r>
            <w:r>
              <w:rPr>
                <w:rFonts w:hint="eastAsia"/>
                <w:color w:val="auto"/>
                <w:sz w:val="24"/>
                <w:szCs w:val="24"/>
              </w:rPr>
              <w:t>3</w:t>
            </w:r>
            <w:r>
              <w:rPr>
                <w:color w:val="auto"/>
                <w:sz w:val="24"/>
                <w:szCs w:val="24"/>
              </w:rPr>
              <w:t>mg/L、0.000</w:t>
            </w:r>
            <w:r>
              <w:rPr>
                <w:rFonts w:hint="eastAsia"/>
                <w:color w:val="auto"/>
                <w:sz w:val="24"/>
                <w:szCs w:val="24"/>
              </w:rPr>
              <w:t>2</w:t>
            </w:r>
            <w:r>
              <w:rPr>
                <w:color w:val="auto"/>
                <w:sz w:val="24"/>
                <w:szCs w:val="24"/>
              </w:rPr>
              <w:t>t/a。</w:t>
            </w:r>
            <w:r>
              <w:rPr>
                <w:rFonts w:hint="eastAsia"/>
                <w:color w:val="auto"/>
                <w:sz w:val="24"/>
                <w:szCs w:val="24"/>
              </w:rPr>
              <w:t>废水排放满足</w:t>
            </w:r>
            <w:r>
              <w:rPr>
                <w:color w:val="auto"/>
                <w:sz w:val="24"/>
                <w:szCs w:val="24"/>
              </w:rPr>
              <w:t>新乡市</w:t>
            </w:r>
            <w:r>
              <w:rPr>
                <w:rFonts w:hint="eastAsia"/>
                <w:color w:val="auto"/>
                <w:sz w:val="24"/>
                <w:szCs w:val="24"/>
              </w:rPr>
              <w:t>大块镇</w:t>
            </w:r>
            <w:r>
              <w:rPr>
                <w:color w:val="auto"/>
                <w:sz w:val="24"/>
                <w:szCs w:val="24"/>
              </w:rPr>
              <w:t>污水处理厂收水标准</w:t>
            </w:r>
            <w:r>
              <w:rPr>
                <w:rFonts w:hint="eastAsia"/>
                <w:color w:val="auto"/>
                <w:sz w:val="24"/>
                <w:szCs w:val="24"/>
              </w:rPr>
              <w:t>。由于</w:t>
            </w:r>
            <w:r>
              <w:rPr>
                <w:rFonts w:hint="eastAsia"/>
                <w:color w:val="auto"/>
                <w:sz w:val="24"/>
                <w:szCs w:val="24"/>
                <w:lang w:val="en-US" w:eastAsia="zh-CN"/>
              </w:rPr>
              <w:t>项目区污水管网尚未接通</w:t>
            </w:r>
            <w:r>
              <w:rPr>
                <w:rFonts w:hint="eastAsia"/>
                <w:color w:val="auto"/>
                <w:sz w:val="24"/>
                <w:szCs w:val="24"/>
              </w:rPr>
              <w:t>，项目前期废水定期清运，待</w:t>
            </w:r>
            <w:r>
              <w:rPr>
                <w:rFonts w:hint="eastAsia"/>
                <w:color w:val="auto"/>
                <w:sz w:val="24"/>
                <w:szCs w:val="24"/>
                <w:lang w:val="en-US" w:eastAsia="zh-CN"/>
              </w:rPr>
              <w:t>区域污水管网接通后，</w:t>
            </w:r>
            <w:r>
              <w:rPr>
                <w:rFonts w:hint="eastAsia"/>
                <w:color w:val="auto"/>
                <w:sz w:val="24"/>
                <w:szCs w:val="24"/>
              </w:rPr>
              <w:t>排入大块镇污水处理厂进一步处理</w:t>
            </w:r>
            <w:r>
              <w:rPr>
                <w:color w:val="auto"/>
                <w:sz w:val="24"/>
                <w:szCs w:val="24"/>
              </w:rPr>
              <w:t>，最终排入</w:t>
            </w:r>
            <w:r>
              <w:rPr>
                <w:rFonts w:hint="eastAsia"/>
                <w:color w:val="auto"/>
                <w:sz w:val="24"/>
                <w:szCs w:val="24"/>
              </w:rPr>
              <w:t>共产主义渠</w:t>
            </w:r>
            <w:r>
              <w:rPr>
                <w:color w:val="auto"/>
                <w:sz w:val="24"/>
                <w:szCs w:val="24"/>
              </w:rPr>
              <w:t>。</w:t>
            </w:r>
            <w:r>
              <w:rPr>
                <w:rFonts w:hint="eastAsia"/>
                <w:bCs/>
                <w:color w:val="auto"/>
                <w:spacing w:val="-4"/>
                <w:sz w:val="24"/>
                <w:szCs w:val="24"/>
              </w:rPr>
              <w:t>根据大块镇污水处理厂设计，污水处理厂</w:t>
            </w:r>
            <w:r>
              <w:rPr>
                <w:bCs/>
                <w:color w:val="auto"/>
                <w:spacing w:val="-4"/>
                <w:sz w:val="24"/>
                <w:szCs w:val="24"/>
              </w:rPr>
              <w:t>出水水质达到COD40mg/L、氨氮2mg/L、SS10mg/L、总磷0.4mg/L。根据计算，本</w:t>
            </w:r>
            <w:r>
              <w:rPr>
                <w:rFonts w:hint="eastAsia"/>
                <w:bCs/>
                <w:color w:val="auto"/>
                <w:spacing w:val="-4"/>
                <w:sz w:val="24"/>
                <w:szCs w:val="24"/>
              </w:rPr>
              <w:t>项目</w:t>
            </w:r>
            <w:r>
              <w:rPr>
                <w:bCs/>
                <w:color w:val="auto"/>
                <w:spacing w:val="-4"/>
                <w:sz w:val="24"/>
                <w:szCs w:val="24"/>
              </w:rPr>
              <w:t>污水产排情况见表</w:t>
            </w:r>
            <w:r>
              <w:rPr>
                <w:rFonts w:hint="eastAsia"/>
                <w:bCs/>
                <w:color w:val="auto"/>
                <w:spacing w:val="-4"/>
                <w:sz w:val="24"/>
                <w:szCs w:val="24"/>
              </w:rPr>
              <w:t>18</w:t>
            </w:r>
            <w:r>
              <w:rPr>
                <w:bCs/>
                <w:color w:val="auto"/>
                <w:spacing w:val="-4"/>
                <w:sz w:val="24"/>
                <w:szCs w:val="24"/>
              </w:rPr>
              <w:t>。</w:t>
            </w:r>
          </w:p>
          <w:p>
            <w:pPr>
              <w:pStyle w:val="21"/>
              <w:ind w:firstLine="420"/>
              <w:rPr>
                <w:color w:val="auto"/>
              </w:rPr>
            </w:pPr>
            <w:r>
              <w:rPr>
                <w:rFonts w:hint="eastAsia"/>
                <w:color w:val="auto"/>
              </w:rPr>
              <w:t xml:space="preserve">                 项目</w:t>
            </w:r>
            <w:r>
              <w:rPr>
                <w:color w:val="auto"/>
              </w:rPr>
              <w:t>污水产排情况一览表</w:t>
            </w:r>
          </w:p>
          <w:tbl>
            <w:tblPr>
              <w:tblStyle w:val="26"/>
              <w:tblW w:w="85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829"/>
              <w:gridCol w:w="828"/>
              <w:gridCol w:w="829"/>
              <w:gridCol w:w="1921"/>
              <w:gridCol w:w="707"/>
              <w:gridCol w:w="797"/>
              <w:gridCol w:w="706"/>
              <w:gridCol w:w="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4" w:type="dxa"/>
                  <w:vMerge w:val="restart"/>
                  <w:vAlign w:val="center"/>
                </w:tcPr>
                <w:p>
                  <w:pPr>
                    <w:widowControl/>
                    <w:jc w:val="center"/>
                    <w:rPr>
                      <w:rFonts w:cs="Times New Roman"/>
                      <w:bCs/>
                      <w:color w:val="auto"/>
                      <w:sz w:val="18"/>
                      <w:szCs w:val="18"/>
                    </w:rPr>
                  </w:pPr>
                  <w:r>
                    <w:rPr>
                      <w:rFonts w:cs="Times New Roman"/>
                      <w:bCs/>
                      <w:color w:val="auto"/>
                      <w:sz w:val="18"/>
                      <w:szCs w:val="18"/>
                    </w:rPr>
                    <w:t>废水量</w:t>
                  </w:r>
                </w:p>
                <w:p>
                  <w:pPr>
                    <w:widowControl/>
                    <w:jc w:val="center"/>
                    <w:rPr>
                      <w:rFonts w:cs="Times New Roman"/>
                      <w:bCs/>
                      <w:color w:val="auto"/>
                      <w:sz w:val="18"/>
                      <w:szCs w:val="18"/>
                    </w:rPr>
                  </w:pPr>
                  <w:r>
                    <w:rPr>
                      <w:rFonts w:cs="Times New Roman"/>
                      <w:bCs/>
                      <w:color w:val="auto"/>
                      <w:sz w:val="18"/>
                      <w:szCs w:val="18"/>
                    </w:rPr>
                    <w:t>（t/a）</w:t>
                  </w:r>
                </w:p>
              </w:tc>
              <w:tc>
                <w:tcPr>
                  <w:tcW w:w="829" w:type="dxa"/>
                  <w:vMerge w:val="restart"/>
                  <w:vAlign w:val="center"/>
                </w:tcPr>
                <w:p>
                  <w:pPr>
                    <w:widowControl/>
                    <w:jc w:val="center"/>
                    <w:rPr>
                      <w:rFonts w:cs="Times New Roman"/>
                      <w:bCs/>
                      <w:color w:val="auto"/>
                      <w:sz w:val="18"/>
                      <w:szCs w:val="18"/>
                    </w:rPr>
                  </w:pPr>
                  <w:r>
                    <w:rPr>
                      <w:rFonts w:cs="Times New Roman"/>
                      <w:bCs/>
                      <w:color w:val="auto"/>
                      <w:sz w:val="18"/>
                      <w:szCs w:val="18"/>
                    </w:rPr>
                    <w:t>污染</w:t>
                  </w:r>
                </w:p>
                <w:p>
                  <w:pPr>
                    <w:widowControl/>
                    <w:jc w:val="center"/>
                    <w:rPr>
                      <w:rFonts w:cs="Times New Roman"/>
                      <w:bCs/>
                      <w:color w:val="auto"/>
                      <w:sz w:val="18"/>
                      <w:szCs w:val="18"/>
                    </w:rPr>
                  </w:pPr>
                  <w:r>
                    <w:rPr>
                      <w:rFonts w:cs="Times New Roman"/>
                      <w:bCs/>
                      <w:color w:val="auto"/>
                      <w:sz w:val="18"/>
                      <w:szCs w:val="18"/>
                    </w:rPr>
                    <w:t>因子</w:t>
                  </w:r>
                </w:p>
              </w:tc>
              <w:tc>
                <w:tcPr>
                  <w:tcW w:w="1657" w:type="dxa"/>
                  <w:gridSpan w:val="2"/>
                  <w:vAlign w:val="center"/>
                </w:tcPr>
                <w:p>
                  <w:pPr>
                    <w:widowControl/>
                    <w:jc w:val="center"/>
                    <w:rPr>
                      <w:rFonts w:cs="Times New Roman"/>
                      <w:bCs/>
                      <w:color w:val="auto"/>
                      <w:sz w:val="18"/>
                      <w:szCs w:val="18"/>
                    </w:rPr>
                  </w:pPr>
                  <w:r>
                    <w:rPr>
                      <w:rFonts w:cs="Times New Roman"/>
                      <w:bCs/>
                      <w:color w:val="auto"/>
                      <w:sz w:val="18"/>
                      <w:szCs w:val="18"/>
                    </w:rPr>
                    <w:t>污水产生情况</w:t>
                  </w:r>
                </w:p>
              </w:tc>
              <w:tc>
                <w:tcPr>
                  <w:tcW w:w="1921" w:type="dxa"/>
                  <w:vMerge w:val="restart"/>
                  <w:vAlign w:val="center"/>
                </w:tcPr>
                <w:p>
                  <w:pPr>
                    <w:widowControl/>
                    <w:jc w:val="center"/>
                    <w:rPr>
                      <w:rFonts w:cs="Times New Roman"/>
                      <w:color w:val="auto"/>
                      <w:sz w:val="18"/>
                      <w:szCs w:val="18"/>
                    </w:rPr>
                  </w:pPr>
                  <w:r>
                    <w:rPr>
                      <w:rFonts w:cs="Times New Roman"/>
                      <w:bCs/>
                      <w:color w:val="auto"/>
                      <w:sz w:val="18"/>
                      <w:szCs w:val="18"/>
                    </w:rPr>
                    <w:t>拟采取的处理方案</w:t>
                  </w:r>
                </w:p>
              </w:tc>
              <w:tc>
                <w:tcPr>
                  <w:tcW w:w="1504" w:type="dxa"/>
                  <w:gridSpan w:val="2"/>
                  <w:vAlign w:val="center"/>
                </w:tcPr>
                <w:p>
                  <w:pPr>
                    <w:widowControl/>
                    <w:jc w:val="center"/>
                    <w:rPr>
                      <w:rFonts w:cs="Times New Roman"/>
                      <w:bCs/>
                      <w:color w:val="auto"/>
                      <w:sz w:val="18"/>
                      <w:szCs w:val="18"/>
                    </w:rPr>
                  </w:pPr>
                  <w:r>
                    <w:rPr>
                      <w:rFonts w:cs="Times New Roman"/>
                      <w:bCs/>
                      <w:color w:val="auto"/>
                      <w:sz w:val="18"/>
                      <w:szCs w:val="18"/>
                    </w:rPr>
                    <w:t>厂排口排放情况</w:t>
                  </w:r>
                </w:p>
              </w:tc>
              <w:tc>
                <w:tcPr>
                  <w:tcW w:w="1571" w:type="dxa"/>
                  <w:gridSpan w:val="2"/>
                  <w:vAlign w:val="center"/>
                </w:tcPr>
                <w:p>
                  <w:pPr>
                    <w:widowControl/>
                    <w:jc w:val="center"/>
                    <w:rPr>
                      <w:rFonts w:cs="Times New Roman"/>
                      <w:bCs/>
                      <w:color w:val="auto"/>
                      <w:sz w:val="18"/>
                      <w:szCs w:val="18"/>
                    </w:rPr>
                  </w:pPr>
                  <w:r>
                    <w:rPr>
                      <w:rFonts w:cs="Times New Roman"/>
                      <w:bCs/>
                      <w:color w:val="auto"/>
                      <w:sz w:val="18"/>
                      <w:szCs w:val="18"/>
                    </w:rPr>
                    <w:t>污水处理厂出口排放情况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104" w:type="dxa"/>
                  <w:vMerge w:val="continue"/>
                  <w:vAlign w:val="center"/>
                </w:tcPr>
                <w:p>
                  <w:pPr>
                    <w:widowControl/>
                    <w:jc w:val="center"/>
                    <w:rPr>
                      <w:rFonts w:cs="Times New Roman"/>
                      <w:color w:val="auto"/>
                      <w:sz w:val="18"/>
                      <w:szCs w:val="18"/>
                    </w:rPr>
                  </w:pPr>
                </w:p>
              </w:tc>
              <w:tc>
                <w:tcPr>
                  <w:tcW w:w="829" w:type="dxa"/>
                  <w:vMerge w:val="continue"/>
                  <w:vAlign w:val="center"/>
                </w:tcPr>
                <w:p>
                  <w:pPr>
                    <w:widowControl/>
                    <w:jc w:val="center"/>
                    <w:rPr>
                      <w:rFonts w:cs="Times New Roman"/>
                      <w:color w:val="auto"/>
                      <w:sz w:val="18"/>
                      <w:szCs w:val="18"/>
                    </w:rPr>
                  </w:pPr>
                </w:p>
              </w:tc>
              <w:tc>
                <w:tcPr>
                  <w:tcW w:w="828" w:type="dxa"/>
                  <w:vAlign w:val="center"/>
                </w:tcPr>
                <w:p>
                  <w:pPr>
                    <w:widowControl/>
                    <w:jc w:val="center"/>
                    <w:rPr>
                      <w:rFonts w:cs="Times New Roman"/>
                      <w:bCs/>
                      <w:color w:val="auto"/>
                      <w:sz w:val="18"/>
                      <w:szCs w:val="18"/>
                    </w:rPr>
                  </w:pPr>
                  <w:r>
                    <w:rPr>
                      <w:rFonts w:cs="Times New Roman"/>
                      <w:bCs/>
                      <w:color w:val="auto"/>
                      <w:sz w:val="18"/>
                      <w:szCs w:val="18"/>
                    </w:rPr>
                    <w:t>mg/L</w:t>
                  </w:r>
                </w:p>
              </w:tc>
              <w:tc>
                <w:tcPr>
                  <w:tcW w:w="829" w:type="dxa"/>
                  <w:vAlign w:val="center"/>
                </w:tcPr>
                <w:p>
                  <w:pPr>
                    <w:widowControl/>
                    <w:jc w:val="center"/>
                    <w:rPr>
                      <w:rFonts w:cs="Times New Roman"/>
                      <w:bCs/>
                      <w:color w:val="auto"/>
                      <w:sz w:val="18"/>
                      <w:szCs w:val="18"/>
                    </w:rPr>
                  </w:pPr>
                  <w:r>
                    <w:rPr>
                      <w:rFonts w:cs="Times New Roman"/>
                      <w:bCs/>
                      <w:color w:val="auto"/>
                      <w:sz w:val="18"/>
                      <w:szCs w:val="18"/>
                    </w:rPr>
                    <w:t>t/a</w:t>
                  </w:r>
                </w:p>
              </w:tc>
              <w:tc>
                <w:tcPr>
                  <w:tcW w:w="1921" w:type="dxa"/>
                  <w:vMerge w:val="continue"/>
                  <w:vAlign w:val="center"/>
                </w:tcPr>
                <w:p>
                  <w:pPr>
                    <w:widowControl/>
                    <w:jc w:val="center"/>
                    <w:rPr>
                      <w:rFonts w:cs="Times New Roman"/>
                      <w:color w:val="auto"/>
                      <w:sz w:val="18"/>
                      <w:szCs w:val="18"/>
                    </w:rPr>
                  </w:pPr>
                </w:p>
              </w:tc>
              <w:tc>
                <w:tcPr>
                  <w:tcW w:w="707" w:type="dxa"/>
                  <w:vAlign w:val="center"/>
                </w:tcPr>
                <w:p>
                  <w:pPr>
                    <w:widowControl/>
                    <w:jc w:val="center"/>
                    <w:rPr>
                      <w:rFonts w:cs="Times New Roman"/>
                      <w:bCs/>
                      <w:color w:val="auto"/>
                      <w:sz w:val="18"/>
                      <w:szCs w:val="18"/>
                    </w:rPr>
                  </w:pPr>
                  <w:r>
                    <w:rPr>
                      <w:rFonts w:cs="Times New Roman"/>
                      <w:bCs/>
                      <w:color w:val="auto"/>
                      <w:sz w:val="18"/>
                      <w:szCs w:val="18"/>
                    </w:rPr>
                    <w:t>mg/L</w:t>
                  </w:r>
                </w:p>
              </w:tc>
              <w:tc>
                <w:tcPr>
                  <w:tcW w:w="797" w:type="dxa"/>
                  <w:vAlign w:val="center"/>
                </w:tcPr>
                <w:p>
                  <w:pPr>
                    <w:widowControl/>
                    <w:jc w:val="center"/>
                    <w:rPr>
                      <w:rFonts w:cs="Times New Roman"/>
                      <w:bCs/>
                      <w:color w:val="auto"/>
                      <w:sz w:val="18"/>
                      <w:szCs w:val="18"/>
                    </w:rPr>
                  </w:pPr>
                  <w:r>
                    <w:rPr>
                      <w:rFonts w:cs="Times New Roman"/>
                      <w:bCs/>
                      <w:color w:val="auto"/>
                      <w:sz w:val="18"/>
                      <w:szCs w:val="18"/>
                    </w:rPr>
                    <w:t>t/a</w:t>
                  </w:r>
                </w:p>
              </w:tc>
              <w:tc>
                <w:tcPr>
                  <w:tcW w:w="706" w:type="dxa"/>
                  <w:vAlign w:val="center"/>
                </w:tcPr>
                <w:p>
                  <w:pPr>
                    <w:widowControl/>
                    <w:jc w:val="center"/>
                    <w:rPr>
                      <w:rFonts w:cs="Times New Roman"/>
                      <w:bCs/>
                      <w:color w:val="auto"/>
                      <w:sz w:val="18"/>
                      <w:szCs w:val="18"/>
                    </w:rPr>
                  </w:pPr>
                  <w:r>
                    <w:rPr>
                      <w:rFonts w:cs="Times New Roman"/>
                      <w:bCs/>
                      <w:color w:val="auto"/>
                      <w:sz w:val="18"/>
                      <w:szCs w:val="18"/>
                    </w:rPr>
                    <w:t>mg/L</w:t>
                  </w:r>
                </w:p>
              </w:tc>
              <w:tc>
                <w:tcPr>
                  <w:tcW w:w="865" w:type="dxa"/>
                  <w:vAlign w:val="center"/>
                </w:tcPr>
                <w:p>
                  <w:pPr>
                    <w:widowControl/>
                    <w:jc w:val="center"/>
                    <w:rPr>
                      <w:rFonts w:cs="Times New Roman"/>
                      <w:bCs/>
                      <w:color w:val="auto"/>
                      <w:sz w:val="18"/>
                      <w:szCs w:val="18"/>
                    </w:rPr>
                  </w:pPr>
                  <w:r>
                    <w:rPr>
                      <w:rFonts w:cs="Times New Roman"/>
                      <w:bCs/>
                      <w:color w:val="auto"/>
                      <w:sz w:val="18"/>
                      <w:szCs w:val="18"/>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104" w:type="dxa"/>
                  <w:vMerge w:val="restart"/>
                  <w:vAlign w:val="center"/>
                </w:tcPr>
                <w:p>
                  <w:pPr>
                    <w:widowControl/>
                    <w:jc w:val="center"/>
                    <w:rPr>
                      <w:rFonts w:cs="Times New Roman"/>
                      <w:color w:val="auto"/>
                      <w:sz w:val="18"/>
                      <w:szCs w:val="18"/>
                    </w:rPr>
                  </w:pPr>
                  <w:r>
                    <w:rPr>
                      <w:rFonts w:cs="Times New Roman"/>
                      <w:color w:val="auto"/>
                      <w:sz w:val="18"/>
                      <w:szCs w:val="18"/>
                    </w:rPr>
                    <w:t>职工办公生活污水96</w:t>
                  </w:r>
                </w:p>
              </w:tc>
              <w:tc>
                <w:tcPr>
                  <w:tcW w:w="829" w:type="dxa"/>
                  <w:vAlign w:val="center"/>
                </w:tcPr>
                <w:p>
                  <w:pPr>
                    <w:widowControl/>
                    <w:jc w:val="center"/>
                    <w:rPr>
                      <w:rFonts w:cs="Times New Roman"/>
                      <w:color w:val="auto"/>
                      <w:sz w:val="18"/>
                      <w:szCs w:val="18"/>
                    </w:rPr>
                  </w:pPr>
                  <w:r>
                    <w:rPr>
                      <w:rFonts w:cs="Times New Roman"/>
                      <w:bCs/>
                      <w:color w:val="auto"/>
                      <w:sz w:val="18"/>
                      <w:szCs w:val="18"/>
                    </w:rPr>
                    <w:t>COD</w:t>
                  </w:r>
                </w:p>
              </w:tc>
              <w:tc>
                <w:tcPr>
                  <w:tcW w:w="828" w:type="dxa"/>
                  <w:vAlign w:val="center"/>
                </w:tcPr>
                <w:p>
                  <w:pPr>
                    <w:widowControl/>
                    <w:jc w:val="center"/>
                    <w:rPr>
                      <w:rFonts w:cs="Times New Roman"/>
                      <w:bCs/>
                      <w:color w:val="auto"/>
                      <w:sz w:val="18"/>
                      <w:szCs w:val="18"/>
                    </w:rPr>
                  </w:pPr>
                  <w:r>
                    <w:rPr>
                      <w:rFonts w:hint="eastAsia" w:cs="Times New Roman"/>
                      <w:bCs/>
                      <w:color w:val="auto"/>
                      <w:sz w:val="18"/>
                      <w:szCs w:val="18"/>
                    </w:rPr>
                    <w:t>300</w:t>
                  </w:r>
                </w:p>
              </w:tc>
              <w:tc>
                <w:tcPr>
                  <w:tcW w:w="829" w:type="dxa"/>
                  <w:vAlign w:val="center"/>
                </w:tcPr>
                <w:p>
                  <w:pPr>
                    <w:widowControl/>
                    <w:jc w:val="center"/>
                    <w:rPr>
                      <w:rFonts w:cs="Times New Roman"/>
                      <w:bCs/>
                      <w:color w:val="auto"/>
                      <w:sz w:val="18"/>
                      <w:szCs w:val="18"/>
                    </w:rPr>
                  </w:pPr>
                  <w:r>
                    <w:rPr>
                      <w:rFonts w:cs="Times New Roman"/>
                      <w:bCs/>
                      <w:color w:val="auto"/>
                      <w:sz w:val="18"/>
                      <w:szCs w:val="18"/>
                    </w:rPr>
                    <w:t>0.0</w:t>
                  </w:r>
                  <w:r>
                    <w:rPr>
                      <w:rFonts w:hint="eastAsia" w:cs="Times New Roman"/>
                      <w:bCs/>
                      <w:color w:val="auto"/>
                      <w:sz w:val="18"/>
                      <w:szCs w:val="18"/>
                    </w:rPr>
                    <w:t>216</w:t>
                  </w:r>
                </w:p>
              </w:tc>
              <w:tc>
                <w:tcPr>
                  <w:tcW w:w="1921" w:type="dxa"/>
                  <w:vMerge w:val="restart"/>
                  <w:vAlign w:val="center"/>
                </w:tcPr>
                <w:p>
                  <w:pPr>
                    <w:widowControl/>
                    <w:jc w:val="center"/>
                    <w:rPr>
                      <w:rFonts w:cs="Times New Roman"/>
                      <w:color w:val="auto"/>
                      <w:sz w:val="18"/>
                      <w:szCs w:val="18"/>
                    </w:rPr>
                  </w:pPr>
                  <w:r>
                    <w:rPr>
                      <w:rFonts w:cs="Times New Roman"/>
                      <w:color w:val="auto"/>
                      <w:sz w:val="18"/>
                      <w:szCs w:val="18"/>
                    </w:rPr>
                    <w:t>职工办公生活污水经化粪池处理，排入</w:t>
                  </w:r>
                  <w:r>
                    <w:rPr>
                      <w:rFonts w:hint="eastAsia" w:cs="Times New Roman"/>
                      <w:color w:val="auto"/>
                      <w:sz w:val="18"/>
                      <w:szCs w:val="18"/>
                      <w:lang w:eastAsia="zh-CN"/>
                    </w:rPr>
                    <w:t>大块镇</w:t>
                  </w:r>
                  <w:r>
                    <w:rPr>
                      <w:rFonts w:cs="Times New Roman"/>
                      <w:color w:val="auto"/>
                      <w:sz w:val="18"/>
                      <w:szCs w:val="18"/>
                    </w:rPr>
                    <w:t>污水处理厂进一步处理</w:t>
                  </w:r>
                </w:p>
              </w:tc>
              <w:tc>
                <w:tcPr>
                  <w:tcW w:w="707" w:type="dxa"/>
                  <w:vAlign w:val="center"/>
                </w:tcPr>
                <w:p>
                  <w:pPr>
                    <w:widowControl/>
                    <w:jc w:val="center"/>
                    <w:rPr>
                      <w:rFonts w:cs="Times New Roman"/>
                      <w:bCs/>
                      <w:color w:val="auto"/>
                      <w:sz w:val="18"/>
                      <w:szCs w:val="18"/>
                    </w:rPr>
                  </w:pPr>
                  <w:r>
                    <w:rPr>
                      <w:rFonts w:hint="eastAsia" w:cs="Times New Roman"/>
                      <w:bCs/>
                      <w:color w:val="auto"/>
                      <w:sz w:val="18"/>
                      <w:szCs w:val="18"/>
                    </w:rPr>
                    <w:t>210</w:t>
                  </w:r>
                </w:p>
              </w:tc>
              <w:tc>
                <w:tcPr>
                  <w:tcW w:w="797" w:type="dxa"/>
                  <w:vAlign w:val="center"/>
                </w:tcPr>
                <w:p>
                  <w:pPr>
                    <w:widowControl/>
                    <w:jc w:val="center"/>
                    <w:rPr>
                      <w:rFonts w:cs="Times New Roman"/>
                      <w:bCs/>
                      <w:color w:val="auto"/>
                      <w:sz w:val="18"/>
                      <w:szCs w:val="18"/>
                    </w:rPr>
                  </w:pPr>
                  <w:r>
                    <w:rPr>
                      <w:rFonts w:cs="Times New Roman"/>
                      <w:bCs/>
                      <w:color w:val="auto"/>
                      <w:sz w:val="18"/>
                      <w:szCs w:val="18"/>
                    </w:rPr>
                    <w:t>0.0</w:t>
                  </w:r>
                  <w:r>
                    <w:rPr>
                      <w:rFonts w:hint="eastAsia" w:cs="Times New Roman"/>
                      <w:bCs/>
                      <w:color w:val="auto"/>
                      <w:sz w:val="18"/>
                      <w:szCs w:val="18"/>
                    </w:rPr>
                    <w:t>15</w:t>
                  </w:r>
                </w:p>
              </w:tc>
              <w:tc>
                <w:tcPr>
                  <w:tcW w:w="706" w:type="dxa"/>
                  <w:vAlign w:val="center"/>
                </w:tcPr>
                <w:p>
                  <w:pPr>
                    <w:widowControl/>
                    <w:jc w:val="center"/>
                    <w:rPr>
                      <w:rFonts w:cs="Times New Roman"/>
                      <w:bCs/>
                      <w:color w:val="auto"/>
                      <w:sz w:val="18"/>
                      <w:szCs w:val="18"/>
                    </w:rPr>
                  </w:pPr>
                  <w:r>
                    <w:rPr>
                      <w:rFonts w:cs="Times New Roman"/>
                      <w:bCs/>
                      <w:color w:val="auto"/>
                      <w:sz w:val="18"/>
                      <w:szCs w:val="18"/>
                    </w:rPr>
                    <w:t>40</w:t>
                  </w:r>
                </w:p>
              </w:tc>
              <w:tc>
                <w:tcPr>
                  <w:tcW w:w="865" w:type="dxa"/>
                  <w:vAlign w:val="center"/>
                </w:tcPr>
                <w:p>
                  <w:pPr>
                    <w:widowControl/>
                    <w:jc w:val="center"/>
                    <w:rPr>
                      <w:rFonts w:cs="Times New Roman"/>
                      <w:bCs/>
                      <w:color w:val="auto"/>
                      <w:sz w:val="18"/>
                      <w:szCs w:val="18"/>
                    </w:rPr>
                  </w:pPr>
                  <w:r>
                    <w:rPr>
                      <w:rFonts w:cs="Times New Roman"/>
                      <w:bCs/>
                      <w:color w:val="auto"/>
                      <w:sz w:val="18"/>
                      <w:szCs w:val="18"/>
                    </w:rPr>
                    <w:t>0.00</w:t>
                  </w:r>
                  <w:r>
                    <w:rPr>
                      <w:rFonts w:hint="eastAsia" w:cs="Times New Roman"/>
                      <w:bCs/>
                      <w:color w:val="auto"/>
                      <w:sz w:val="18"/>
                      <w:szCs w:val="18"/>
                    </w:rPr>
                    <w:t>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104" w:type="dxa"/>
                  <w:vMerge w:val="continue"/>
                  <w:vAlign w:val="center"/>
                </w:tcPr>
                <w:p>
                  <w:pPr>
                    <w:widowControl/>
                    <w:jc w:val="center"/>
                    <w:rPr>
                      <w:rFonts w:cs="Times New Roman"/>
                      <w:color w:val="auto"/>
                      <w:sz w:val="18"/>
                      <w:szCs w:val="18"/>
                    </w:rPr>
                  </w:pPr>
                </w:p>
              </w:tc>
              <w:tc>
                <w:tcPr>
                  <w:tcW w:w="829" w:type="dxa"/>
                  <w:vAlign w:val="center"/>
                </w:tcPr>
                <w:p>
                  <w:pPr>
                    <w:widowControl/>
                    <w:jc w:val="center"/>
                    <w:rPr>
                      <w:rFonts w:cs="Times New Roman"/>
                      <w:color w:val="auto"/>
                      <w:sz w:val="18"/>
                      <w:szCs w:val="18"/>
                    </w:rPr>
                  </w:pPr>
                  <w:r>
                    <w:rPr>
                      <w:rFonts w:cs="Times New Roman"/>
                      <w:bCs/>
                      <w:color w:val="auto"/>
                      <w:sz w:val="18"/>
                      <w:szCs w:val="18"/>
                    </w:rPr>
                    <w:t>SS</w:t>
                  </w:r>
                </w:p>
              </w:tc>
              <w:tc>
                <w:tcPr>
                  <w:tcW w:w="828" w:type="dxa"/>
                  <w:vAlign w:val="center"/>
                </w:tcPr>
                <w:p>
                  <w:pPr>
                    <w:widowControl/>
                    <w:jc w:val="center"/>
                    <w:rPr>
                      <w:rFonts w:cs="Times New Roman"/>
                      <w:bCs/>
                      <w:color w:val="auto"/>
                      <w:sz w:val="18"/>
                      <w:szCs w:val="18"/>
                    </w:rPr>
                  </w:pPr>
                  <w:r>
                    <w:rPr>
                      <w:rFonts w:hint="eastAsia" w:cs="Times New Roman"/>
                      <w:bCs/>
                      <w:color w:val="auto"/>
                      <w:sz w:val="18"/>
                      <w:szCs w:val="18"/>
                    </w:rPr>
                    <w:t>250</w:t>
                  </w:r>
                </w:p>
              </w:tc>
              <w:tc>
                <w:tcPr>
                  <w:tcW w:w="829" w:type="dxa"/>
                  <w:vAlign w:val="center"/>
                </w:tcPr>
                <w:p>
                  <w:pPr>
                    <w:widowControl/>
                    <w:jc w:val="center"/>
                    <w:rPr>
                      <w:rFonts w:cs="Times New Roman"/>
                      <w:bCs/>
                      <w:color w:val="auto"/>
                      <w:sz w:val="18"/>
                      <w:szCs w:val="18"/>
                    </w:rPr>
                  </w:pPr>
                  <w:r>
                    <w:rPr>
                      <w:rFonts w:cs="Times New Roman"/>
                      <w:bCs/>
                      <w:color w:val="auto"/>
                      <w:sz w:val="18"/>
                      <w:szCs w:val="18"/>
                    </w:rPr>
                    <w:t>0.</w:t>
                  </w:r>
                  <w:r>
                    <w:rPr>
                      <w:rFonts w:hint="eastAsia" w:cs="Times New Roman"/>
                      <w:bCs/>
                      <w:color w:val="auto"/>
                      <w:sz w:val="18"/>
                      <w:szCs w:val="18"/>
                    </w:rPr>
                    <w:t>018</w:t>
                  </w:r>
                </w:p>
              </w:tc>
              <w:tc>
                <w:tcPr>
                  <w:tcW w:w="1921" w:type="dxa"/>
                  <w:vMerge w:val="continue"/>
                  <w:vAlign w:val="center"/>
                </w:tcPr>
                <w:p>
                  <w:pPr>
                    <w:widowControl/>
                    <w:jc w:val="center"/>
                    <w:rPr>
                      <w:rFonts w:cs="Times New Roman"/>
                      <w:color w:val="auto"/>
                      <w:sz w:val="18"/>
                      <w:szCs w:val="18"/>
                    </w:rPr>
                  </w:pPr>
                </w:p>
              </w:tc>
              <w:tc>
                <w:tcPr>
                  <w:tcW w:w="707" w:type="dxa"/>
                  <w:vAlign w:val="center"/>
                </w:tcPr>
                <w:p>
                  <w:pPr>
                    <w:widowControl/>
                    <w:jc w:val="center"/>
                    <w:rPr>
                      <w:rFonts w:cs="Times New Roman"/>
                      <w:color w:val="auto"/>
                      <w:sz w:val="18"/>
                      <w:szCs w:val="18"/>
                    </w:rPr>
                  </w:pPr>
                  <w:r>
                    <w:rPr>
                      <w:rFonts w:hint="eastAsia" w:cs="Times New Roman"/>
                      <w:color w:val="auto"/>
                      <w:sz w:val="18"/>
                      <w:szCs w:val="18"/>
                    </w:rPr>
                    <w:t>125</w:t>
                  </w:r>
                </w:p>
              </w:tc>
              <w:tc>
                <w:tcPr>
                  <w:tcW w:w="797" w:type="dxa"/>
                  <w:vAlign w:val="center"/>
                </w:tcPr>
                <w:p>
                  <w:pPr>
                    <w:widowControl/>
                    <w:jc w:val="center"/>
                    <w:rPr>
                      <w:rFonts w:cs="Times New Roman"/>
                      <w:bCs/>
                      <w:color w:val="auto"/>
                      <w:sz w:val="18"/>
                      <w:szCs w:val="18"/>
                    </w:rPr>
                  </w:pPr>
                  <w:r>
                    <w:rPr>
                      <w:rFonts w:cs="Times New Roman"/>
                      <w:bCs/>
                      <w:color w:val="auto"/>
                      <w:sz w:val="18"/>
                      <w:szCs w:val="18"/>
                    </w:rPr>
                    <w:t>0.0</w:t>
                  </w:r>
                  <w:r>
                    <w:rPr>
                      <w:rFonts w:hint="eastAsia" w:cs="Times New Roman"/>
                      <w:bCs/>
                      <w:color w:val="auto"/>
                      <w:sz w:val="18"/>
                      <w:szCs w:val="18"/>
                    </w:rPr>
                    <w:t>09</w:t>
                  </w:r>
                </w:p>
              </w:tc>
              <w:tc>
                <w:tcPr>
                  <w:tcW w:w="706" w:type="dxa"/>
                  <w:vAlign w:val="center"/>
                </w:tcPr>
                <w:p>
                  <w:pPr>
                    <w:widowControl/>
                    <w:jc w:val="center"/>
                    <w:rPr>
                      <w:rFonts w:cs="Times New Roman"/>
                      <w:bCs/>
                      <w:color w:val="auto"/>
                      <w:sz w:val="18"/>
                      <w:szCs w:val="18"/>
                    </w:rPr>
                  </w:pPr>
                  <w:r>
                    <w:rPr>
                      <w:rFonts w:cs="Times New Roman"/>
                      <w:bCs/>
                      <w:color w:val="auto"/>
                      <w:sz w:val="18"/>
                      <w:szCs w:val="18"/>
                    </w:rPr>
                    <w:t>10</w:t>
                  </w:r>
                </w:p>
              </w:tc>
              <w:tc>
                <w:tcPr>
                  <w:tcW w:w="865" w:type="dxa"/>
                  <w:vAlign w:val="center"/>
                </w:tcPr>
                <w:p>
                  <w:pPr>
                    <w:widowControl/>
                    <w:jc w:val="center"/>
                    <w:rPr>
                      <w:rFonts w:cs="Times New Roman"/>
                      <w:bCs/>
                      <w:color w:val="auto"/>
                      <w:sz w:val="18"/>
                      <w:szCs w:val="18"/>
                    </w:rPr>
                  </w:pPr>
                  <w:r>
                    <w:rPr>
                      <w:rFonts w:cs="Times New Roman"/>
                      <w:bCs/>
                      <w:color w:val="auto"/>
                      <w:sz w:val="18"/>
                      <w:szCs w:val="18"/>
                    </w:rPr>
                    <w:t>0.00</w:t>
                  </w:r>
                  <w:r>
                    <w:rPr>
                      <w:rFonts w:hint="eastAsia" w:cs="Times New Roman"/>
                      <w:bCs/>
                      <w:color w:val="auto"/>
                      <w:sz w:val="18"/>
                      <w:szCs w:val="18"/>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104" w:type="dxa"/>
                  <w:vMerge w:val="continue"/>
                  <w:vAlign w:val="center"/>
                </w:tcPr>
                <w:p>
                  <w:pPr>
                    <w:widowControl/>
                    <w:jc w:val="center"/>
                    <w:rPr>
                      <w:rFonts w:cs="Times New Roman"/>
                      <w:color w:val="auto"/>
                      <w:sz w:val="18"/>
                      <w:szCs w:val="18"/>
                    </w:rPr>
                  </w:pPr>
                </w:p>
              </w:tc>
              <w:tc>
                <w:tcPr>
                  <w:tcW w:w="829" w:type="dxa"/>
                  <w:vAlign w:val="center"/>
                </w:tcPr>
                <w:p>
                  <w:pPr>
                    <w:widowControl/>
                    <w:jc w:val="center"/>
                    <w:rPr>
                      <w:rFonts w:cs="Times New Roman"/>
                      <w:color w:val="auto"/>
                      <w:sz w:val="18"/>
                      <w:szCs w:val="18"/>
                    </w:rPr>
                  </w:pPr>
                  <w:r>
                    <w:rPr>
                      <w:rFonts w:cs="Times New Roman"/>
                      <w:bCs/>
                      <w:color w:val="auto"/>
                      <w:sz w:val="18"/>
                      <w:szCs w:val="18"/>
                    </w:rPr>
                    <w:t>氨氮</w:t>
                  </w:r>
                </w:p>
              </w:tc>
              <w:tc>
                <w:tcPr>
                  <w:tcW w:w="828" w:type="dxa"/>
                  <w:vAlign w:val="center"/>
                </w:tcPr>
                <w:p>
                  <w:pPr>
                    <w:widowControl/>
                    <w:jc w:val="center"/>
                    <w:rPr>
                      <w:rFonts w:cs="Times New Roman"/>
                      <w:bCs/>
                      <w:color w:val="auto"/>
                      <w:sz w:val="18"/>
                      <w:szCs w:val="18"/>
                    </w:rPr>
                  </w:pPr>
                  <w:r>
                    <w:rPr>
                      <w:rFonts w:cs="Times New Roman"/>
                      <w:bCs/>
                      <w:color w:val="auto"/>
                      <w:sz w:val="18"/>
                      <w:szCs w:val="18"/>
                    </w:rPr>
                    <w:t>25</w:t>
                  </w:r>
                </w:p>
              </w:tc>
              <w:tc>
                <w:tcPr>
                  <w:tcW w:w="829" w:type="dxa"/>
                  <w:vAlign w:val="center"/>
                </w:tcPr>
                <w:p>
                  <w:pPr>
                    <w:widowControl/>
                    <w:jc w:val="center"/>
                    <w:rPr>
                      <w:rFonts w:cs="Times New Roman"/>
                      <w:bCs/>
                      <w:color w:val="auto"/>
                      <w:sz w:val="18"/>
                      <w:szCs w:val="18"/>
                    </w:rPr>
                  </w:pPr>
                  <w:r>
                    <w:rPr>
                      <w:rFonts w:cs="Times New Roman"/>
                      <w:bCs/>
                      <w:color w:val="auto"/>
                      <w:sz w:val="18"/>
                      <w:szCs w:val="18"/>
                    </w:rPr>
                    <w:t>0.00</w:t>
                  </w:r>
                  <w:r>
                    <w:rPr>
                      <w:rFonts w:hint="eastAsia" w:cs="Times New Roman"/>
                      <w:bCs/>
                      <w:color w:val="auto"/>
                      <w:sz w:val="18"/>
                      <w:szCs w:val="18"/>
                    </w:rPr>
                    <w:t>18</w:t>
                  </w:r>
                </w:p>
              </w:tc>
              <w:tc>
                <w:tcPr>
                  <w:tcW w:w="1921" w:type="dxa"/>
                  <w:vMerge w:val="continue"/>
                  <w:vAlign w:val="center"/>
                </w:tcPr>
                <w:p>
                  <w:pPr>
                    <w:widowControl/>
                    <w:jc w:val="center"/>
                    <w:rPr>
                      <w:rFonts w:cs="Times New Roman"/>
                      <w:color w:val="auto"/>
                      <w:sz w:val="18"/>
                      <w:szCs w:val="18"/>
                    </w:rPr>
                  </w:pPr>
                </w:p>
              </w:tc>
              <w:tc>
                <w:tcPr>
                  <w:tcW w:w="707" w:type="dxa"/>
                  <w:vAlign w:val="center"/>
                </w:tcPr>
                <w:p>
                  <w:pPr>
                    <w:widowControl/>
                    <w:jc w:val="center"/>
                    <w:rPr>
                      <w:rFonts w:cs="Times New Roman"/>
                      <w:color w:val="auto"/>
                      <w:sz w:val="18"/>
                      <w:szCs w:val="18"/>
                    </w:rPr>
                  </w:pPr>
                  <w:r>
                    <w:rPr>
                      <w:rFonts w:cs="Times New Roman"/>
                      <w:color w:val="auto"/>
                      <w:sz w:val="18"/>
                      <w:szCs w:val="18"/>
                    </w:rPr>
                    <w:t>25</w:t>
                  </w:r>
                </w:p>
              </w:tc>
              <w:tc>
                <w:tcPr>
                  <w:tcW w:w="797" w:type="dxa"/>
                  <w:vAlign w:val="center"/>
                </w:tcPr>
                <w:p>
                  <w:pPr>
                    <w:widowControl/>
                    <w:jc w:val="center"/>
                    <w:rPr>
                      <w:rFonts w:cs="Times New Roman"/>
                      <w:bCs/>
                      <w:color w:val="auto"/>
                      <w:sz w:val="18"/>
                      <w:szCs w:val="18"/>
                    </w:rPr>
                  </w:pPr>
                  <w:r>
                    <w:rPr>
                      <w:rFonts w:cs="Times New Roman"/>
                      <w:bCs/>
                      <w:color w:val="auto"/>
                      <w:sz w:val="18"/>
                      <w:szCs w:val="18"/>
                    </w:rPr>
                    <w:t>0.00</w:t>
                  </w:r>
                  <w:r>
                    <w:rPr>
                      <w:rFonts w:hint="eastAsia" w:cs="Times New Roman"/>
                      <w:bCs/>
                      <w:color w:val="auto"/>
                      <w:sz w:val="18"/>
                      <w:szCs w:val="18"/>
                    </w:rPr>
                    <w:t>18</w:t>
                  </w:r>
                </w:p>
              </w:tc>
              <w:tc>
                <w:tcPr>
                  <w:tcW w:w="706" w:type="dxa"/>
                  <w:vAlign w:val="center"/>
                </w:tcPr>
                <w:p>
                  <w:pPr>
                    <w:widowControl/>
                    <w:jc w:val="center"/>
                    <w:rPr>
                      <w:rFonts w:cs="Times New Roman"/>
                      <w:bCs/>
                      <w:color w:val="auto"/>
                      <w:sz w:val="18"/>
                      <w:szCs w:val="18"/>
                    </w:rPr>
                  </w:pPr>
                  <w:r>
                    <w:rPr>
                      <w:rFonts w:cs="Times New Roman"/>
                      <w:bCs/>
                      <w:color w:val="auto"/>
                      <w:sz w:val="18"/>
                      <w:szCs w:val="18"/>
                    </w:rPr>
                    <w:t>2</w:t>
                  </w:r>
                </w:p>
              </w:tc>
              <w:tc>
                <w:tcPr>
                  <w:tcW w:w="865" w:type="dxa"/>
                  <w:vAlign w:val="center"/>
                </w:tcPr>
                <w:p>
                  <w:pPr>
                    <w:widowControl/>
                    <w:jc w:val="center"/>
                    <w:rPr>
                      <w:rFonts w:cs="Times New Roman"/>
                      <w:bCs/>
                      <w:color w:val="auto"/>
                      <w:sz w:val="18"/>
                      <w:szCs w:val="18"/>
                    </w:rPr>
                  </w:pPr>
                  <w:r>
                    <w:rPr>
                      <w:rFonts w:cs="Times New Roman"/>
                      <w:bCs/>
                      <w:color w:val="auto"/>
                      <w:sz w:val="18"/>
                      <w:szCs w:val="18"/>
                    </w:rPr>
                    <w:t>0.000</w:t>
                  </w:r>
                  <w:r>
                    <w:rPr>
                      <w:rFonts w:hint="eastAsia" w:cs="Times New Roman"/>
                      <w:bCs/>
                      <w:color w:val="auto"/>
                      <w:sz w:val="18"/>
                      <w:szCs w:val="18"/>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104" w:type="dxa"/>
                  <w:vMerge w:val="continue"/>
                  <w:vAlign w:val="center"/>
                </w:tcPr>
                <w:p>
                  <w:pPr>
                    <w:widowControl/>
                    <w:jc w:val="center"/>
                    <w:rPr>
                      <w:rFonts w:cs="Times New Roman"/>
                      <w:color w:val="auto"/>
                      <w:sz w:val="18"/>
                      <w:szCs w:val="18"/>
                    </w:rPr>
                  </w:pPr>
                </w:p>
              </w:tc>
              <w:tc>
                <w:tcPr>
                  <w:tcW w:w="829" w:type="dxa"/>
                  <w:vAlign w:val="center"/>
                </w:tcPr>
                <w:p>
                  <w:pPr>
                    <w:widowControl/>
                    <w:jc w:val="center"/>
                    <w:rPr>
                      <w:rFonts w:cs="Times New Roman"/>
                      <w:bCs/>
                      <w:color w:val="auto"/>
                      <w:sz w:val="18"/>
                      <w:szCs w:val="18"/>
                    </w:rPr>
                  </w:pPr>
                  <w:r>
                    <w:rPr>
                      <w:rFonts w:cs="Times New Roman"/>
                      <w:bCs/>
                      <w:color w:val="auto"/>
                      <w:sz w:val="18"/>
                      <w:szCs w:val="18"/>
                    </w:rPr>
                    <w:t>总磷</w:t>
                  </w:r>
                </w:p>
              </w:tc>
              <w:tc>
                <w:tcPr>
                  <w:tcW w:w="828" w:type="dxa"/>
                  <w:vAlign w:val="center"/>
                </w:tcPr>
                <w:p>
                  <w:pPr>
                    <w:widowControl/>
                    <w:jc w:val="center"/>
                    <w:rPr>
                      <w:rFonts w:cs="Times New Roman"/>
                      <w:bCs/>
                      <w:color w:val="auto"/>
                      <w:sz w:val="18"/>
                      <w:szCs w:val="18"/>
                    </w:rPr>
                  </w:pPr>
                  <w:r>
                    <w:rPr>
                      <w:rFonts w:hint="eastAsia" w:cs="Times New Roman"/>
                      <w:bCs/>
                      <w:color w:val="auto"/>
                      <w:sz w:val="18"/>
                      <w:szCs w:val="18"/>
                    </w:rPr>
                    <w:t>3</w:t>
                  </w:r>
                  <w:r>
                    <w:rPr>
                      <w:rFonts w:cs="Times New Roman"/>
                      <w:bCs/>
                      <w:color w:val="auto"/>
                      <w:sz w:val="18"/>
                      <w:szCs w:val="18"/>
                    </w:rPr>
                    <w:t>.0</w:t>
                  </w:r>
                </w:p>
              </w:tc>
              <w:tc>
                <w:tcPr>
                  <w:tcW w:w="829" w:type="dxa"/>
                  <w:vAlign w:val="center"/>
                </w:tcPr>
                <w:p>
                  <w:pPr>
                    <w:widowControl/>
                    <w:jc w:val="center"/>
                    <w:rPr>
                      <w:rFonts w:cs="Times New Roman"/>
                      <w:bCs/>
                      <w:color w:val="auto"/>
                      <w:sz w:val="18"/>
                      <w:szCs w:val="18"/>
                    </w:rPr>
                  </w:pPr>
                  <w:r>
                    <w:rPr>
                      <w:rFonts w:cs="Times New Roman"/>
                      <w:bCs/>
                      <w:color w:val="auto"/>
                      <w:sz w:val="18"/>
                      <w:szCs w:val="18"/>
                    </w:rPr>
                    <w:t>0.0002</w:t>
                  </w:r>
                </w:p>
              </w:tc>
              <w:tc>
                <w:tcPr>
                  <w:tcW w:w="1921" w:type="dxa"/>
                  <w:vMerge w:val="continue"/>
                  <w:vAlign w:val="center"/>
                </w:tcPr>
                <w:p>
                  <w:pPr>
                    <w:widowControl/>
                    <w:jc w:val="center"/>
                    <w:rPr>
                      <w:rFonts w:cs="Times New Roman"/>
                      <w:color w:val="auto"/>
                      <w:sz w:val="18"/>
                      <w:szCs w:val="18"/>
                    </w:rPr>
                  </w:pPr>
                </w:p>
              </w:tc>
              <w:tc>
                <w:tcPr>
                  <w:tcW w:w="707" w:type="dxa"/>
                  <w:vAlign w:val="center"/>
                </w:tcPr>
                <w:p>
                  <w:pPr>
                    <w:widowControl/>
                    <w:jc w:val="center"/>
                    <w:rPr>
                      <w:rFonts w:cs="Times New Roman"/>
                      <w:color w:val="auto"/>
                      <w:sz w:val="18"/>
                      <w:szCs w:val="18"/>
                    </w:rPr>
                  </w:pPr>
                  <w:r>
                    <w:rPr>
                      <w:rFonts w:hint="eastAsia" w:cs="Times New Roman"/>
                      <w:color w:val="auto"/>
                      <w:sz w:val="18"/>
                      <w:szCs w:val="18"/>
                    </w:rPr>
                    <w:t>3</w:t>
                  </w:r>
                  <w:r>
                    <w:rPr>
                      <w:rFonts w:cs="Times New Roman"/>
                      <w:color w:val="auto"/>
                      <w:sz w:val="18"/>
                      <w:szCs w:val="18"/>
                    </w:rPr>
                    <w:t>.0</w:t>
                  </w:r>
                </w:p>
              </w:tc>
              <w:tc>
                <w:tcPr>
                  <w:tcW w:w="797" w:type="dxa"/>
                  <w:vAlign w:val="center"/>
                </w:tcPr>
                <w:p>
                  <w:pPr>
                    <w:widowControl/>
                    <w:jc w:val="center"/>
                    <w:rPr>
                      <w:rFonts w:cs="Times New Roman"/>
                      <w:bCs/>
                      <w:color w:val="auto"/>
                      <w:sz w:val="18"/>
                      <w:szCs w:val="18"/>
                    </w:rPr>
                  </w:pPr>
                  <w:r>
                    <w:rPr>
                      <w:rFonts w:cs="Times New Roman"/>
                      <w:bCs/>
                      <w:color w:val="auto"/>
                      <w:sz w:val="18"/>
                      <w:szCs w:val="18"/>
                    </w:rPr>
                    <w:t>0.0002</w:t>
                  </w:r>
                </w:p>
              </w:tc>
              <w:tc>
                <w:tcPr>
                  <w:tcW w:w="706" w:type="dxa"/>
                  <w:vAlign w:val="center"/>
                </w:tcPr>
                <w:p>
                  <w:pPr>
                    <w:widowControl/>
                    <w:jc w:val="center"/>
                    <w:rPr>
                      <w:rFonts w:cs="Times New Roman"/>
                      <w:bCs/>
                      <w:color w:val="auto"/>
                      <w:sz w:val="18"/>
                      <w:szCs w:val="18"/>
                    </w:rPr>
                  </w:pPr>
                  <w:r>
                    <w:rPr>
                      <w:rFonts w:cs="Times New Roman"/>
                      <w:bCs/>
                      <w:color w:val="auto"/>
                      <w:sz w:val="18"/>
                      <w:szCs w:val="18"/>
                    </w:rPr>
                    <w:t>0.4</w:t>
                  </w:r>
                </w:p>
              </w:tc>
              <w:tc>
                <w:tcPr>
                  <w:tcW w:w="865" w:type="dxa"/>
                  <w:vAlign w:val="center"/>
                </w:tcPr>
                <w:p>
                  <w:pPr>
                    <w:widowControl/>
                    <w:jc w:val="center"/>
                    <w:rPr>
                      <w:rFonts w:cs="Times New Roman"/>
                      <w:bCs/>
                      <w:color w:val="auto"/>
                      <w:sz w:val="18"/>
                      <w:szCs w:val="18"/>
                    </w:rPr>
                  </w:pPr>
                  <w:r>
                    <w:rPr>
                      <w:rFonts w:cs="Times New Roman"/>
                      <w:bCs/>
                      <w:color w:val="auto"/>
                      <w:sz w:val="18"/>
                      <w:szCs w:val="18"/>
                    </w:rPr>
                    <w:t>0.0000</w:t>
                  </w:r>
                  <w:r>
                    <w:rPr>
                      <w:rFonts w:hint="eastAsia" w:cs="Times New Roman"/>
                      <w:bCs/>
                      <w:color w:val="auto"/>
                      <w:sz w:val="18"/>
                      <w:szCs w:val="18"/>
                    </w:rPr>
                    <w:t>3</w:t>
                  </w:r>
                </w:p>
              </w:tc>
            </w:tr>
          </w:tbl>
          <w:p>
            <w:pPr>
              <w:spacing w:line="360" w:lineRule="auto"/>
              <w:ind w:firstLine="480" w:firstLineChars="200"/>
              <w:rPr>
                <w:rFonts w:eastAsia="黑体" w:cs="Times New Roman"/>
                <w:color w:val="auto"/>
                <w:kern w:val="0"/>
                <w:sz w:val="24"/>
                <w:szCs w:val="24"/>
              </w:rPr>
            </w:pPr>
            <w:r>
              <w:rPr>
                <w:rFonts w:eastAsia="黑体" w:cs="Times New Roman"/>
                <w:color w:val="auto"/>
                <w:kern w:val="0"/>
                <w:sz w:val="24"/>
                <w:szCs w:val="24"/>
              </w:rPr>
              <w:t>3、固体废物污染源分析</w:t>
            </w:r>
          </w:p>
          <w:p>
            <w:pPr>
              <w:pStyle w:val="80"/>
              <w:spacing w:line="360" w:lineRule="auto"/>
              <w:ind w:firstLine="480" w:firstLineChars="200"/>
              <w:rPr>
                <w:rFonts w:hint="default" w:ascii="Times New Roman" w:hAnsi="Times New Roman"/>
                <w:b w:val="0"/>
                <w:bCs/>
                <w:color w:val="auto"/>
                <w:sz w:val="24"/>
                <w:szCs w:val="24"/>
                <w:lang w:eastAsia="zh-CN"/>
              </w:rPr>
            </w:pPr>
            <w:r>
              <w:rPr>
                <w:rFonts w:hint="default" w:ascii="Times New Roman" w:hAnsi="Times New Roman"/>
                <w:b w:val="0"/>
                <w:bCs/>
                <w:color w:val="auto"/>
                <w:sz w:val="24"/>
                <w:szCs w:val="24"/>
                <w:lang w:eastAsia="zh-CN"/>
              </w:rPr>
              <w:t>项目固废</w:t>
            </w:r>
            <w:r>
              <w:rPr>
                <w:rFonts w:ascii="Times New Roman" w:hAnsi="Times New Roman"/>
                <w:b w:val="0"/>
                <w:bCs/>
                <w:color w:val="auto"/>
                <w:sz w:val="24"/>
                <w:szCs w:val="24"/>
                <w:lang w:eastAsia="zh-CN"/>
              </w:rPr>
              <w:t>主要</w:t>
            </w:r>
            <w:r>
              <w:rPr>
                <w:rFonts w:hint="default" w:ascii="Times New Roman" w:hAnsi="Times New Roman"/>
                <w:b w:val="0"/>
                <w:bCs/>
                <w:color w:val="auto"/>
                <w:sz w:val="24"/>
                <w:szCs w:val="24"/>
                <w:lang w:eastAsia="zh-CN"/>
              </w:rPr>
              <w:t>包括</w:t>
            </w:r>
            <w:r>
              <w:rPr>
                <w:rFonts w:ascii="Times New Roman" w:hAnsi="Times New Roman"/>
                <w:b w:val="0"/>
                <w:bCs/>
                <w:color w:val="auto"/>
                <w:sz w:val="24"/>
                <w:szCs w:val="24"/>
                <w:lang w:eastAsia="zh-CN"/>
              </w:rPr>
              <w:t>原料拆装过程中产生的废包装袋、废玻璃瓶（硝酸、贵金属）、检验不合格产品、纯水制备过程中产生的废滤芯和反渗透膜</w:t>
            </w:r>
            <w:r>
              <w:rPr>
                <w:rFonts w:hint="eastAsia" w:ascii="Times New Roman" w:hAnsi="Times New Roman"/>
                <w:b w:val="0"/>
                <w:bCs/>
                <w:color w:val="auto"/>
                <w:sz w:val="24"/>
                <w:szCs w:val="24"/>
                <w:lang w:eastAsia="zh-CN"/>
              </w:rPr>
              <w:t>、</w:t>
            </w:r>
            <w:r>
              <w:rPr>
                <w:rFonts w:hint="eastAsia" w:ascii="Times New Roman" w:hAnsi="Times New Roman"/>
                <w:b w:val="0"/>
                <w:bCs/>
                <w:color w:val="auto"/>
                <w:sz w:val="24"/>
                <w:szCs w:val="24"/>
                <w:lang w:val="en-US" w:eastAsia="zh-CN"/>
              </w:rPr>
              <w:t>絮凝沉淀池污泥</w:t>
            </w:r>
            <w:r>
              <w:rPr>
                <w:rFonts w:ascii="Times New Roman" w:hAnsi="Times New Roman"/>
                <w:b w:val="0"/>
                <w:bCs/>
                <w:color w:val="auto"/>
                <w:sz w:val="24"/>
                <w:szCs w:val="24"/>
                <w:lang w:eastAsia="zh-CN"/>
              </w:rPr>
              <w:t>及职工办公生活垃圾</w:t>
            </w:r>
            <w:r>
              <w:rPr>
                <w:rFonts w:hint="default" w:ascii="Times New Roman" w:hAnsi="Times New Roman"/>
                <w:b w:val="0"/>
                <w:bCs/>
                <w:color w:val="auto"/>
                <w:sz w:val="24"/>
                <w:szCs w:val="24"/>
                <w:lang w:eastAsia="zh-CN"/>
              </w:rPr>
              <w:t>。</w:t>
            </w:r>
            <w:r>
              <w:rPr>
                <w:rFonts w:ascii="Times New Roman" w:hAnsi="Times New Roman"/>
                <w:b w:val="0"/>
                <w:bCs/>
                <w:color w:val="auto"/>
                <w:sz w:val="24"/>
                <w:szCs w:val="24"/>
                <w:lang w:eastAsia="zh-CN"/>
              </w:rPr>
              <w:t>其中原料拆装过程产生的废玻璃容器（硝酸、贵金属容器）、检验过程中产生的不合格产品属于危险废物。</w:t>
            </w:r>
          </w:p>
          <w:p>
            <w:pPr>
              <w:pStyle w:val="80"/>
              <w:spacing w:line="360" w:lineRule="auto"/>
              <w:ind w:firstLine="480" w:firstLineChars="200"/>
              <w:rPr>
                <w:rFonts w:hint="default" w:ascii="Times New Roman" w:hAnsi="Times New Roman"/>
                <w:b w:val="0"/>
                <w:bCs/>
                <w:color w:val="auto"/>
                <w:sz w:val="24"/>
                <w:szCs w:val="24"/>
                <w:lang w:eastAsia="zh-CN"/>
              </w:rPr>
            </w:pPr>
            <w:r>
              <w:rPr>
                <w:rFonts w:ascii="Times New Roman" w:hAnsi="Times New Roman"/>
                <w:b w:val="0"/>
                <w:bCs/>
                <w:color w:val="auto"/>
                <w:sz w:val="24"/>
                <w:szCs w:val="24"/>
                <w:lang w:eastAsia="zh-CN"/>
              </w:rPr>
              <w:t>（1）一般固废</w:t>
            </w:r>
          </w:p>
          <w:p>
            <w:pPr>
              <w:spacing w:line="360" w:lineRule="auto"/>
              <w:ind w:firstLine="480" w:firstLineChars="200"/>
              <w:rPr>
                <w:rFonts w:cs="Times New Roman"/>
                <w:color w:val="auto"/>
                <w:sz w:val="24"/>
                <w:szCs w:val="24"/>
              </w:rPr>
            </w:pPr>
            <w:r>
              <w:rPr>
                <w:rFonts w:cs="Times New Roman"/>
                <w:color w:val="auto"/>
                <w:sz w:val="24"/>
                <w:szCs w:val="24"/>
              </w:rPr>
              <w:t>①</w:t>
            </w:r>
            <w:r>
              <w:rPr>
                <w:rFonts w:hint="eastAsia" w:cs="Times New Roman"/>
                <w:color w:val="auto"/>
                <w:sz w:val="24"/>
                <w:szCs w:val="24"/>
              </w:rPr>
              <w:t>废包装袋</w:t>
            </w:r>
            <w:r>
              <w:rPr>
                <w:rFonts w:cs="Times New Roman"/>
                <w:color w:val="auto"/>
                <w:sz w:val="24"/>
                <w:szCs w:val="24"/>
              </w:rPr>
              <w:t>：</w:t>
            </w:r>
            <w:r>
              <w:rPr>
                <w:rFonts w:hint="eastAsia" w:cs="Times New Roman"/>
                <w:color w:val="auto"/>
                <w:sz w:val="24"/>
                <w:szCs w:val="24"/>
              </w:rPr>
              <w:t>项目原料拆装过程中产生少量废包装袋，产生量为0.2t/a，收集后定期外售给废品回收公司</w:t>
            </w:r>
            <w:r>
              <w:rPr>
                <w:rFonts w:cs="Times New Roman"/>
                <w:color w:val="auto"/>
                <w:sz w:val="24"/>
                <w:szCs w:val="24"/>
              </w:rPr>
              <w:t>。</w:t>
            </w:r>
          </w:p>
          <w:p>
            <w:pPr>
              <w:spacing w:line="360" w:lineRule="auto"/>
              <w:ind w:firstLine="480" w:firstLineChars="200"/>
              <w:rPr>
                <w:rFonts w:hint="eastAsia" w:cs="Times New Roman"/>
                <w:color w:val="auto"/>
                <w:sz w:val="24"/>
                <w:szCs w:val="24"/>
              </w:rPr>
            </w:pPr>
            <w:r>
              <w:rPr>
                <w:rFonts w:hint="eastAsia" w:cs="Times New Roman"/>
                <w:color w:val="auto"/>
                <w:sz w:val="24"/>
                <w:szCs w:val="24"/>
              </w:rPr>
              <w:t>②纯水制备过程中产生的废滤芯：纯水制备过程中产生的废滤芯包括废石英砂、废活性炭和反渗透膜等，属于一般固废，每2年更换一次，更换量为0.1t/a，由设备厂家更换后带走，厂内不暂存。</w:t>
            </w:r>
          </w:p>
          <w:p>
            <w:pPr>
              <w:pStyle w:val="19"/>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③絮凝沉淀池污泥：根据计算，絮凝沉淀池污泥量为废水量的0.4%，则污泥量为0.001t/d、0.3t/a，此部分废物交由环卫部门清运。</w:t>
            </w:r>
          </w:p>
          <w:p>
            <w:pPr>
              <w:pStyle w:val="33"/>
              <w:adjustRightInd/>
              <w:spacing w:line="360" w:lineRule="auto"/>
              <w:ind w:firstLine="480" w:firstLineChars="200"/>
              <w:jc w:val="both"/>
              <w:rPr>
                <w:rFonts w:ascii="Times New Roman" w:hAnsi="Times New Roman" w:cs="Times New Roman" w:eastAsiaTheme="minorEastAsia"/>
                <w:color w:val="auto"/>
              </w:rPr>
            </w:pPr>
            <w:r>
              <w:rPr>
                <w:rFonts w:hint="eastAsia" w:ascii="Times New Roman" w:hAnsi="Times New Roman" w:cs="Times New Roman" w:eastAsiaTheme="minorEastAsia"/>
                <w:color w:val="auto"/>
                <w:lang w:val="en-US" w:eastAsia="zh-CN"/>
              </w:rPr>
              <w:t>④</w:t>
            </w:r>
            <w:r>
              <w:rPr>
                <w:rFonts w:ascii="Times New Roman" w:hAnsi="Times New Roman" w:cs="Times New Roman" w:eastAsiaTheme="minorEastAsia"/>
                <w:color w:val="auto"/>
              </w:rPr>
              <w:t>生活垃圾：本项目劳动定员</w:t>
            </w:r>
            <w:r>
              <w:rPr>
                <w:rFonts w:hint="eastAsia" w:ascii="Times New Roman" w:hAnsi="Times New Roman" w:cs="Times New Roman" w:eastAsiaTheme="minorEastAsia"/>
                <w:color w:val="auto"/>
              </w:rPr>
              <w:t>10</w:t>
            </w:r>
            <w:r>
              <w:rPr>
                <w:rFonts w:ascii="Times New Roman" w:hAnsi="Times New Roman" w:cs="Times New Roman" w:eastAsiaTheme="minorEastAsia"/>
                <w:color w:val="auto"/>
              </w:rPr>
              <w:t>人，生活垃圾产生量按照0.5kg/人·d计算，则职工办公生活垃圾产生量为</w:t>
            </w:r>
            <w:r>
              <w:rPr>
                <w:rFonts w:hint="eastAsia" w:ascii="Times New Roman" w:hAnsi="Times New Roman" w:cs="Times New Roman" w:eastAsiaTheme="minorEastAsia"/>
                <w:color w:val="auto"/>
              </w:rPr>
              <w:t>1</w:t>
            </w:r>
            <w:r>
              <w:rPr>
                <w:rFonts w:ascii="Times New Roman" w:hAnsi="Times New Roman" w:cs="Times New Roman" w:eastAsiaTheme="minorEastAsia"/>
                <w:color w:val="auto"/>
              </w:rPr>
              <w:t>.5t/a，职工办公生活垃圾交由环卫部门统一清运。</w:t>
            </w:r>
          </w:p>
          <w:p>
            <w:pPr>
              <w:pStyle w:val="33"/>
              <w:numPr>
                <w:ilvl w:val="0"/>
                <w:numId w:val="5"/>
              </w:numPr>
              <w:adjustRightInd/>
              <w:spacing w:line="360" w:lineRule="auto"/>
              <w:ind w:firstLine="470" w:firstLineChars="196"/>
              <w:jc w:val="both"/>
              <w:rPr>
                <w:rFonts w:ascii="Times New Roman" w:hAnsi="Times New Roman" w:cs="Times New Roman" w:eastAsiaTheme="minorEastAsia"/>
                <w:color w:val="auto"/>
              </w:rPr>
            </w:pPr>
            <w:r>
              <w:rPr>
                <w:rFonts w:hint="eastAsia" w:ascii="Times New Roman" w:hAnsi="Times New Roman" w:cs="Times New Roman" w:eastAsiaTheme="minorEastAsia"/>
                <w:color w:val="auto"/>
              </w:rPr>
              <w:t>危险废物</w:t>
            </w:r>
          </w:p>
          <w:p>
            <w:pPr>
              <w:spacing w:line="360" w:lineRule="auto"/>
              <w:ind w:firstLine="480" w:firstLineChars="200"/>
              <w:rPr>
                <w:bCs/>
                <w:color w:val="auto"/>
                <w:spacing w:val="-4"/>
                <w:sz w:val="24"/>
                <w:szCs w:val="24"/>
              </w:rPr>
            </w:pPr>
            <w:r>
              <w:rPr>
                <w:rFonts w:hint="eastAsia"/>
                <w:color w:val="auto"/>
                <w:sz w:val="24"/>
                <w:szCs w:val="24"/>
              </w:rPr>
              <w:t>①检验过程中产生的不合格产品：项目检验过程中会有一定量的不合格产品产生，产生量约为0.3t/a，</w:t>
            </w:r>
            <w:r>
              <w:rPr>
                <w:bCs/>
                <w:color w:val="auto"/>
                <w:spacing w:val="-4"/>
                <w:sz w:val="24"/>
                <w:szCs w:val="24"/>
              </w:rPr>
              <w:t>根据《国家危险废物名录》（2016 年版）规定，</w:t>
            </w:r>
            <w:r>
              <w:rPr>
                <w:rFonts w:hint="eastAsia"/>
                <w:bCs/>
                <w:color w:val="auto"/>
                <w:spacing w:val="-4"/>
                <w:sz w:val="24"/>
                <w:szCs w:val="24"/>
                <w:lang w:eastAsia="zh-CN"/>
              </w:rPr>
              <w:t>不合格产品</w:t>
            </w:r>
            <w:r>
              <w:rPr>
                <w:bCs/>
                <w:color w:val="auto"/>
                <w:spacing w:val="-4"/>
                <w:sz w:val="24"/>
                <w:szCs w:val="24"/>
              </w:rPr>
              <w:t>属于“HW</w:t>
            </w:r>
            <w:r>
              <w:rPr>
                <w:rFonts w:hint="eastAsia"/>
                <w:bCs/>
                <w:color w:val="auto"/>
                <w:spacing w:val="-4"/>
                <w:sz w:val="24"/>
                <w:szCs w:val="24"/>
              </w:rPr>
              <w:t>50</w:t>
            </w:r>
            <w:r>
              <w:rPr>
                <w:bCs/>
                <w:color w:val="auto"/>
                <w:spacing w:val="-4"/>
                <w:sz w:val="24"/>
                <w:szCs w:val="24"/>
              </w:rPr>
              <w:t xml:space="preserve"> </w:t>
            </w:r>
            <w:r>
              <w:rPr>
                <w:rFonts w:hint="eastAsia"/>
                <w:bCs/>
                <w:color w:val="auto"/>
                <w:spacing w:val="-4"/>
                <w:sz w:val="24"/>
                <w:szCs w:val="24"/>
              </w:rPr>
              <w:t>废催化剂</w:t>
            </w:r>
            <w:r>
              <w:rPr>
                <w:bCs/>
                <w:color w:val="auto"/>
                <w:spacing w:val="-4"/>
                <w:sz w:val="24"/>
                <w:szCs w:val="24"/>
              </w:rPr>
              <w:t>”中的“900-</w:t>
            </w:r>
            <w:r>
              <w:rPr>
                <w:rFonts w:hint="eastAsia"/>
                <w:bCs/>
                <w:color w:val="auto"/>
                <w:spacing w:val="-4"/>
                <w:sz w:val="24"/>
                <w:szCs w:val="24"/>
              </w:rPr>
              <w:t>04</w:t>
            </w:r>
            <w:r>
              <w:rPr>
                <w:bCs/>
                <w:color w:val="auto"/>
                <w:spacing w:val="-4"/>
                <w:sz w:val="24"/>
                <w:szCs w:val="24"/>
              </w:rPr>
              <w:t>9-</w:t>
            </w:r>
            <w:r>
              <w:rPr>
                <w:rFonts w:hint="eastAsia"/>
                <w:bCs/>
                <w:color w:val="auto"/>
                <w:spacing w:val="-4"/>
                <w:sz w:val="24"/>
                <w:szCs w:val="24"/>
              </w:rPr>
              <w:t>50</w:t>
            </w:r>
            <w:r>
              <w:rPr>
                <w:bCs/>
                <w:color w:val="auto"/>
                <w:spacing w:val="-4"/>
                <w:sz w:val="24"/>
                <w:szCs w:val="24"/>
              </w:rPr>
              <w:t>废汽车尾气净化催化剂”类危险废物</w:t>
            </w:r>
            <w:r>
              <w:rPr>
                <w:rFonts w:hint="eastAsia"/>
                <w:bCs/>
                <w:color w:val="auto"/>
                <w:spacing w:val="-4"/>
                <w:sz w:val="24"/>
                <w:szCs w:val="24"/>
              </w:rPr>
              <w:t>；</w:t>
            </w:r>
          </w:p>
          <w:p>
            <w:pPr>
              <w:spacing w:line="360" w:lineRule="auto"/>
              <w:ind w:firstLine="464" w:firstLineChars="200"/>
              <w:rPr>
                <w:bCs/>
                <w:color w:val="auto"/>
                <w:spacing w:val="-4"/>
                <w:sz w:val="24"/>
                <w:szCs w:val="24"/>
              </w:rPr>
            </w:pPr>
            <w:r>
              <w:rPr>
                <w:rFonts w:hint="eastAsia"/>
                <w:bCs/>
                <w:color w:val="auto"/>
                <w:spacing w:val="-4"/>
                <w:sz w:val="24"/>
                <w:szCs w:val="24"/>
              </w:rPr>
              <w:t>②原料拆装过程中产生的</w:t>
            </w:r>
            <w:r>
              <w:rPr>
                <w:rFonts w:hint="eastAsia"/>
                <w:bCs/>
                <w:color w:val="auto"/>
                <w:sz w:val="24"/>
                <w:szCs w:val="24"/>
              </w:rPr>
              <w:t>废玻璃容器（硝酸、贵金属容器）：本项目原料中贵金属和硝酸为瓶装，包装瓶与危险化学品直接接触，</w:t>
            </w:r>
            <w:r>
              <w:rPr>
                <w:bCs/>
                <w:color w:val="auto"/>
                <w:spacing w:val="-4"/>
                <w:sz w:val="24"/>
                <w:szCs w:val="24"/>
              </w:rPr>
              <w:t>根据《国家危险废物名录》（2016 年版）规定，</w:t>
            </w:r>
            <w:r>
              <w:rPr>
                <w:rFonts w:hint="eastAsia"/>
                <w:bCs/>
                <w:color w:val="auto"/>
                <w:spacing w:val="-4"/>
                <w:sz w:val="24"/>
                <w:szCs w:val="24"/>
              </w:rPr>
              <w:t>此类包装物</w:t>
            </w:r>
            <w:r>
              <w:rPr>
                <w:bCs/>
                <w:color w:val="auto"/>
                <w:spacing w:val="-4"/>
                <w:sz w:val="24"/>
                <w:szCs w:val="24"/>
              </w:rPr>
              <w:t>属于“HW</w:t>
            </w:r>
            <w:r>
              <w:rPr>
                <w:rFonts w:hint="eastAsia"/>
                <w:bCs/>
                <w:color w:val="auto"/>
                <w:spacing w:val="-4"/>
                <w:sz w:val="24"/>
                <w:szCs w:val="24"/>
              </w:rPr>
              <w:t>49</w:t>
            </w:r>
            <w:r>
              <w:rPr>
                <w:bCs/>
                <w:color w:val="auto"/>
                <w:spacing w:val="-4"/>
                <w:sz w:val="24"/>
                <w:szCs w:val="24"/>
              </w:rPr>
              <w:t xml:space="preserve"> </w:t>
            </w:r>
            <w:r>
              <w:rPr>
                <w:rFonts w:hint="eastAsia"/>
                <w:bCs/>
                <w:color w:val="auto"/>
                <w:spacing w:val="-4"/>
                <w:sz w:val="24"/>
                <w:szCs w:val="24"/>
              </w:rPr>
              <w:t>其他废物</w:t>
            </w:r>
            <w:r>
              <w:rPr>
                <w:bCs/>
                <w:color w:val="auto"/>
                <w:spacing w:val="-4"/>
                <w:sz w:val="24"/>
                <w:szCs w:val="24"/>
              </w:rPr>
              <w:t>”中的“900-</w:t>
            </w:r>
            <w:r>
              <w:rPr>
                <w:rFonts w:hint="eastAsia"/>
                <w:bCs/>
                <w:color w:val="auto"/>
                <w:spacing w:val="-4"/>
                <w:sz w:val="24"/>
                <w:szCs w:val="24"/>
              </w:rPr>
              <w:t>041</w:t>
            </w:r>
            <w:r>
              <w:rPr>
                <w:bCs/>
                <w:color w:val="auto"/>
                <w:spacing w:val="-4"/>
                <w:sz w:val="24"/>
                <w:szCs w:val="24"/>
              </w:rPr>
              <w:t>-</w:t>
            </w:r>
            <w:r>
              <w:rPr>
                <w:rFonts w:hint="eastAsia"/>
                <w:bCs/>
                <w:color w:val="auto"/>
                <w:spacing w:val="-4"/>
                <w:sz w:val="24"/>
                <w:szCs w:val="24"/>
              </w:rPr>
              <w:t>49</w:t>
            </w:r>
            <w:r>
              <w:rPr>
                <w:bCs/>
                <w:color w:val="auto"/>
                <w:spacing w:val="-4"/>
                <w:sz w:val="24"/>
                <w:szCs w:val="24"/>
              </w:rPr>
              <w:t>含有或沾染毒性、感染性危险废物的废弃包装物、容器、过滤吸附介质”类危险废物</w:t>
            </w:r>
            <w:r>
              <w:rPr>
                <w:rFonts w:hint="eastAsia"/>
                <w:bCs/>
                <w:color w:val="auto"/>
                <w:spacing w:val="-4"/>
                <w:sz w:val="24"/>
                <w:szCs w:val="24"/>
              </w:rPr>
              <w:t>，此部分废物产生量为0.2t/a；</w:t>
            </w:r>
          </w:p>
          <w:p>
            <w:pPr>
              <w:pStyle w:val="21"/>
              <w:ind w:firstLine="420"/>
              <w:rPr>
                <w:color w:val="auto"/>
              </w:rPr>
            </w:pPr>
            <w:r>
              <w:rPr>
                <w:rFonts w:hint="eastAsia"/>
                <w:color w:val="auto"/>
              </w:rPr>
              <w:t xml:space="preserve">                </w:t>
            </w:r>
            <w:r>
              <w:rPr>
                <w:color w:val="auto"/>
              </w:rPr>
              <w:t xml:space="preserve">    项目危险废物汇总一览表</w:t>
            </w:r>
          </w:p>
          <w:tbl>
            <w:tblPr>
              <w:tblStyle w:val="26"/>
              <w:tblW w:w="4997" w:type="pct"/>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91"/>
              <w:gridCol w:w="866"/>
              <w:gridCol w:w="698"/>
              <w:gridCol w:w="978"/>
              <w:gridCol w:w="698"/>
              <w:gridCol w:w="698"/>
              <w:gridCol w:w="552"/>
              <w:gridCol w:w="646"/>
              <w:gridCol w:w="692"/>
              <w:gridCol w:w="680"/>
              <w:gridCol w:w="591"/>
              <w:gridCol w:w="1091"/>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8" w:hRule="atLeast"/>
              </w:trPr>
              <w:tc>
                <w:tcPr>
                  <w:tcW w:w="228" w:type="pct"/>
                  <w:vAlign w:val="center"/>
                </w:tcPr>
                <w:p>
                  <w:pPr>
                    <w:widowControl/>
                    <w:adjustRightInd w:val="0"/>
                    <w:snapToGrid w:val="0"/>
                    <w:ind w:left="-140" w:leftChars="-50" w:right="-140" w:rightChars="-50"/>
                    <w:jc w:val="center"/>
                    <w:rPr>
                      <w:color w:val="auto"/>
                      <w:sz w:val="18"/>
                      <w:szCs w:val="18"/>
                    </w:rPr>
                  </w:pPr>
                  <w:r>
                    <w:rPr>
                      <w:color w:val="auto"/>
                      <w:sz w:val="18"/>
                      <w:szCs w:val="18"/>
                    </w:rPr>
                    <w:t>序号</w:t>
                  </w:r>
                </w:p>
              </w:tc>
              <w:tc>
                <w:tcPr>
                  <w:tcW w:w="504" w:type="pct"/>
                  <w:vAlign w:val="center"/>
                </w:tcPr>
                <w:p>
                  <w:pPr>
                    <w:widowControl/>
                    <w:adjustRightInd w:val="0"/>
                    <w:snapToGrid w:val="0"/>
                    <w:ind w:left="-140" w:leftChars="-50" w:right="-140" w:rightChars="-50"/>
                    <w:jc w:val="center"/>
                    <w:rPr>
                      <w:color w:val="auto"/>
                      <w:sz w:val="18"/>
                      <w:szCs w:val="18"/>
                    </w:rPr>
                  </w:pPr>
                  <w:r>
                    <w:rPr>
                      <w:color w:val="auto"/>
                      <w:sz w:val="18"/>
                      <w:szCs w:val="18"/>
                    </w:rPr>
                    <w:t>危废</w:t>
                  </w:r>
                </w:p>
                <w:p>
                  <w:pPr>
                    <w:widowControl/>
                    <w:adjustRightInd w:val="0"/>
                    <w:snapToGrid w:val="0"/>
                    <w:ind w:left="-140" w:leftChars="-50" w:right="-140" w:rightChars="-50"/>
                    <w:jc w:val="center"/>
                    <w:rPr>
                      <w:color w:val="auto"/>
                      <w:sz w:val="18"/>
                      <w:szCs w:val="18"/>
                    </w:rPr>
                  </w:pPr>
                  <w:r>
                    <w:rPr>
                      <w:color w:val="auto"/>
                      <w:sz w:val="18"/>
                      <w:szCs w:val="18"/>
                    </w:rPr>
                    <w:t>名称</w:t>
                  </w:r>
                </w:p>
              </w:tc>
              <w:tc>
                <w:tcPr>
                  <w:tcW w:w="406" w:type="pct"/>
                  <w:vAlign w:val="center"/>
                </w:tcPr>
                <w:p>
                  <w:pPr>
                    <w:widowControl/>
                    <w:adjustRightInd w:val="0"/>
                    <w:snapToGrid w:val="0"/>
                    <w:ind w:left="-140" w:leftChars="-50" w:right="-140" w:rightChars="-50"/>
                    <w:jc w:val="center"/>
                    <w:rPr>
                      <w:color w:val="auto"/>
                      <w:sz w:val="18"/>
                      <w:szCs w:val="18"/>
                    </w:rPr>
                  </w:pPr>
                  <w:r>
                    <w:rPr>
                      <w:color w:val="auto"/>
                      <w:sz w:val="18"/>
                      <w:szCs w:val="18"/>
                    </w:rPr>
                    <w:t>废物</w:t>
                  </w:r>
                </w:p>
                <w:p>
                  <w:pPr>
                    <w:widowControl/>
                    <w:adjustRightInd w:val="0"/>
                    <w:snapToGrid w:val="0"/>
                    <w:ind w:left="-140" w:leftChars="-50" w:right="-140" w:rightChars="-50"/>
                    <w:jc w:val="center"/>
                    <w:rPr>
                      <w:color w:val="auto"/>
                      <w:sz w:val="18"/>
                      <w:szCs w:val="18"/>
                    </w:rPr>
                  </w:pPr>
                  <w:r>
                    <w:rPr>
                      <w:color w:val="auto"/>
                      <w:sz w:val="18"/>
                      <w:szCs w:val="18"/>
                    </w:rPr>
                    <w:t>类别</w:t>
                  </w:r>
                </w:p>
              </w:tc>
              <w:tc>
                <w:tcPr>
                  <w:tcW w:w="569" w:type="pct"/>
                  <w:vAlign w:val="center"/>
                </w:tcPr>
                <w:p>
                  <w:pPr>
                    <w:widowControl/>
                    <w:adjustRightInd w:val="0"/>
                    <w:snapToGrid w:val="0"/>
                    <w:ind w:left="-140" w:leftChars="-50" w:right="-140" w:rightChars="-50"/>
                    <w:jc w:val="center"/>
                    <w:rPr>
                      <w:color w:val="auto"/>
                      <w:sz w:val="18"/>
                      <w:szCs w:val="18"/>
                    </w:rPr>
                  </w:pPr>
                  <w:r>
                    <w:rPr>
                      <w:color w:val="auto"/>
                      <w:sz w:val="18"/>
                      <w:szCs w:val="18"/>
                    </w:rPr>
                    <w:t>废物代码</w:t>
                  </w:r>
                </w:p>
              </w:tc>
              <w:tc>
                <w:tcPr>
                  <w:tcW w:w="406" w:type="pct"/>
                  <w:vAlign w:val="center"/>
                </w:tcPr>
                <w:p>
                  <w:pPr>
                    <w:widowControl/>
                    <w:adjustRightInd w:val="0"/>
                    <w:snapToGrid w:val="0"/>
                    <w:ind w:left="-140" w:leftChars="-50" w:right="-140" w:rightChars="-50"/>
                    <w:jc w:val="center"/>
                    <w:rPr>
                      <w:color w:val="auto"/>
                      <w:sz w:val="18"/>
                      <w:szCs w:val="18"/>
                    </w:rPr>
                  </w:pPr>
                  <w:r>
                    <w:rPr>
                      <w:color w:val="auto"/>
                      <w:sz w:val="18"/>
                      <w:szCs w:val="18"/>
                    </w:rPr>
                    <w:t>产生量</w:t>
                  </w:r>
                </w:p>
                <w:p>
                  <w:pPr>
                    <w:widowControl/>
                    <w:adjustRightInd w:val="0"/>
                    <w:snapToGrid w:val="0"/>
                    <w:ind w:left="-140" w:leftChars="-50" w:right="-140" w:rightChars="-50"/>
                    <w:jc w:val="center"/>
                    <w:rPr>
                      <w:color w:val="auto"/>
                      <w:sz w:val="18"/>
                      <w:szCs w:val="18"/>
                    </w:rPr>
                  </w:pPr>
                  <w:r>
                    <w:rPr>
                      <w:color w:val="auto"/>
                      <w:sz w:val="18"/>
                      <w:szCs w:val="18"/>
                    </w:rPr>
                    <w:t>（t/a）</w:t>
                  </w:r>
                </w:p>
              </w:tc>
              <w:tc>
                <w:tcPr>
                  <w:tcW w:w="406" w:type="pct"/>
                  <w:vAlign w:val="center"/>
                </w:tcPr>
                <w:p>
                  <w:pPr>
                    <w:topLinePunct/>
                    <w:ind w:left="-140" w:leftChars="-50" w:right="-140" w:rightChars="-50"/>
                    <w:jc w:val="center"/>
                    <w:rPr>
                      <w:color w:val="auto"/>
                      <w:sz w:val="18"/>
                      <w:szCs w:val="18"/>
                    </w:rPr>
                  </w:pPr>
                  <w:r>
                    <w:rPr>
                      <w:color w:val="auto"/>
                      <w:sz w:val="18"/>
                      <w:szCs w:val="18"/>
                    </w:rPr>
                    <w:t>产生</w:t>
                  </w:r>
                </w:p>
                <w:p>
                  <w:pPr>
                    <w:topLinePunct/>
                    <w:ind w:left="-140" w:leftChars="-50" w:right="-140" w:rightChars="-50"/>
                    <w:jc w:val="center"/>
                    <w:rPr>
                      <w:color w:val="auto"/>
                      <w:sz w:val="18"/>
                      <w:szCs w:val="18"/>
                    </w:rPr>
                  </w:pPr>
                  <w:r>
                    <w:rPr>
                      <w:color w:val="auto"/>
                      <w:sz w:val="18"/>
                      <w:szCs w:val="18"/>
                    </w:rPr>
                    <w:t>工序及</w:t>
                  </w:r>
                </w:p>
                <w:p>
                  <w:pPr>
                    <w:topLinePunct/>
                    <w:ind w:left="-140" w:leftChars="-50" w:right="-140" w:rightChars="-50"/>
                    <w:jc w:val="center"/>
                    <w:rPr>
                      <w:color w:val="auto"/>
                      <w:sz w:val="18"/>
                      <w:szCs w:val="18"/>
                    </w:rPr>
                  </w:pPr>
                  <w:r>
                    <w:rPr>
                      <w:color w:val="auto"/>
                      <w:sz w:val="18"/>
                      <w:szCs w:val="18"/>
                    </w:rPr>
                    <w:t>装置</w:t>
                  </w:r>
                </w:p>
              </w:tc>
              <w:tc>
                <w:tcPr>
                  <w:tcW w:w="321" w:type="pct"/>
                  <w:vAlign w:val="center"/>
                </w:tcPr>
                <w:p>
                  <w:pPr>
                    <w:topLinePunct/>
                    <w:ind w:left="-140" w:leftChars="-50" w:right="-140" w:rightChars="-50"/>
                    <w:jc w:val="center"/>
                    <w:rPr>
                      <w:color w:val="auto"/>
                      <w:sz w:val="18"/>
                      <w:szCs w:val="18"/>
                    </w:rPr>
                  </w:pPr>
                  <w:r>
                    <w:rPr>
                      <w:color w:val="auto"/>
                      <w:sz w:val="18"/>
                      <w:szCs w:val="18"/>
                    </w:rPr>
                    <w:t>形态</w:t>
                  </w:r>
                </w:p>
              </w:tc>
              <w:tc>
                <w:tcPr>
                  <w:tcW w:w="376" w:type="pct"/>
                  <w:vAlign w:val="center"/>
                </w:tcPr>
                <w:p>
                  <w:pPr>
                    <w:topLinePunct/>
                    <w:ind w:left="-140" w:leftChars="-50" w:right="-140" w:rightChars="-50"/>
                    <w:jc w:val="center"/>
                    <w:rPr>
                      <w:color w:val="auto"/>
                      <w:sz w:val="18"/>
                      <w:szCs w:val="18"/>
                    </w:rPr>
                  </w:pPr>
                  <w:r>
                    <w:rPr>
                      <w:color w:val="auto"/>
                      <w:sz w:val="18"/>
                      <w:szCs w:val="18"/>
                    </w:rPr>
                    <w:t>主要</w:t>
                  </w:r>
                </w:p>
                <w:p>
                  <w:pPr>
                    <w:topLinePunct/>
                    <w:ind w:left="-140" w:leftChars="-50" w:right="-140" w:rightChars="-50"/>
                    <w:jc w:val="center"/>
                    <w:rPr>
                      <w:color w:val="auto"/>
                      <w:sz w:val="18"/>
                      <w:szCs w:val="18"/>
                    </w:rPr>
                  </w:pPr>
                  <w:r>
                    <w:rPr>
                      <w:color w:val="auto"/>
                      <w:sz w:val="18"/>
                      <w:szCs w:val="18"/>
                    </w:rPr>
                    <w:t>成分</w:t>
                  </w:r>
                </w:p>
              </w:tc>
              <w:tc>
                <w:tcPr>
                  <w:tcW w:w="403" w:type="pct"/>
                  <w:vAlign w:val="center"/>
                </w:tcPr>
                <w:p>
                  <w:pPr>
                    <w:topLinePunct/>
                    <w:ind w:left="-140" w:leftChars="-50" w:right="-140" w:rightChars="-50"/>
                    <w:jc w:val="center"/>
                    <w:rPr>
                      <w:color w:val="auto"/>
                      <w:sz w:val="18"/>
                      <w:szCs w:val="18"/>
                    </w:rPr>
                  </w:pPr>
                  <w:r>
                    <w:rPr>
                      <w:color w:val="auto"/>
                      <w:sz w:val="18"/>
                      <w:szCs w:val="18"/>
                    </w:rPr>
                    <w:t>有害</w:t>
                  </w:r>
                </w:p>
                <w:p>
                  <w:pPr>
                    <w:topLinePunct/>
                    <w:ind w:left="-140" w:leftChars="-50" w:right="-140" w:rightChars="-50"/>
                    <w:jc w:val="center"/>
                    <w:rPr>
                      <w:color w:val="auto"/>
                      <w:sz w:val="18"/>
                      <w:szCs w:val="18"/>
                    </w:rPr>
                  </w:pPr>
                  <w:r>
                    <w:rPr>
                      <w:color w:val="auto"/>
                      <w:sz w:val="18"/>
                      <w:szCs w:val="18"/>
                    </w:rPr>
                    <w:t>成分</w:t>
                  </w:r>
                </w:p>
              </w:tc>
              <w:tc>
                <w:tcPr>
                  <w:tcW w:w="396" w:type="pct"/>
                  <w:vAlign w:val="center"/>
                </w:tcPr>
                <w:p>
                  <w:pPr>
                    <w:topLinePunct/>
                    <w:ind w:left="-140" w:leftChars="-50" w:right="-140" w:rightChars="-50"/>
                    <w:jc w:val="center"/>
                    <w:rPr>
                      <w:color w:val="auto"/>
                      <w:sz w:val="18"/>
                      <w:szCs w:val="18"/>
                    </w:rPr>
                  </w:pPr>
                  <w:r>
                    <w:rPr>
                      <w:color w:val="auto"/>
                      <w:sz w:val="18"/>
                      <w:szCs w:val="18"/>
                    </w:rPr>
                    <w:t>产废</w:t>
                  </w:r>
                </w:p>
                <w:p>
                  <w:pPr>
                    <w:topLinePunct/>
                    <w:ind w:left="-140" w:leftChars="-50" w:right="-140" w:rightChars="-50"/>
                    <w:jc w:val="center"/>
                    <w:rPr>
                      <w:color w:val="auto"/>
                      <w:sz w:val="18"/>
                      <w:szCs w:val="18"/>
                    </w:rPr>
                  </w:pPr>
                  <w:r>
                    <w:rPr>
                      <w:color w:val="auto"/>
                      <w:sz w:val="18"/>
                      <w:szCs w:val="18"/>
                    </w:rPr>
                    <w:t>周期</w:t>
                  </w:r>
                </w:p>
              </w:tc>
              <w:tc>
                <w:tcPr>
                  <w:tcW w:w="344" w:type="pct"/>
                  <w:vAlign w:val="center"/>
                </w:tcPr>
                <w:p>
                  <w:pPr>
                    <w:topLinePunct/>
                    <w:ind w:left="-140" w:leftChars="-50" w:right="-140" w:rightChars="-50"/>
                    <w:jc w:val="center"/>
                    <w:rPr>
                      <w:color w:val="auto"/>
                      <w:sz w:val="18"/>
                      <w:szCs w:val="18"/>
                    </w:rPr>
                  </w:pPr>
                  <w:r>
                    <w:rPr>
                      <w:color w:val="auto"/>
                      <w:sz w:val="18"/>
                      <w:szCs w:val="18"/>
                    </w:rPr>
                    <w:t>危险</w:t>
                  </w:r>
                </w:p>
                <w:p>
                  <w:pPr>
                    <w:topLinePunct/>
                    <w:ind w:left="-140" w:leftChars="-50" w:right="-140" w:rightChars="-50"/>
                    <w:jc w:val="center"/>
                    <w:rPr>
                      <w:color w:val="auto"/>
                      <w:sz w:val="18"/>
                      <w:szCs w:val="18"/>
                    </w:rPr>
                  </w:pPr>
                  <w:r>
                    <w:rPr>
                      <w:color w:val="auto"/>
                      <w:sz w:val="18"/>
                      <w:szCs w:val="18"/>
                    </w:rPr>
                    <w:t>特性</w:t>
                  </w:r>
                </w:p>
              </w:tc>
              <w:tc>
                <w:tcPr>
                  <w:tcW w:w="635" w:type="pct"/>
                  <w:vAlign w:val="center"/>
                </w:tcPr>
                <w:p>
                  <w:pPr>
                    <w:topLinePunct/>
                    <w:ind w:left="-140" w:leftChars="-50" w:right="-140" w:rightChars="-50"/>
                    <w:jc w:val="center"/>
                    <w:rPr>
                      <w:color w:val="auto"/>
                      <w:sz w:val="18"/>
                      <w:szCs w:val="18"/>
                    </w:rPr>
                  </w:pPr>
                  <w:r>
                    <w:rPr>
                      <w:color w:val="auto"/>
                      <w:sz w:val="18"/>
                      <w:szCs w:val="18"/>
                    </w:rPr>
                    <w:t>污染防治</w:t>
                  </w:r>
                </w:p>
                <w:p>
                  <w:pPr>
                    <w:topLinePunct/>
                    <w:ind w:left="-140" w:leftChars="-50" w:right="-140" w:rightChars="-50"/>
                    <w:jc w:val="center"/>
                    <w:rPr>
                      <w:color w:val="auto"/>
                      <w:sz w:val="18"/>
                      <w:szCs w:val="18"/>
                    </w:rPr>
                  </w:pPr>
                  <w:r>
                    <w:rPr>
                      <w:color w:val="auto"/>
                      <w:sz w:val="18"/>
                      <w:szCs w:val="18"/>
                    </w:rPr>
                    <w:t>措施</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228" w:type="pct"/>
                  <w:vAlign w:val="center"/>
                </w:tcPr>
                <w:p>
                  <w:pPr>
                    <w:widowControl/>
                    <w:adjustRightInd w:val="0"/>
                    <w:snapToGrid w:val="0"/>
                    <w:ind w:left="-140" w:leftChars="-50" w:right="-140" w:rightChars="-50"/>
                    <w:jc w:val="center"/>
                    <w:rPr>
                      <w:color w:val="auto"/>
                      <w:sz w:val="18"/>
                      <w:szCs w:val="18"/>
                    </w:rPr>
                  </w:pPr>
                  <w:r>
                    <w:rPr>
                      <w:color w:val="auto"/>
                      <w:sz w:val="18"/>
                      <w:szCs w:val="18"/>
                    </w:rPr>
                    <w:t>1</w:t>
                  </w:r>
                </w:p>
              </w:tc>
              <w:tc>
                <w:tcPr>
                  <w:tcW w:w="504"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废催化剂</w:t>
                  </w:r>
                </w:p>
              </w:tc>
              <w:tc>
                <w:tcPr>
                  <w:tcW w:w="406" w:type="pct"/>
                  <w:vAlign w:val="center"/>
                </w:tcPr>
                <w:p>
                  <w:pPr>
                    <w:widowControl/>
                    <w:adjustRightInd w:val="0"/>
                    <w:snapToGrid w:val="0"/>
                    <w:ind w:left="-140" w:leftChars="-50" w:right="-140" w:rightChars="-50"/>
                    <w:jc w:val="center"/>
                    <w:rPr>
                      <w:color w:val="auto"/>
                      <w:sz w:val="18"/>
                      <w:szCs w:val="18"/>
                    </w:rPr>
                  </w:pPr>
                  <w:r>
                    <w:rPr>
                      <w:color w:val="auto"/>
                      <w:sz w:val="18"/>
                      <w:szCs w:val="18"/>
                    </w:rPr>
                    <w:t>HW</w:t>
                  </w:r>
                  <w:r>
                    <w:rPr>
                      <w:rFonts w:hint="eastAsia"/>
                      <w:color w:val="auto"/>
                      <w:sz w:val="18"/>
                      <w:szCs w:val="18"/>
                    </w:rPr>
                    <w:t>50</w:t>
                  </w:r>
                </w:p>
              </w:tc>
              <w:tc>
                <w:tcPr>
                  <w:tcW w:w="569" w:type="pct"/>
                  <w:vAlign w:val="center"/>
                </w:tcPr>
                <w:p>
                  <w:pPr>
                    <w:widowControl/>
                    <w:adjustRightInd w:val="0"/>
                    <w:snapToGrid w:val="0"/>
                    <w:ind w:left="-140" w:leftChars="-50" w:right="-140" w:rightChars="-50"/>
                    <w:jc w:val="center"/>
                    <w:rPr>
                      <w:color w:val="auto"/>
                      <w:sz w:val="18"/>
                      <w:szCs w:val="18"/>
                    </w:rPr>
                  </w:pPr>
                  <w:r>
                    <w:rPr>
                      <w:color w:val="auto"/>
                      <w:sz w:val="18"/>
                      <w:szCs w:val="18"/>
                    </w:rPr>
                    <w:t>900-</w:t>
                  </w:r>
                  <w:r>
                    <w:rPr>
                      <w:rFonts w:hint="eastAsia"/>
                      <w:color w:val="auto"/>
                      <w:sz w:val="18"/>
                      <w:szCs w:val="18"/>
                    </w:rPr>
                    <w:t>04</w:t>
                  </w:r>
                  <w:r>
                    <w:rPr>
                      <w:color w:val="auto"/>
                      <w:sz w:val="18"/>
                      <w:szCs w:val="18"/>
                    </w:rPr>
                    <w:t>9-</w:t>
                  </w:r>
                  <w:r>
                    <w:rPr>
                      <w:rFonts w:hint="eastAsia"/>
                      <w:color w:val="auto"/>
                      <w:sz w:val="18"/>
                      <w:szCs w:val="18"/>
                    </w:rPr>
                    <w:t>50</w:t>
                  </w:r>
                </w:p>
              </w:tc>
              <w:tc>
                <w:tcPr>
                  <w:tcW w:w="406"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0.3</w:t>
                  </w:r>
                </w:p>
              </w:tc>
              <w:tc>
                <w:tcPr>
                  <w:tcW w:w="406"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检验</w:t>
                  </w:r>
                </w:p>
              </w:tc>
              <w:tc>
                <w:tcPr>
                  <w:tcW w:w="321"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固</w:t>
                  </w:r>
                  <w:r>
                    <w:rPr>
                      <w:color w:val="auto"/>
                      <w:sz w:val="18"/>
                      <w:szCs w:val="18"/>
                    </w:rPr>
                    <w:t>态</w:t>
                  </w:r>
                </w:p>
              </w:tc>
              <w:tc>
                <w:tcPr>
                  <w:tcW w:w="376"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陶瓷、催化剂涂层</w:t>
                  </w:r>
                </w:p>
              </w:tc>
              <w:tc>
                <w:tcPr>
                  <w:tcW w:w="403"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催化剂涂层</w:t>
                  </w:r>
                </w:p>
              </w:tc>
              <w:tc>
                <w:tcPr>
                  <w:tcW w:w="396"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1d</w:t>
                  </w:r>
                </w:p>
              </w:tc>
              <w:tc>
                <w:tcPr>
                  <w:tcW w:w="344" w:type="pct"/>
                  <w:vAlign w:val="center"/>
                </w:tcPr>
                <w:p>
                  <w:pPr>
                    <w:widowControl/>
                    <w:adjustRightInd w:val="0"/>
                    <w:snapToGrid w:val="0"/>
                    <w:ind w:left="-140" w:leftChars="-50" w:right="-140" w:rightChars="-50"/>
                    <w:jc w:val="center"/>
                    <w:rPr>
                      <w:color w:val="auto"/>
                      <w:sz w:val="18"/>
                      <w:szCs w:val="18"/>
                    </w:rPr>
                  </w:pPr>
                  <w:r>
                    <w:rPr>
                      <w:color w:val="auto"/>
                      <w:sz w:val="18"/>
                      <w:szCs w:val="18"/>
                    </w:rPr>
                    <w:t>T</w:t>
                  </w:r>
                </w:p>
              </w:tc>
              <w:tc>
                <w:tcPr>
                  <w:tcW w:w="635" w:type="pct"/>
                  <w:vMerge w:val="restar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分类</w:t>
                  </w:r>
                  <w:r>
                    <w:rPr>
                      <w:color w:val="auto"/>
                      <w:sz w:val="18"/>
                      <w:szCs w:val="18"/>
                    </w:rPr>
                    <w:t>收集后暂存于危险废物暂存间，委托有处理资质的单位定期安全处置</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8" w:hRule="atLeast"/>
              </w:trPr>
              <w:tc>
                <w:tcPr>
                  <w:tcW w:w="228" w:type="pct"/>
                  <w:vAlign w:val="center"/>
                </w:tcPr>
                <w:p>
                  <w:pPr>
                    <w:widowControl/>
                    <w:adjustRightInd w:val="0"/>
                    <w:snapToGrid w:val="0"/>
                    <w:ind w:left="-140" w:leftChars="-50" w:right="-140" w:rightChars="-50"/>
                    <w:jc w:val="center"/>
                    <w:rPr>
                      <w:color w:val="auto"/>
                      <w:sz w:val="18"/>
                      <w:szCs w:val="18"/>
                    </w:rPr>
                  </w:pPr>
                  <w:r>
                    <w:rPr>
                      <w:rFonts w:hint="eastAsia"/>
                      <w:color w:val="auto"/>
                      <w:sz w:val="18"/>
                      <w:szCs w:val="18"/>
                    </w:rPr>
                    <w:t>2</w:t>
                  </w:r>
                </w:p>
              </w:tc>
              <w:tc>
                <w:tcPr>
                  <w:tcW w:w="504"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废包装瓶</w:t>
                  </w:r>
                </w:p>
              </w:tc>
              <w:tc>
                <w:tcPr>
                  <w:tcW w:w="406" w:type="pct"/>
                  <w:vAlign w:val="center"/>
                </w:tcPr>
                <w:p>
                  <w:pPr>
                    <w:widowControl/>
                    <w:adjustRightInd w:val="0"/>
                    <w:snapToGrid w:val="0"/>
                    <w:ind w:left="-140" w:leftChars="-50" w:right="-140" w:rightChars="-50"/>
                    <w:jc w:val="center"/>
                    <w:rPr>
                      <w:b/>
                      <w:bCs/>
                      <w:color w:val="auto"/>
                      <w:sz w:val="18"/>
                      <w:szCs w:val="18"/>
                      <w:u w:val="single"/>
                    </w:rPr>
                  </w:pPr>
                  <w:r>
                    <w:rPr>
                      <w:b/>
                      <w:bCs/>
                      <w:color w:val="auto"/>
                      <w:sz w:val="18"/>
                      <w:szCs w:val="18"/>
                      <w:u w:val="single"/>
                    </w:rPr>
                    <w:t>HW</w:t>
                  </w:r>
                  <w:r>
                    <w:rPr>
                      <w:rFonts w:hint="eastAsia"/>
                      <w:b/>
                      <w:bCs/>
                      <w:color w:val="auto"/>
                      <w:sz w:val="18"/>
                      <w:szCs w:val="18"/>
                      <w:u w:val="single"/>
                    </w:rPr>
                    <w:t>49</w:t>
                  </w:r>
                </w:p>
              </w:tc>
              <w:tc>
                <w:tcPr>
                  <w:tcW w:w="569" w:type="pct"/>
                  <w:vAlign w:val="center"/>
                </w:tcPr>
                <w:p>
                  <w:pPr>
                    <w:widowControl/>
                    <w:adjustRightInd w:val="0"/>
                    <w:snapToGrid w:val="0"/>
                    <w:ind w:left="-140" w:leftChars="-50" w:right="-140" w:rightChars="-50"/>
                    <w:jc w:val="center"/>
                    <w:rPr>
                      <w:b/>
                      <w:bCs/>
                      <w:color w:val="auto"/>
                      <w:sz w:val="18"/>
                      <w:szCs w:val="18"/>
                      <w:u w:val="single"/>
                    </w:rPr>
                  </w:pPr>
                  <w:r>
                    <w:rPr>
                      <w:b/>
                      <w:bCs/>
                      <w:color w:val="auto"/>
                      <w:sz w:val="18"/>
                      <w:szCs w:val="18"/>
                      <w:u w:val="single"/>
                    </w:rPr>
                    <w:t>900-</w:t>
                  </w:r>
                  <w:r>
                    <w:rPr>
                      <w:rFonts w:hint="eastAsia"/>
                      <w:b/>
                      <w:bCs/>
                      <w:color w:val="auto"/>
                      <w:sz w:val="18"/>
                      <w:szCs w:val="18"/>
                      <w:u w:val="single"/>
                    </w:rPr>
                    <w:t>041</w:t>
                  </w:r>
                  <w:r>
                    <w:rPr>
                      <w:b/>
                      <w:bCs/>
                      <w:color w:val="auto"/>
                      <w:sz w:val="18"/>
                      <w:szCs w:val="18"/>
                      <w:u w:val="single"/>
                    </w:rPr>
                    <w:t>-</w:t>
                  </w:r>
                  <w:r>
                    <w:rPr>
                      <w:rFonts w:hint="eastAsia"/>
                      <w:b/>
                      <w:bCs/>
                      <w:color w:val="auto"/>
                      <w:sz w:val="18"/>
                      <w:szCs w:val="18"/>
                      <w:u w:val="single"/>
                    </w:rPr>
                    <w:t>49</w:t>
                  </w:r>
                </w:p>
              </w:tc>
              <w:tc>
                <w:tcPr>
                  <w:tcW w:w="406"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0.2</w:t>
                  </w:r>
                </w:p>
              </w:tc>
              <w:tc>
                <w:tcPr>
                  <w:tcW w:w="406"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原料拆装</w:t>
                  </w:r>
                </w:p>
              </w:tc>
              <w:tc>
                <w:tcPr>
                  <w:tcW w:w="321"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固态</w:t>
                  </w:r>
                  <w:r>
                    <w:rPr>
                      <w:b/>
                      <w:bCs/>
                      <w:color w:val="auto"/>
                      <w:sz w:val="18"/>
                      <w:szCs w:val="18"/>
                      <w:u w:val="single"/>
                    </w:rPr>
                    <w:t>态</w:t>
                  </w:r>
                </w:p>
              </w:tc>
              <w:tc>
                <w:tcPr>
                  <w:tcW w:w="376"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玻璃、硝酸、贵金属</w:t>
                  </w:r>
                </w:p>
              </w:tc>
              <w:tc>
                <w:tcPr>
                  <w:tcW w:w="403"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硝酸、贵金属</w:t>
                  </w:r>
                </w:p>
              </w:tc>
              <w:tc>
                <w:tcPr>
                  <w:tcW w:w="396" w:type="pct"/>
                  <w:vAlign w:val="center"/>
                </w:tcPr>
                <w:p>
                  <w:pPr>
                    <w:widowControl/>
                    <w:adjustRightInd w:val="0"/>
                    <w:snapToGrid w:val="0"/>
                    <w:ind w:left="-140" w:leftChars="-50" w:right="-140" w:rightChars="-50"/>
                    <w:jc w:val="center"/>
                    <w:rPr>
                      <w:b/>
                      <w:bCs/>
                      <w:color w:val="auto"/>
                      <w:sz w:val="18"/>
                      <w:szCs w:val="18"/>
                      <w:u w:val="single"/>
                    </w:rPr>
                  </w:pPr>
                  <w:r>
                    <w:rPr>
                      <w:rFonts w:hint="eastAsia"/>
                      <w:b/>
                      <w:bCs/>
                      <w:color w:val="auto"/>
                      <w:sz w:val="18"/>
                      <w:szCs w:val="18"/>
                      <w:u w:val="single"/>
                    </w:rPr>
                    <w:t>1d</w:t>
                  </w:r>
                </w:p>
              </w:tc>
              <w:tc>
                <w:tcPr>
                  <w:tcW w:w="344" w:type="pct"/>
                  <w:vAlign w:val="center"/>
                </w:tcPr>
                <w:p>
                  <w:pPr>
                    <w:widowControl/>
                    <w:adjustRightInd w:val="0"/>
                    <w:snapToGrid w:val="0"/>
                    <w:ind w:left="-140" w:leftChars="-50" w:right="-140" w:rightChars="-50"/>
                    <w:jc w:val="center"/>
                    <w:rPr>
                      <w:b/>
                      <w:bCs/>
                      <w:color w:val="auto"/>
                      <w:sz w:val="18"/>
                      <w:szCs w:val="18"/>
                      <w:u w:val="single"/>
                    </w:rPr>
                  </w:pPr>
                  <w:r>
                    <w:rPr>
                      <w:b/>
                      <w:bCs/>
                      <w:color w:val="auto"/>
                      <w:sz w:val="18"/>
                      <w:szCs w:val="18"/>
                      <w:u w:val="single"/>
                    </w:rPr>
                    <w:t>T</w:t>
                  </w:r>
                </w:p>
              </w:tc>
              <w:tc>
                <w:tcPr>
                  <w:tcW w:w="635" w:type="pct"/>
                  <w:vMerge w:val="continue"/>
                  <w:vAlign w:val="center"/>
                </w:tcPr>
                <w:p>
                  <w:pPr>
                    <w:widowControl/>
                    <w:adjustRightInd w:val="0"/>
                    <w:snapToGrid w:val="0"/>
                    <w:ind w:left="-140" w:leftChars="-50" w:right="-140" w:rightChars="-50"/>
                    <w:jc w:val="center"/>
                    <w:rPr>
                      <w:color w:val="auto"/>
                      <w:sz w:val="18"/>
                      <w:szCs w:val="18"/>
                    </w:rPr>
                  </w:pPr>
                </w:p>
              </w:tc>
            </w:tr>
          </w:tbl>
          <w:p>
            <w:pPr>
              <w:pStyle w:val="21"/>
              <w:ind w:firstLine="420"/>
              <w:rPr>
                <w:color w:val="auto"/>
              </w:rPr>
            </w:pPr>
            <w:r>
              <w:rPr>
                <w:rFonts w:hint="eastAsia"/>
                <w:color w:val="auto"/>
              </w:rPr>
              <w:t xml:space="preserve"> </w:t>
            </w:r>
            <w:r>
              <w:rPr>
                <w:color w:val="auto"/>
              </w:rPr>
              <w:t xml:space="preserve">       项目工程危险废物贮存场所基本情况表</w:t>
            </w:r>
          </w:p>
          <w:tbl>
            <w:tblPr>
              <w:tblStyle w:val="26"/>
              <w:tblW w:w="0" w:type="auto"/>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96"/>
              <w:gridCol w:w="1134"/>
              <w:gridCol w:w="968"/>
              <w:gridCol w:w="871"/>
              <w:gridCol w:w="1046"/>
              <w:gridCol w:w="590"/>
              <w:gridCol w:w="701"/>
              <w:gridCol w:w="1520"/>
              <w:gridCol w:w="704"/>
              <w:gridCol w:w="656"/>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6" w:type="dxa"/>
                  <w:vMerge w:val="restart"/>
                  <w:vAlign w:val="center"/>
                </w:tcPr>
                <w:p>
                  <w:pPr>
                    <w:widowControl/>
                    <w:adjustRightInd w:val="0"/>
                    <w:snapToGrid w:val="0"/>
                    <w:spacing w:line="300" w:lineRule="exact"/>
                    <w:jc w:val="center"/>
                    <w:rPr>
                      <w:rFonts w:cs="Times New Roman"/>
                      <w:color w:val="auto"/>
                      <w:sz w:val="18"/>
                      <w:szCs w:val="18"/>
                    </w:rPr>
                  </w:pPr>
                  <w:r>
                    <w:rPr>
                      <w:rFonts w:cs="Times New Roman"/>
                      <w:color w:val="auto"/>
                      <w:sz w:val="18"/>
                      <w:szCs w:val="18"/>
                    </w:rPr>
                    <w:t>序号</w:t>
                  </w:r>
                </w:p>
              </w:tc>
              <w:tc>
                <w:tcPr>
                  <w:tcW w:w="1164"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贮存场所</w:t>
                  </w:r>
                </w:p>
                <w:p>
                  <w:pPr>
                    <w:topLinePunct/>
                    <w:spacing w:line="300" w:lineRule="exact"/>
                    <w:ind w:left="-39" w:leftChars="-37" w:right="-143" w:rightChars="-51" w:hanging="65" w:hangingChars="39"/>
                    <w:jc w:val="center"/>
                    <w:rPr>
                      <w:rFonts w:cs="Times New Roman"/>
                      <w:color w:val="auto"/>
                      <w:spacing w:val="-6"/>
                      <w:sz w:val="18"/>
                      <w:szCs w:val="18"/>
                    </w:rPr>
                  </w:pPr>
                  <w:r>
                    <w:rPr>
                      <w:rFonts w:cs="Times New Roman"/>
                      <w:color w:val="auto"/>
                      <w:spacing w:val="-6"/>
                      <w:sz w:val="18"/>
                      <w:szCs w:val="18"/>
                    </w:rPr>
                    <w:t>（设施）名称</w:t>
                  </w:r>
                </w:p>
              </w:tc>
              <w:tc>
                <w:tcPr>
                  <w:tcW w:w="992"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危险废物名称</w:t>
                  </w:r>
                </w:p>
              </w:tc>
              <w:tc>
                <w:tcPr>
                  <w:tcW w:w="890"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危险废物类别</w:t>
                  </w:r>
                </w:p>
              </w:tc>
              <w:tc>
                <w:tcPr>
                  <w:tcW w:w="1057"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危险废物代码</w:t>
                  </w:r>
                </w:p>
              </w:tc>
              <w:tc>
                <w:tcPr>
                  <w:tcW w:w="604" w:type="dxa"/>
                  <w:vMerge w:val="restart"/>
                  <w:vAlign w:val="center"/>
                </w:tcPr>
                <w:p>
                  <w:pPr>
                    <w:topLinePunct/>
                    <w:spacing w:line="300" w:lineRule="exact"/>
                    <w:ind w:left="-43" w:leftChars="-43" w:right="-143" w:rightChars="-51" w:hanging="77" w:hangingChars="43"/>
                    <w:jc w:val="center"/>
                    <w:rPr>
                      <w:rFonts w:cs="Times New Roman"/>
                      <w:color w:val="auto"/>
                      <w:sz w:val="18"/>
                      <w:szCs w:val="18"/>
                    </w:rPr>
                  </w:pPr>
                  <w:r>
                    <w:rPr>
                      <w:rFonts w:cs="Times New Roman"/>
                      <w:color w:val="auto"/>
                      <w:sz w:val="18"/>
                      <w:szCs w:val="18"/>
                    </w:rPr>
                    <w:t>位置</w:t>
                  </w:r>
                </w:p>
              </w:tc>
              <w:tc>
                <w:tcPr>
                  <w:tcW w:w="709"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占地</w:t>
                  </w:r>
                </w:p>
                <w:p>
                  <w:pPr>
                    <w:topLinePunct/>
                    <w:spacing w:line="300" w:lineRule="exact"/>
                    <w:jc w:val="center"/>
                    <w:rPr>
                      <w:rFonts w:cs="Times New Roman"/>
                      <w:color w:val="auto"/>
                      <w:sz w:val="18"/>
                      <w:szCs w:val="18"/>
                    </w:rPr>
                  </w:pPr>
                  <w:r>
                    <w:rPr>
                      <w:rFonts w:cs="Times New Roman"/>
                      <w:color w:val="auto"/>
                      <w:sz w:val="18"/>
                      <w:szCs w:val="18"/>
                    </w:rPr>
                    <w:t>面积</w:t>
                  </w:r>
                </w:p>
              </w:tc>
              <w:tc>
                <w:tcPr>
                  <w:tcW w:w="1559"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贮存方式</w:t>
                  </w:r>
                </w:p>
              </w:tc>
              <w:tc>
                <w:tcPr>
                  <w:tcW w:w="709" w:type="dxa"/>
                  <w:vMerge w:val="restart"/>
                  <w:vAlign w:val="center"/>
                </w:tcPr>
                <w:p>
                  <w:pPr>
                    <w:topLinePunct/>
                    <w:spacing w:line="300" w:lineRule="exact"/>
                    <w:ind w:left="-52" w:leftChars="-51" w:right="-143" w:rightChars="-51" w:hanging="91" w:hangingChars="51"/>
                    <w:jc w:val="center"/>
                    <w:rPr>
                      <w:rFonts w:cs="Times New Roman"/>
                      <w:color w:val="auto"/>
                      <w:sz w:val="18"/>
                      <w:szCs w:val="18"/>
                    </w:rPr>
                  </w:pPr>
                  <w:r>
                    <w:rPr>
                      <w:rFonts w:cs="Times New Roman"/>
                      <w:color w:val="auto"/>
                      <w:sz w:val="18"/>
                      <w:szCs w:val="18"/>
                    </w:rPr>
                    <w:t>贮存</w:t>
                  </w:r>
                </w:p>
                <w:p>
                  <w:pPr>
                    <w:topLinePunct/>
                    <w:spacing w:line="300" w:lineRule="exact"/>
                    <w:ind w:left="-52" w:leftChars="-51" w:right="-143" w:rightChars="-51" w:hanging="91" w:hangingChars="51"/>
                    <w:jc w:val="center"/>
                    <w:rPr>
                      <w:rFonts w:cs="Times New Roman"/>
                      <w:color w:val="auto"/>
                      <w:sz w:val="18"/>
                      <w:szCs w:val="18"/>
                    </w:rPr>
                  </w:pPr>
                  <w:r>
                    <w:rPr>
                      <w:rFonts w:cs="Times New Roman"/>
                      <w:color w:val="auto"/>
                      <w:sz w:val="18"/>
                      <w:szCs w:val="18"/>
                    </w:rPr>
                    <w:t>能力</w:t>
                  </w:r>
                </w:p>
              </w:tc>
              <w:tc>
                <w:tcPr>
                  <w:tcW w:w="666" w:type="dxa"/>
                  <w:vMerge w:val="restart"/>
                  <w:vAlign w:val="center"/>
                </w:tcPr>
                <w:p>
                  <w:pPr>
                    <w:topLinePunct/>
                    <w:spacing w:line="300" w:lineRule="exact"/>
                    <w:jc w:val="center"/>
                    <w:rPr>
                      <w:rFonts w:cs="Times New Roman"/>
                      <w:color w:val="auto"/>
                      <w:sz w:val="18"/>
                      <w:szCs w:val="18"/>
                    </w:rPr>
                  </w:pPr>
                  <w:r>
                    <w:rPr>
                      <w:rFonts w:cs="Times New Roman"/>
                      <w:color w:val="auto"/>
                      <w:sz w:val="18"/>
                      <w:szCs w:val="18"/>
                    </w:rPr>
                    <w:t>贮存</w:t>
                  </w:r>
                </w:p>
                <w:p>
                  <w:pPr>
                    <w:topLinePunct/>
                    <w:spacing w:line="300" w:lineRule="exact"/>
                    <w:jc w:val="center"/>
                    <w:rPr>
                      <w:rFonts w:cs="Times New Roman"/>
                      <w:color w:val="auto"/>
                      <w:sz w:val="18"/>
                      <w:szCs w:val="18"/>
                    </w:rPr>
                  </w:pPr>
                  <w:r>
                    <w:rPr>
                      <w:rFonts w:cs="Times New Roman"/>
                      <w:color w:val="auto"/>
                      <w:sz w:val="18"/>
                      <w:szCs w:val="18"/>
                    </w:rPr>
                    <w:t>周期</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6" w:type="dxa"/>
                  <w:vMerge w:val="continue"/>
                  <w:vAlign w:val="center"/>
                </w:tcPr>
                <w:p>
                  <w:pPr>
                    <w:widowControl/>
                    <w:adjustRightInd w:val="0"/>
                    <w:snapToGrid w:val="0"/>
                    <w:spacing w:line="300" w:lineRule="exact"/>
                    <w:jc w:val="center"/>
                    <w:rPr>
                      <w:rFonts w:cs="Times New Roman"/>
                      <w:color w:val="auto"/>
                      <w:sz w:val="18"/>
                      <w:szCs w:val="18"/>
                    </w:rPr>
                  </w:pPr>
                </w:p>
              </w:tc>
              <w:tc>
                <w:tcPr>
                  <w:tcW w:w="1164" w:type="dxa"/>
                  <w:vMerge w:val="continue"/>
                  <w:vAlign w:val="center"/>
                </w:tcPr>
                <w:p>
                  <w:pPr>
                    <w:widowControl/>
                    <w:adjustRightInd w:val="0"/>
                    <w:snapToGrid w:val="0"/>
                    <w:spacing w:line="300" w:lineRule="exact"/>
                    <w:jc w:val="center"/>
                    <w:rPr>
                      <w:rFonts w:cs="Times New Roman"/>
                      <w:color w:val="auto"/>
                      <w:sz w:val="18"/>
                      <w:szCs w:val="18"/>
                    </w:rPr>
                  </w:pPr>
                </w:p>
              </w:tc>
              <w:tc>
                <w:tcPr>
                  <w:tcW w:w="992" w:type="dxa"/>
                  <w:vMerge w:val="continue"/>
                  <w:vAlign w:val="center"/>
                </w:tcPr>
                <w:p>
                  <w:pPr>
                    <w:widowControl/>
                    <w:adjustRightInd w:val="0"/>
                    <w:snapToGrid w:val="0"/>
                    <w:spacing w:line="300" w:lineRule="exact"/>
                    <w:jc w:val="center"/>
                    <w:rPr>
                      <w:rFonts w:cs="Times New Roman"/>
                      <w:color w:val="auto"/>
                      <w:sz w:val="18"/>
                      <w:szCs w:val="18"/>
                    </w:rPr>
                  </w:pPr>
                </w:p>
              </w:tc>
              <w:tc>
                <w:tcPr>
                  <w:tcW w:w="890" w:type="dxa"/>
                  <w:vMerge w:val="continue"/>
                  <w:vAlign w:val="center"/>
                </w:tcPr>
                <w:p>
                  <w:pPr>
                    <w:widowControl/>
                    <w:adjustRightInd w:val="0"/>
                    <w:snapToGrid w:val="0"/>
                    <w:spacing w:line="300" w:lineRule="exact"/>
                    <w:jc w:val="center"/>
                    <w:rPr>
                      <w:rFonts w:cs="Times New Roman"/>
                      <w:color w:val="auto"/>
                      <w:sz w:val="18"/>
                      <w:szCs w:val="18"/>
                    </w:rPr>
                  </w:pPr>
                </w:p>
              </w:tc>
              <w:tc>
                <w:tcPr>
                  <w:tcW w:w="1057" w:type="dxa"/>
                  <w:vMerge w:val="continue"/>
                  <w:vAlign w:val="center"/>
                </w:tcPr>
                <w:p>
                  <w:pPr>
                    <w:widowControl/>
                    <w:adjustRightInd w:val="0"/>
                    <w:snapToGrid w:val="0"/>
                    <w:spacing w:line="300" w:lineRule="exact"/>
                    <w:jc w:val="center"/>
                    <w:rPr>
                      <w:rFonts w:cs="Times New Roman"/>
                      <w:color w:val="auto"/>
                      <w:sz w:val="18"/>
                      <w:szCs w:val="18"/>
                    </w:rPr>
                  </w:pPr>
                </w:p>
              </w:tc>
              <w:tc>
                <w:tcPr>
                  <w:tcW w:w="604" w:type="dxa"/>
                  <w:vMerge w:val="continue"/>
                  <w:vAlign w:val="center"/>
                </w:tcPr>
                <w:p>
                  <w:pPr>
                    <w:widowControl/>
                    <w:adjustRightInd w:val="0"/>
                    <w:snapToGrid w:val="0"/>
                    <w:spacing w:line="300" w:lineRule="exact"/>
                    <w:ind w:left="-43" w:leftChars="-43" w:right="-143" w:rightChars="-51" w:hanging="77" w:hangingChars="43"/>
                    <w:jc w:val="center"/>
                    <w:rPr>
                      <w:rFonts w:cs="Times New Roman"/>
                      <w:color w:val="auto"/>
                      <w:sz w:val="18"/>
                      <w:szCs w:val="18"/>
                    </w:rPr>
                  </w:pPr>
                </w:p>
              </w:tc>
              <w:tc>
                <w:tcPr>
                  <w:tcW w:w="709" w:type="dxa"/>
                  <w:vMerge w:val="continue"/>
                  <w:vAlign w:val="center"/>
                </w:tcPr>
                <w:p>
                  <w:pPr>
                    <w:widowControl/>
                    <w:adjustRightInd w:val="0"/>
                    <w:snapToGrid w:val="0"/>
                    <w:spacing w:line="300" w:lineRule="exact"/>
                    <w:jc w:val="center"/>
                    <w:rPr>
                      <w:rFonts w:cs="Times New Roman"/>
                      <w:color w:val="auto"/>
                      <w:sz w:val="18"/>
                      <w:szCs w:val="18"/>
                    </w:rPr>
                  </w:pPr>
                </w:p>
              </w:tc>
              <w:tc>
                <w:tcPr>
                  <w:tcW w:w="1559" w:type="dxa"/>
                  <w:vMerge w:val="continue"/>
                  <w:vAlign w:val="center"/>
                </w:tcPr>
                <w:p>
                  <w:pPr>
                    <w:widowControl/>
                    <w:adjustRightInd w:val="0"/>
                    <w:snapToGrid w:val="0"/>
                    <w:spacing w:line="300" w:lineRule="exact"/>
                    <w:jc w:val="center"/>
                    <w:rPr>
                      <w:rFonts w:cs="Times New Roman"/>
                      <w:color w:val="auto"/>
                      <w:sz w:val="18"/>
                      <w:szCs w:val="18"/>
                    </w:rPr>
                  </w:pPr>
                </w:p>
              </w:tc>
              <w:tc>
                <w:tcPr>
                  <w:tcW w:w="709" w:type="dxa"/>
                  <w:vMerge w:val="continue"/>
                  <w:vAlign w:val="center"/>
                </w:tcPr>
                <w:p>
                  <w:pPr>
                    <w:widowControl/>
                    <w:adjustRightInd w:val="0"/>
                    <w:snapToGrid w:val="0"/>
                    <w:spacing w:line="300" w:lineRule="exact"/>
                    <w:jc w:val="center"/>
                    <w:rPr>
                      <w:rFonts w:cs="Times New Roman"/>
                      <w:color w:val="auto"/>
                      <w:sz w:val="18"/>
                      <w:szCs w:val="18"/>
                    </w:rPr>
                  </w:pPr>
                </w:p>
              </w:tc>
              <w:tc>
                <w:tcPr>
                  <w:tcW w:w="666" w:type="dxa"/>
                  <w:vMerge w:val="continue"/>
                  <w:vAlign w:val="center"/>
                </w:tcPr>
                <w:p>
                  <w:pPr>
                    <w:widowControl/>
                    <w:adjustRightInd w:val="0"/>
                    <w:snapToGrid w:val="0"/>
                    <w:spacing w:line="300" w:lineRule="exact"/>
                    <w:jc w:val="center"/>
                    <w:rPr>
                      <w:rFonts w:cs="Times New Roman"/>
                      <w:color w:val="auto"/>
                      <w:sz w:val="18"/>
                      <w:szCs w:val="18"/>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6" w:type="dxa"/>
                  <w:vAlign w:val="center"/>
                </w:tcPr>
                <w:p>
                  <w:pPr>
                    <w:widowControl/>
                    <w:adjustRightInd w:val="0"/>
                    <w:snapToGrid w:val="0"/>
                    <w:spacing w:line="300" w:lineRule="exact"/>
                    <w:jc w:val="center"/>
                    <w:rPr>
                      <w:rFonts w:cs="Times New Roman"/>
                      <w:color w:val="auto"/>
                      <w:sz w:val="18"/>
                      <w:szCs w:val="18"/>
                    </w:rPr>
                  </w:pPr>
                  <w:r>
                    <w:rPr>
                      <w:rFonts w:cs="Times New Roman"/>
                      <w:color w:val="auto"/>
                      <w:sz w:val="18"/>
                      <w:szCs w:val="18"/>
                    </w:rPr>
                    <w:t>1</w:t>
                  </w:r>
                </w:p>
              </w:tc>
              <w:tc>
                <w:tcPr>
                  <w:tcW w:w="1164" w:type="dxa"/>
                  <w:vMerge w:val="restart"/>
                  <w:vAlign w:val="center"/>
                </w:tcPr>
                <w:p>
                  <w:pPr>
                    <w:widowControl/>
                    <w:adjustRightInd w:val="0"/>
                    <w:snapToGrid w:val="0"/>
                    <w:spacing w:line="300" w:lineRule="exact"/>
                    <w:jc w:val="center"/>
                    <w:rPr>
                      <w:rFonts w:cs="Times New Roman"/>
                      <w:color w:val="auto"/>
                      <w:sz w:val="18"/>
                      <w:szCs w:val="18"/>
                    </w:rPr>
                  </w:pPr>
                  <w:r>
                    <w:rPr>
                      <w:rFonts w:cs="Times New Roman"/>
                      <w:color w:val="auto"/>
                      <w:sz w:val="18"/>
                      <w:szCs w:val="18"/>
                    </w:rPr>
                    <w:t>危险废物</w:t>
                  </w:r>
                </w:p>
                <w:p>
                  <w:pPr>
                    <w:widowControl/>
                    <w:adjustRightInd w:val="0"/>
                    <w:snapToGrid w:val="0"/>
                    <w:spacing w:line="300" w:lineRule="exact"/>
                    <w:jc w:val="center"/>
                    <w:rPr>
                      <w:rFonts w:cs="Times New Roman"/>
                      <w:color w:val="auto"/>
                      <w:sz w:val="18"/>
                      <w:szCs w:val="18"/>
                    </w:rPr>
                  </w:pPr>
                  <w:r>
                    <w:rPr>
                      <w:rFonts w:cs="Times New Roman"/>
                      <w:color w:val="auto"/>
                      <w:sz w:val="18"/>
                      <w:szCs w:val="18"/>
                    </w:rPr>
                    <w:t>暂存间</w:t>
                  </w:r>
                </w:p>
              </w:tc>
              <w:tc>
                <w:tcPr>
                  <w:tcW w:w="992" w:type="dxa"/>
                  <w:vAlign w:val="center"/>
                </w:tcPr>
                <w:p>
                  <w:pPr>
                    <w:widowControl/>
                    <w:adjustRightInd w:val="0"/>
                    <w:snapToGrid w:val="0"/>
                    <w:ind w:left="-140" w:leftChars="-50" w:right="-140" w:rightChars="-50"/>
                    <w:jc w:val="center"/>
                    <w:rPr>
                      <w:rFonts w:cs="Times New Roman"/>
                      <w:color w:val="auto"/>
                      <w:sz w:val="18"/>
                      <w:szCs w:val="18"/>
                    </w:rPr>
                  </w:pPr>
                  <w:r>
                    <w:rPr>
                      <w:rFonts w:hint="eastAsia"/>
                      <w:color w:val="auto"/>
                      <w:sz w:val="18"/>
                      <w:szCs w:val="18"/>
                    </w:rPr>
                    <w:t>废催化剂</w:t>
                  </w:r>
                </w:p>
              </w:tc>
              <w:tc>
                <w:tcPr>
                  <w:tcW w:w="890" w:type="dxa"/>
                  <w:vAlign w:val="center"/>
                </w:tcPr>
                <w:p>
                  <w:pPr>
                    <w:widowControl/>
                    <w:adjustRightInd w:val="0"/>
                    <w:snapToGrid w:val="0"/>
                    <w:ind w:left="-140" w:leftChars="-50" w:right="-140" w:rightChars="-50"/>
                    <w:jc w:val="center"/>
                    <w:rPr>
                      <w:rFonts w:cs="Times New Roman"/>
                      <w:color w:val="auto"/>
                      <w:sz w:val="18"/>
                      <w:szCs w:val="18"/>
                    </w:rPr>
                  </w:pPr>
                  <w:r>
                    <w:rPr>
                      <w:color w:val="auto"/>
                      <w:sz w:val="18"/>
                      <w:szCs w:val="18"/>
                    </w:rPr>
                    <w:t>HW</w:t>
                  </w:r>
                  <w:r>
                    <w:rPr>
                      <w:rFonts w:hint="eastAsia"/>
                      <w:color w:val="auto"/>
                      <w:sz w:val="18"/>
                      <w:szCs w:val="18"/>
                    </w:rPr>
                    <w:t>50</w:t>
                  </w:r>
                </w:p>
              </w:tc>
              <w:tc>
                <w:tcPr>
                  <w:tcW w:w="1057" w:type="dxa"/>
                  <w:vAlign w:val="center"/>
                </w:tcPr>
                <w:p>
                  <w:pPr>
                    <w:widowControl/>
                    <w:adjustRightInd w:val="0"/>
                    <w:snapToGrid w:val="0"/>
                    <w:ind w:left="-140" w:leftChars="-50" w:right="-140" w:rightChars="-50"/>
                    <w:jc w:val="center"/>
                    <w:rPr>
                      <w:rFonts w:cs="Times New Roman"/>
                      <w:color w:val="auto"/>
                      <w:sz w:val="18"/>
                      <w:szCs w:val="18"/>
                    </w:rPr>
                  </w:pPr>
                  <w:r>
                    <w:rPr>
                      <w:color w:val="auto"/>
                      <w:sz w:val="18"/>
                      <w:szCs w:val="18"/>
                    </w:rPr>
                    <w:t>900-</w:t>
                  </w:r>
                  <w:r>
                    <w:rPr>
                      <w:rFonts w:hint="eastAsia"/>
                      <w:color w:val="auto"/>
                      <w:sz w:val="18"/>
                      <w:szCs w:val="18"/>
                    </w:rPr>
                    <w:t>04</w:t>
                  </w:r>
                  <w:r>
                    <w:rPr>
                      <w:color w:val="auto"/>
                      <w:sz w:val="18"/>
                      <w:szCs w:val="18"/>
                    </w:rPr>
                    <w:t>9-</w:t>
                  </w:r>
                  <w:r>
                    <w:rPr>
                      <w:rFonts w:hint="eastAsia"/>
                      <w:color w:val="auto"/>
                      <w:sz w:val="18"/>
                      <w:szCs w:val="18"/>
                    </w:rPr>
                    <w:t>50</w:t>
                  </w:r>
                </w:p>
              </w:tc>
              <w:tc>
                <w:tcPr>
                  <w:tcW w:w="604" w:type="dxa"/>
                  <w:vMerge w:val="restart"/>
                  <w:vAlign w:val="center"/>
                </w:tcPr>
                <w:p>
                  <w:pPr>
                    <w:widowControl/>
                    <w:adjustRightInd w:val="0"/>
                    <w:snapToGrid w:val="0"/>
                    <w:spacing w:line="300" w:lineRule="exact"/>
                    <w:ind w:left="-43" w:leftChars="-43" w:right="-143" w:rightChars="-51" w:hanging="77" w:hangingChars="43"/>
                    <w:jc w:val="center"/>
                    <w:rPr>
                      <w:rFonts w:cs="Times New Roman"/>
                      <w:color w:val="auto"/>
                      <w:sz w:val="18"/>
                      <w:szCs w:val="18"/>
                    </w:rPr>
                  </w:pPr>
                  <w:r>
                    <w:rPr>
                      <w:rFonts w:cs="Times New Roman"/>
                      <w:color w:val="auto"/>
                      <w:sz w:val="18"/>
                      <w:szCs w:val="18"/>
                    </w:rPr>
                    <w:t>车间</w:t>
                  </w:r>
                </w:p>
                <w:p>
                  <w:pPr>
                    <w:widowControl/>
                    <w:adjustRightInd w:val="0"/>
                    <w:snapToGrid w:val="0"/>
                    <w:spacing w:line="300" w:lineRule="exact"/>
                    <w:ind w:left="-43" w:leftChars="-43" w:right="-143" w:rightChars="-51" w:hanging="77" w:hangingChars="43"/>
                    <w:jc w:val="center"/>
                    <w:rPr>
                      <w:rFonts w:cs="Times New Roman"/>
                      <w:color w:val="auto"/>
                      <w:sz w:val="18"/>
                      <w:szCs w:val="18"/>
                    </w:rPr>
                  </w:pPr>
                  <w:r>
                    <w:rPr>
                      <w:rFonts w:cs="Times New Roman"/>
                      <w:color w:val="auto"/>
                      <w:sz w:val="18"/>
                      <w:szCs w:val="18"/>
                    </w:rPr>
                    <w:t>南侧</w:t>
                  </w:r>
                </w:p>
              </w:tc>
              <w:tc>
                <w:tcPr>
                  <w:tcW w:w="709" w:type="dxa"/>
                  <w:vMerge w:val="restart"/>
                  <w:vAlign w:val="center"/>
                </w:tcPr>
                <w:p>
                  <w:pPr>
                    <w:adjustRightInd w:val="0"/>
                    <w:snapToGrid w:val="0"/>
                    <w:spacing w:line="300" w:lineRule="exact"/>
                    <w:jc w:val="center"/>
                    <w:rPr>
                      <w:rFonts w:cs="Times New Roman"/>
                      <w:color w:val="auto"/>
                      <w:sz w:val="18"/>
                      <w:szCs w:val="18"/>
                    </w:rPr>
                  </w:pPr>
                  <w:r>
                    <w:rPr>
                      <w:rFonts w:cs="Times New Roman"/>
                      <w:color w:val="auto"/>
                      <w:sz w:val="18"/>
                      <w:szCs w:val="18"/>
                    </w:rPr>
                    <w:t>5m</w:t>
                  </w:r>
                  <w:r>
                    <w:rPr>
                      <w:rFonts w:cs="Times New Roman"/>
                      <w:color w:val="auto"/>
                      <w:sz w:val="18"/>
                      <w:szCs w:val="18"/>
                      <w:vertAlign w:val="superscript"/>
                    </w:rPr>
                    <w:t>2</w:t>
                  </w:r>
                </w:p>
              </w:tc>
              <w:tc>
                <w:tcPr>
                  <w:tcW w:w="1559" w:type="dxa"/>
                  <w:vMerge w:val="restart"/>
                  <w:vAlign w:val="center"/>
                </w:tcPr>
                <w:p>
                  <w:pPr>
                    <w:adjustRightInd w:val="0"/>
                    <w:snapToGrid w:val="0"/>
                    <w:spacing w:line="300" w:lineRule="exact"/>
                    <w:jc w:val="center"/>
                    <w:rPr>
                      <w:rFonts w:cs="Times New Roman"/>
                      <w:color w:val="auto"/>
                      <w:sz w:val="18"/>
                      <w:szCs w:val="18"/>
                    </w:rPr>
                  </w:pPr>
                  <w:r>
                    <w:rPr>
                      <w:rFonts w:cs="Times New Roman"/>
                      <w:color w:val="auto"/>
                      <w:sz w:val="18"/>
                      <w:szCs w:val="18"/>
                    </w:rPr>
                    <w:t>由密闭容器收集，分区存放</w:t>
                  </w:r>
                </w:p>
              </w:tc>
              <w:tc>
                <w:tcPr>
                  <w:tcW w:w="709" w:type="dxa"/>
                  <w:vMerge w:val="restart"/>
                  <w:vAlign w:val="center"/>
                </w:tcPr>
                <w:p>
                  <w:pPr>
                    <w:adjustRightInd w:val="0"/>
                    <w:snapToGrid w:val="0"/>
                    <w:spacing w:line="300" w:lineRule="exact"/>
                    <w:jc w:val="center"/>
                    <w:rPr>
                      <w:rFonts w:cs="Times New Roman"/>
                      <w:color w:val="auto"/>
                      <w:sz w:val="18"/>
                      <w:szCs w:val="18"/>
                    </w:rPr>
                  </w:pPr>
                  <w:r>
                    <w:rPr>
                      <w:rFonts w:cs="Times New Roman"/>
                      <w:color w:val="auto"/>
                      <w:sz w:val="18"/>
                      <w:szCs w:val="18"/>
                    </w:rPr>
                    <w:t>10m</w:t>
                  </w:r>
                  <w:r>
                    <w:rPr>
                      <w:rFonts w:cs="Times New Roman"/>
                      <w:color w:val="auto"/>
                      <w:sz w:val="18"/>
                      <w:szCs w:val="18"/>
                      <w:vertAlign w:val="superscript"/>
                    </w:rPr>
                    <w:t>3</w:t>
                  </w:r>
                </w:p>
              </w:tc>
              <w:tc>
                <w:tcPr>
                  <w:tcW w:w="666" w:type="dxa"/>
                  <w:vMerge w:val="restart"/>
                  <w:vAlign w:val="center"/>
                </w:tcPr>
                <w:p>
                  <w:pPr>
                    <w:adjustRightInd w:val="0"/>
                    <w:snapToGrid w:val="0"/>
                    <w:spacing w:line="300" w:lineRule="exact"/>
                    <w:ind w:left="-53" w:leftChars="-51" w:right="-199" w:rightChars="-71" w:hanging="90" w:hangingChars="54"/>
                    <w:jc w:val="center"/>
                    <w:rPr>
                      <w:rFonts w:cs="Times New Roman"/>
                      <w:color w:val="auto"/>
                      <w:spacing w:val="-6"/>
                      <w:sz w:val="18"/>
                      <w:szCs w:val="18"/>
                    </w:rPr>
                  </w:pPr>
                  <w:r>
                    <w:rPr>
                      <w:rFonts w:hint="eastAsia" w:cs="Times New Roman"/>
                      <w:color w:val="auto"/>
                      <w:spacing w:val="-6"/>
                      <w:sz w:val="18"/>
                      <w:szCs w:val="18"/>
                    </w:rPr>
                    <w:t>6</w:t>
                  </w:r>
                  <w:r>
                    <w:rPr>
                      <w:rFonts w:cs="Times New Roman"/>
                      <w:color w:val="auto"/>
                      <w:spacing w:val="-6"/>
                      <w:sz w:val="18"/>
                      <w:szCs w:val="18"/>
                    </w:rPr>
                    <w:t>个月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396" w:type="dxa"/>
                  <w:vAlign w:val="center"/>
                </w:tcPr>
                <w:p>
                  <w:pPr>
                    <w:widowControl/>
                    <w:adjustRightInd w:val="0"/>
                    <w:snapToGrid w:val="0"/>
                    <w:jc w:val="center"/>
                    <w:rPr>
                      <w:rFonts w:cs="Times New Roman"/>
                      <w:color w:val="auto"/>
                      <w:sz w:val="18"/>
                      <w:szCs w:val="18"/>
                    </w:rPr>
                  </w:pPr>
                  <w:r>
                    <w:rPr>
                      <w:rFonts w:cs="Times New Roman"/>
                      <w:color w:val="auto"/>
                      <w:sz w:val="18"/>
                      <w:szCs w:val="18"/>
                    </w:rPr>
                    <w:t>2</w:t>
                  </w:r>
                </w:p>
              </w:tc>
              <w:tc>
                <w:tcPr>
                  <w:tcW w:w="1164" w:type="dxa"/>
                  <w:vMerge w:val="continue"/>
                  <w:vAlign w:val="center"/>
                </w:tcPr>
                <w:p>
                  <w:pPr>
                    <w:widowControl/>
                    <w:adjustRightInd w:val="0"/>
                    <w:snapToGrid w:val="0"/>
                    <w:jc w:val="center"/>
                    <w:rPr>
                      <w:rFonts w:cs="Times New Roman"/>
                      <w:color w:val="auto"/>
                      <w:sz w:val="18"/>
                      <w:szCs w:val="18"/>
                    </w:rPr>
                  </w:pPr>
                </w:p>
              </w:tc>
              <w:tc>
                <w:tcPr>
                  <w:tcW w:w="992" w:type="dxa"/>
                  <w:vAlign w:val="center"/>
                </w:tcPr>
                <w:p>
                  <w:pPr>
                    <w:widowControl/>
                    <w:adjustRightInd w:val="0"/>
                    <w:snapToGrid w:val="0"/>
                    <w:ind w:left="-140" w:leftChars="-50" w:right="-140" w:rightChars="-50"/>
                    <w:jc w:val="center"/>
                    <w:rPr>
                      <w:rFonts w:cs="Times New Roman"/>
                      <w:color w:val="auto"/>
                      <w:sz w:val="18"/>
                      <w:szCs w:val="18"/>
                    </w:rPr>
                  </w:pPr>
                  <w:r>
                    <w:rPr>
                      <w:rFonts w:hint="eastAsia"/>
                      <w:color w:val="auto"/>
                      <w:sz w:val="18"/>
                      <w:szCs w:val="18"/>
                    </w:rPr>
                    <w:t>废包装瓶</w:t>
                  </w:r>
                </w:p>
              </w:tc>
              <w:tc>
                <w:tcPr>
                  <w:tcW w:w="890" w:type="dxa"/>
                  <w:vAlign w:val="center"/>
                </w:tcPr>
                <w:p>
                  <w:pPr>
                    <w:widowControl/>
                    <w:adjustRightInd w:val="0"/>
                    <w:snapToGrid w:val="0"/>
                    <w:ind w:left="-140" w:leftChars="-50" w:right="-140" w:rightChars="-50"/>
                    <w:jc w:val="center"/>
                    <w:rPr>
                      <w:rFonts w:cs="Times New Roman"/>
                      <w:bCs/>
                      <w:color w:val="auto"/>
                      <w:spacing w:val="-4"/>
                      <w:sz w:val="18"/>
                      <w:szCs w:val="18"/>
                    </w:rPr>
                  </w:pPr>
                  <w:r>
                    <w:rPr>
                      <w:color w:val="auto"/>
                      <w:sz w:val="18"/>
                      <w:szCs w:val="18"/>
                    </w:rPr>
                    <w:t>HW</w:t>
                  </w:r>
                  <w:r>
                    <w:rPr>
                      <w:rFonts w:hint="eastAsia"/>
                      <w:color w:val="auto"/>
                      <w:sz w:val="18"/>
                      <w:szCs w:val="18"/>
                    </w:rPr>
                    <w:t>49</w:t>
                  </w:r>
                </w:p>
              </w:tc>
              <w:tc>
                <w:tcPr>
                  <w:tcW w:w="1057" w:type="dxa"/>
                  <w:vAlign w:val="center"/>
                </w:tcPr>
                <w:p>
                  <w:pPr>
                    <w:widowControl/>
                    <w:adjustRightInd w:val="0"/>
                    <w:snapToGrid w:val="0"/>
                    <w:ind w:left="-140" w:leftChars="-50" w:right="-140" w:rightChars="-50"/>
                    <w:jc w:val="center"/>
                    <w:rPr>
                      <w:rFonts w:cs="Times New Roman"/>
                      <w:color w:val="auto"/>
                      <w:sz w:val="18"/>
                      <w:szCs w:val="18"/>
                    </w:rPr>
                  </w:pPr>
                  <w:r>
                    <w:rPr>
                      <w:color w:val="auto"/>
                      <w:sz w:val="18"/>
                      <w:szCs w:val="18"/>
                    </w:rPr>
                    <w:t>900-</w:t>
                  </w:r>
                  <w:r>
                    <w:rPr>
                      <w:rFonts w:hint="eastAsia"/>
                      <w:color w:val="auto"/>
                      <w:sz w:val="18"/>
                      <w:szCs w:val="18"/>
                    </w:rPr>
                    <w:t>041</w:t>
                  </w:r>
                  <w:r>
                    <w:rPr>
                      <w:color w:val="auto"/>
                      <w:sz w:val="18"/>
                      <w:szCs w:val="18"/>
                    </w:rPr>
                    <w:t>-</w:t>
                  </w:r>
                  <w:r>
                    <w:rPr>
                      <w:rFonts w:hint="eastAsia"/>
                      <w:color w:val="auto"/>
                      <w:sz w:val="18"/>
                      <w:szCs w:val="18"/>
                    </w:rPr>
                    <w:t>49</w:t>
                  </w:r>
                </w:p>
              </w:tc>
              <w:tc>
                <w:tcPr>
                  <w:tcW w:w="604" w:type="dxa"/>
                  <w:vMerge w:val="continue"/>
                  <w:vAlign w:val="center"/>
                </w:tcPr>
                <w:p>
                  <w:pPr>
                    <w:widowControl/>
                    <w:adjustRightInd w:val="0"/>
                    <w:snapToGrid w:val="0"/>
                    <w:ind w:left="-43" w:leftChars="-43" w:right="-143" w:rightChars="-51" w:hanging="77" w:hangingChars="43"/>
                    <w:jc w:val="center"/>
                    <w:rPr>
                      <w:rFonts w:cs="Times New Roman"/>
                      <w:color w:val="auto"/>
                      <w:sz w:val="18"/>
                      <w:szCs w:val="18"/>
                    </w:rPr>
                  </w:pPr>
                </w:p>
              </w:tc>
              <w:tc>
                <w:tcPr>
                  <w:tcW w:w="709" w:type="dxa"/>
                  <w:vMerge w:val="continue"/>
                  <w:vAlign w:val="center"/>
                </w:tcPr>
                <w:p>
                  <w:pPr>
                    <w:adjustRightInd w:val="0"/>
                    <w:snapToGrid w:val="0"/>
                    <w:jc w:val="center"/>
                    <w:rPr>
                      <w:rFonts w:cs="Times New Roman"/>
                      <w:color w:val="auto"/>
                      <w:sz w:val="18"/>
                      <w:szCs w:val="18"/>
                    </w:rPr>
                  </w:pPr>
                </w:p>
              </w:tc>
              <w:tc>
                <w:tcPr>
                  <w:tcW w:w="1559" w:type="dxa"/>
                  <w:vMerge w:val="continue"/>
                  <w:vAlign w:val="center"/>
                </w:tcPr>
                <w:p>
                  <w:pPr>
                    <w:adjustRightInd w:val="0"/>
                    <w:snapToGrid w:val="0"/>
                    <w:jc w:val="center"/>
                    <w:rPr>
                      <w:rFonts w:cs="Times New Roman"/>
                      <w:color w:val="auto"/>
                      <w:sz w:val="18"/>
                      <w:szCs w:val="18"/>
                    </w:rPr>
                  </w:pPr>
                </w:p>
              </w:tc>
              <w:tc>
                <w:tcPr>
                  <w:tcW w:w="709" w:type="dxa"/>
                  <w:vMerge w:val="continue"/>
                  <w:vAlign w:val="center"/>
                </w:tcPr>
                <w:p>
                  <w:pPr>
                    <w:adjustRightInd w:val="0"/>
                    <w:snapToGrid w:val="0"/>
                    <w:jc w:val="center"/>
                    <w:rPr>
                      <w:rFonts w:cs="Times New Roman"/>
                      <w:color w:val="auto"/>
                      <w:sz w:val="18"/>
                      <w:szCs w:val="18"/>
                    </w:rPr>
                  </w:pPr>
                </w:p>
              </w:tc>
              <w:tc>
                <w:tcPr>
                  <w:tcW w:w="666" w:type="dxa"/>
                  <w:vMerge w:val="continue"/>
                  <w:vAlign w:val="center"/>
                </w:tcPr>
                <w:p>
                  <w:pPr>
                    <w:adjustRightInd w:val="0"/>
                    <w:snapToGrid w:val="0"/>
                    <w:ind w:left="-53" w:leftChars="-51" w:right="-199" w:rightChars="-71" w:hanging="90" w:hangingChars="54"/>
                    <w:jc w:val="center"/>
                    <w:rPr>
                      <w:rFonts w:cs="Times New Roman"/>
                      <w:color w:val="auto"/>
                      <w:spacing w:val="-6"/>
                      <w:sz w:val="18"/>
                      <w:szCs w:val="18"/>
                    </w:rPr>
                  </w:pPr>
                </w:p>
              </w:tc>
            </w:tr>
          </w:tbl>
          <w:p>
            <w:pPr>
              <w:pStyle w:val="4"/>
              <w:spacing w:before="0" w:after="0" w:line="360" w:lineRule="auto"/>
              <w:ind w:left="0" w:firstLine="466" w:firstLineChars="200"/>
              <w:jc w:val="both"/>
              <w:rPr>
                <w:rFonts w:eastAsia="宋体"/>
                <w:b/>
                <w:bCs w:val="0"/>
                <w:color w:val="auto"/>
                <w:spacing w:val="-4"/>
                <w:kern w:val="2"/>
                <w:sz w:val="24"/>
                <w:szCs w:val="24"/>
                <w:u w:val="single"/>
              </w:rPr>
            </w:pPr>
            <w:r>
              <w:rPr>
                <w:rFonts w:eastAsia="宋体"/>
                <w:b/>
                <w:bCs w:val="0"/>
                <w:color w:val="auto"/>
                <w:spacing w:val="-4"/>
                <w:kern w:val="2"/>
                <w:sz w:val="24"/>
                <w:szCs w:val="24"/>
                <w:u w:val="single"/>
              </w:rPr>
              <w:t>本项目</w:t>
            </w:r>
            <w:r>
              <w:rPr>
                <w:rFonts w:hint="eastAsia" w:eastAsia="宋体"/>
                <w:b/>
                <w:bCs w:val="0"/>
                <w:color w:val="auto"/>
                <w:spacing w:val="-4"/>
                <w:kern w:val="2"/>
                <w:sz w:val="24"/>
                <w:szCs w:val="24"/>
                <w:u w:val="single"/>
              </w:rPr>
              <w:t>建设一座5</w:t>
            </w:r>
            <w:r>
              <w:rPr>
                <w:rFonts w:eastAsia="宋体"/>
                <w:b/>
                <w:bCs w:val="0"/>
                <w:color w:val="auto"/>
                <w:spacing w:val="-4"/>
                <w:kern w:val="2"/>
                <w:sz w:val="24"/>
                <w:szCs w:val="24"/>
                <w:u w:val="single"/>
              </w:rPr>
              <w:t>m</w:t>
            </w:r>
            <w:r>
              <w:rPr>
                <w:rFonts w:eastAsia="宋体"/>
                <w:b/>
                <w:bCs w:val="0"/>
                <w:color w:val="auto"/>
                <w:spacing w:val="-4"/>
                <w:kern w:val="2"/>
                <w:sz w:val="24"/>
                <w:szCs w:val="24"/>
                <w:u w:val="single"/>
                <w:vertAlign w:val="superscript"/>
              </w:rPr>
              <w:t>2</w:t>
            </w:r>
            <w:r>
              <w:rPr>
                <w:rFonts w:eastAsia="宋体"/>
                <w:b/>
                <w:bCs w:val="0"/>
                <w:color w:val="auto"/>
                <w:spacing w:val="-4"/>
                <w:kern w:val="2"/>
                <w:sz w:val="24"/>
                <w:szCs w:val="24"/>
                <w:u w:val="single"/>
              </w:rPr>
              <w:t>危废暂存间对危险废物暂存后，委托资质单位进行处理。</w:t>
            </w:r>
          </w:p>
          <w:p>
            <w:pPr>
              <w:pStyle w:val="4"/>
              <w:spacing w:before="0" w:after="0" w:line="360" w:lineRule="auto"/>
              <w:ind w:left="0" w:firstLine="466" w:firstLineChars="200"/>
              <w:jc w:val="both"/>
              <w:rPr>
                <w:rFonts w:eastAsia="宋体"/>
                <w:b/>
                <w:bCs w:val="0"/>
                <w:color w:val="auto"/>
                <w:spacing w:val="-4"/>
                <w:kern w:val="2"/>
                <w:sz w:val="24"/>
                <w:szCs w:val="24"/>
                <w:u w:val="single"/>
              </w:rPr>
            </w:pPr>
            <w:r>
              <w:rPr>
                <w:rFonts w:hint="eastAsia" w:eastAsia="宋体"/>
                <w:b/>
                <w:bCs w:val="0"/>
                <w:color w:val="auto"/>
                <w:spacing w:val="-4"/>
                <w:kern w:val="2"/>
                <w:sz w:val="24"/>
                <w:szCs w:val="24"/>
                <w:u w:val="single"/>
                <w:lang w:val="en-US" w:eastAsia="zh-CN"/>
              </w:rPr>
              <w:t>危险废物暂存间</w:t>
            </w:r>
            <w:r>
              <w:rPr>
                <w:rFonts w:eastAsia="宋体"/>
                <w:b/>
                <w:bCs w:val="0"/>
                <w:color w:val="auto"/>
                <w:spacing w:val="-4"/>
                <w:kern w:val="2"/>
                <w:sz w:val="24"/>
                <w:szCs w:val="24"/>
                <w:u w:val="single"/>
              </w:rPr>
              <w:t>严格按照《建设项目危险废物环境影响评价指南》和《危险废物贮存污染控制标准》（GB18597-2001）及2013年修改清单有关规定设置，</w:t>
            </w:r>
            <w:r>
              <w:rPr>
                <w:rFonts w:hint="eastAsia" w:eastAsia="宋体"/>
                <w:b/>
                <w:bCs w:val="0"/>
                <w:color w:val="auto"/>
                <w:spacing w:val="-4"/>
                <w:kern w:val="2"/>
                <w:sz w:val="24"/>
                <w:szCs w:val="24"/>
                <w:u w:val="single"/>
                <w:lang w:val="en-US" w:eastAsia="zh-CN"/>
              </w:rPr>
              <w:t>危废暂存间满足以下要求</w:t>
            </w:r>
            <w:r>
              <w:rPr>
                <w:rFonts w:eastAsia="宋体"/>
                <w:b/>
                <w:bCs w:val="0"/>
                <w:color w:val="auto"/>
                <w:spacing w:val="-4"/>
                <w:kern w:val="2"/>
                <w:sz w:val="24"/>
                <w:szCs w:val="24"/>
                <w:u w:val="single"/>
              </w:rPr>
              <w:t>：</w:t>
            </w:r>
            <w:r>
              <w:rPr>
                <w:rFonts w:eastAsia="宋体"/>
                <w:b/>
                <w:bCs w:val="0"/>
                <w:color w:val="auto"/>
                <w:spacing w:val="-4"/>
                <w:kern w:val="2"/>
                <w:sz w:val="24"/>
                <w:szCs w:val="24"/>
                <w:u w:val="single"/>
              </w:rPr>
              <w:fldChar w:fldCharType="begin"/>
            </w:r>
            <w:r>
              <w:rPr>
                <w:rFonts w:eastAsia="宋体"/>
                <w:b/>
                <w:bCs w:val="0"/>
                <w:color w:val="auto"/>
                <w:spacing w:val="-4"/>
                <w:kern w:val="2"/>
                <w:sz w:val="24"/>
                <w:szCs w:val="24"/>
                <w:u w:val="single"/>
              </w:rPr>
              <w:instrText xml:space="preserve"> = 1 \* GB3 </w:instrText>
            </w:r>
            <w:r>
              <w:rPr>
                <w:rFonts w:eastAsia="宋体"/>
                <w:b/>
                <w:bCs w:val="0"/>
                <w:color w:val="auto"/>
                <w:spacing w:val="-4"/>
                <w:kern w:val="2"/>
                <w:sz w:val="24"/>
                <w:szCs w:val="24"/>
                <w:u w:val="single"/>
              </w:rPr>
              <w:fldChar w:fldCharType="separate"/>
            </w:r>
            <w:r>
              <w:rPr>
                <w:rFonts w:eastAsia="宋体"/>
                <w:b/>
                <w:bCs w:val="0"/>
                <w:color w:val="auto"/>
                <w:spacing w:val="-4"/>
                <w:kern w:val="2"/>
                <w:sz w:val="24"/>
                <w:szCs w:val="24"/>
                <w:u w:val="single"/>
              </w:rPr>
              <w:t>①</w:t>
            </w:r>
            <w:r>
              <w:rPr>
                <w:rFonts w:eastAsia="宋体"/>
                <w:b/>
                <w:bCs w:val="0"/>
                <w:color w:val="auto"/>
                <w:spacing w:val="-4"/>
                <w:kern w:val="2"/>
                <w:sz w:val="24"/>
                <w:szCs w:val="24"/>
                <w:u w:val="single"/>
              </w:rPr>
              <w:fldChar w:fldCharType="end"/>
            </w:r>
            <w:r>
              <w:rPr>
                <w:rFonts w:eastAsia="宋体"/>
                <w:b/>
                <w:bCs w:val="0"/>
                <w:color w:val="auto"/>
                <w:spacing w:val="-4"/>
                <w:kern w:val="2"/>
                <w:sz w:val="24"/>
                <w:szCs w:val="24"/>
                <w:u w:val="single"/>
              </w:rPr>
              <w:t>危险废物暂存间应采用密闭仓库形式建设，应满足“四防”（防风、防雨、防晒、防渗漏）要求，基础必须防渗，应至少有2mm厚的高密度聚乙烯材料，或者至少2mm厚的其他人工材料，渗透系数≤10-10cm/s。还应建有堵截泄漏的裙脚，地面与裙脚要用坚固防渗的材料建造，堆场内的地面应耐腐蚀、无裂隙，设专人看管。</w:t>
            </w:r>
            <w:r>
              <w:rPr>
                <w:rFonts w:eastAsia="宋体"/>
                <w:b/>
                <w:bCs w:val="0"/>
                <w:color w:val="auto"/>
                <w:spacing w:val="-4"/>
                <w:kern w:val="2"/>
                <w:sz w:val="24"/>
                <w:szCs w:val="24"/>
                <w:u w:val="single"/>
              </w:rPr>
              <w:fldChar w:fldCharType="begin"/>
            </w:r>
            <w:r>
              <w:rPr>
                <w:rFonts w:eastAsia="宋体"/>
                <w:b/>
                <w:bCs w:val="0"/>
                <w:color w:val="auto"/>
                <w:spacing w:val="-4"/>
                <w:kern w:val="2"/>
                <w:sz w:val="24"/>
                <w:szCs w:val="24"/>
                <w:u w:val="single"/>
              </w:rPr>
              <w:instrText xml:space="preserve"> = 2 \* GB3 </w:instrText>
            </w:r>
            <w:r>
              <w:rPr>
                <w:rFonts w:eastAsia="宋体"/>
                <w:b/>
                <w:bCs w:val="0"/>
                <w:color w:val="auto"/>
                <w:spacing w:val="-4"/>
                <w:kern w:val="2"/>
                <w:sz w:val="24"/>
                <w:szCs w:val="24"/>
                <w:u w:val="single"/>
              </w:rPr>
              <w:fldChar w:fldCharType="separate"/>
            </w:r>
            <w:r>
              <w:rPr>
                <w:rFonts w:eastAsia="宋体"/>
                <w:b/>
                <w:bCs w:val="0"/>
                <w:color w:val="auto"/>
                <w:spacing w:val="-4"/>
                <w:kern w:val="2"/>
                <w:sz w:val="24"/>
                <w:szCs w:val="24"/>
                <w:u w:val="single"/>
              </w:rPr>
              <w:t>②</w:t>
            </w:r>
            <w:r>
              <w:rPr>
                <w:rFonts w:eastAsia="宋体"/>
                <w:b/>
                <w:bCs w:val="0"/>
                <w:color w:val="auto"/>
                <w:spacing w:val="-4"/>
                <w:kern w:val="2"/>
                <w:sz w:val="24"/>
                <w:szCs w:val="24"/>
                <w:u w:val="single"/>
              </w:rPr>
              <w:fldChar w:fldCharType="end"/>
            </w:r>
            <w:r>
              <w:rPr>
                <w:rFonts w:eastAsia="宋体"/>
                <w:b/>
                <w:bCs w:val="0"/>
                <w:color w:val="auto"/>
                <w:spacing w:val="-4"/>
                <w:kern w:val="2"/>
                <w:sz w:val="24"/>
                <w:szCs w:val="24"/>
                <w:u w:val="single"/>
              </w:rPr>
              <w:t>各种盛装废物的容器必须完好无损，各个危险废物容器外侧须标明危险废物名称、存入时间、重量、成分、特性以及发生泄漏、扩散污染事故时的应急措施和补救方法。</w:t>
            </w:r>
            <w:r>
              <w:rPr>
                <w:rFonts w:eastAsia="宋体"/>
                <w:b/>
                <w:bCs w:val="0"/>
                <w:color w:val="auto"/>
                <w:spacing w:val="-4"/>
                <w:kern w:val="2"/>
                <w:sz w:val="24"/>
                <w:szCs w:val="24"/>
                <w:u w:val="single"/>
              </w:rPr>
              <w:fldChar w:fldCharType="begin"/>
            </w:r>
            <w:r>
              <w:rPr>
                <w:rFonts w:eastAsia="宋体"/>
                <w:b/>
                <w:bCs w:val="0"/>
                <w:color w:val="auto"/>
                <w:spacing w:val="-4"/>
                <w:kern w:val="2"/>
                <w:sz w:val="24"/>
                <w:szCs w:val="24"/>
                <w:u w:val="single"/>
              </w:rPr>
              <w:instrText xml:space="preserve"> = 3 \* GB3 </w:instrText>
            </w:r>
            <w:r>
              <w:rPr>
                <w:rFonts w:eastAsia="宋体"/>
                <w:b/>
                <w:bCs w:val="0"/>
                <w:color w:val="auto"/>
                <w:spacing w:val="-4"/>
                <w:kern w:val="2"/>
                <w:sz w:val="24"/>
                <w:szCs w:val="24"/>
                <w:u w:val="single"/>
              </w:rPr>
              <w:fldChar w:fldCharType="separate"/>
            </w:r>
            <w:r>
              <w:rPr>
                <w:rFonts w:eastAsia="宋体"/>
                <w:b/>
                <w:bCs w:val="0"/>
                <w:color w:val="auto"/>
                <w:spacing w:val="-4"/>
                <w:kern w:val="2"/>
                <w:sz w:val="24"/>
                <w:szCs w:val="24"/>
                <w:u w:val="single"/>
              </w:rPr>
              <w:t>③</w:t>
            </w:r>
            <w:r>
              <w:rPr>
                <w:rFonts w:eastAsia="宋体"/>
                <w:b/>
                <w:bCs w:val="0"/>
                <w:color w:val="auto"/>
                <w:spacing w:val="-4"/>
                <w:kern w:val="2"/>
                <w:sz w:val="24"/>
                <w:szCs w:val="24"/>
                <w:u w:val="single"/>
              </w:rPr>
              <w:fldChar w:fldCharType="end"/>
            </w:r>
            <w:r>
              <w:rPr>
                <w:rFonts w:eastAsia="宋体"/>
                <w:b/>
                <w:bCs w:val="0"/>
                <w:color w:val="auto"/>
                <w:spacing w:val="-4"/>
                <w:kern w:val="2"/>
                <w:sz w:val="24"/>
                <w:szCs w:val="24"/>
                <w:u w:val="single"/>
              </w:rPr>
              <w:t>危险废物暂存间应设立危险废物标志。形状：等边三角形，边长40cm；颜色：背景为黄色，图形为黑色；警告标志外檐2.5cm，材料应坚固、耐用、抗风化、抗淋蚀，如出现掉色、破损等情况应及时更换。</w:t>
            </w:r>
            <w:r>
              <w:rPr>
                <w:rFonts w:eastAsia="宋体"/>
                <w:b/>
                <w:bCs w:val="0"/>
                <w:color w:val="auto"/>
                <w:spacing w:val="-4"/>
                <w:kern w:val="2"/>
                <w:sz w:val="24"/>
                <w:szCs w:val="24"/>
                <w:u w:val="single"/>
              </w:rPr>
              <w:fldChar w:fldCharType="begin"/>
            </w:r>
            <w:r>
              <w:rPr>
                <w:rFonts w:eastAsia="宋体"/>
                <w:b/>
                <w:bCs w:val="0"/>
                <w:color w:val="auto"/>
                <w:spacing w:val="-4"/>
                <w:kern w:val="2"/>
                <w:sz w:val="24"/>
                <w:szCs w:val="24"/>
                <w:u w:val="single"/>
              </w:rPr>
              <w:instrText xml:space="preserve"> = 4 \* GB3 </w:instrText>
            </w:r>
            <w:r>
              <w:rPr>
                <w:rFonts w:eastAsia="宋体"/>
                <w:b/>
                <w:bCs w:val="0"/>
                <w:color w:val="auto"/>
                <w:spacing w:val="-4"/>
                <w:kern w:val="2"/>
                <w:sz w:val="24"/>
                <w:szCs w:val="24"/>
                <w:u w:val="single"/>
              </w:rPr>
              <w:fldChar w:fldCharType="separate"/>
            </w:r>
            <w:r>
              <w:rPr>
                <w:rFonts w:eastAsia="宋体"/>
                <w:b/>
                <w:bCs w:val="0"/>
                <w:color w:val="auto"/>
                <w:spacing w:val="-4"/>
                <w:kern w:val="2"/>
                <w:sz w:val="24"/>
                <w:szCs w:val="24"/>
                <w:u w:val="single"/>
              </w:rPr>
              <w:t>④</w:t>
            </w:r>
            <w:r>
              <w:rPr>
                <w:rFonts w:eastAsia="宋体"/>
                <w:b/>
                <w:bCs w:val="0"/>
                <w:color w:val="auto"/>
                <w:spacing w:val="-4"/>
                <w:kern w:val="2"/>
                <w:sz w:val="24"/>
                <w:szCs w:val="24"/>
                <w:u w:val="single"/>
              </w:rPr>
              <w:fldChar w:fldCharType="end"/>
            </w:r>
            <w:r>
              <w:rPr>
                <w:rFonts w:eastAsia="宋体"/>
                <w:b/>
                <w:bCs w:val="0"/>
                <w:color w:val="auto"/>
                <w:spacing w:val="-4"/>
                <w:kern w:val="2"/>
                <w:sz w:val="24"/>
                <w:szCs w:val="24"/>
                <w:u w:val="single"/>
              </w:rPr>
              <w:t>危险废物在厂区内临时堆存时间不得超过一年。</w:t>
            </w:r>
          </w:p>
          <w:p>
            <w:pPr>
              <w:pStyle w:val="4"/>
              <w:spacing w:before="0" w:after="0" w:line="360" w:lineRule="auto"/>
              <w:ind w:left="0" w:firstLine="466" w:firstLineChars="200"/>
              <w:jc w:val="both"/>
              <w:rPr>
                <w:rFonts w:eastAsia="宋体"/>
                <w:b/>
                <w:bCs w:val="0"/>
                <w:color w:val="auto"/>
                <w:spacing w:val="-4"/>
                <w:kern w:val="2"/>
                <w:sz w:val="24"/>
                <w:szCs w:val="24"/>
                <w:u w:val="single"/>
              </w:rPr>
            </w:pPr>
            <w:r>
              <w:rPr>
                <w:rFonts w:eastAsia="宋体"/>
                <w:b/>
                <w:bCs w:val="0"/>
                <w:color w:val="auto"/>
                <w:spacing w:val="-4"/>
                <w:kern w:val="2"/>
                <w:sz w:val="24"/>
                <w:szCs w:val="24"/>
                <w:u w:val="single"/>
              </w:rPr>
              <w:t>按照《固体废物污染环境防治法》及《建设项目危险废物环境影响评价指南》之规定，“对危险废物的容器和包装物以及收集、贮存、运输、处置危险废物的设施、场所，必须设置危险废物识别标志。产生危险废物的单位必须按照国家有关规定制定危险废物管理计划，并向所在地县级以上地方人民政府环境保护行政主管部门申报危险废物的种类、产生量、流向、贮存、处置等有关资料。前款所称危险废物管理计划应当包括减少危险废物产生量和危害性的措施以及危险废物贮存、利用、处置措施。危险废物管理计划应当报产生危险废物的单位所在地县级以上地方人民政府环境保护行政主管部门备案。本条规定的申报事项或者危险废物管理计划内容有重大改变的，应当及时申报。产生危险废物的单位，必须按照国家有关规定处置危险废物，不得擅自倾倒、堆放。收集、贮存危险废物，必须按照危险废物特性分类进行。禁止混合收集、贮存、运输、处置性质不相容而未经安全性处置的危险废物。”</w:t>
            </w:r>
          </w:p>
          <w:p>
            <w:pPr>
              <w:pStyle w:val="4"/>
              <w:spacing w:before="0" w:after="0" w:line="360" w:lineRule="auto"/>
              <w:ind w:left="0" w:firstLine="466" w:firstLineChars="200"/>
              <w:jc w:val="both"/>
              <w:rPr>
                <w:rFonts w:eastAsia="宋体"/>
                <w:b/>
                <w:bCs w:val="0"/>
                <w:color w:val="auto"/>
                <w:spacing w:val="-4"/>
                <w:kern w:val="2"/>
                <w:sz w:val="24"/>
                <w:szCs w:val="24"/>
                <w:u w:val="single"/>
              </w:rPr>
            </w:pPr>
            <w:r>
              <w:rPr>
                <w:rFonts w:eastAsia="宋体"/>
                <w:b/>
                <w:bCs w:val="0"/>
                <w:color w:val="auto"/>
                <w:spacing w:val="-4"/>
                <w:kern w:val="2"/>
                <w:sz w:val="24"/>
                <w:szCs w:val="24"/>
                <w:u w:val="single"/>
              </w:rPr>
              <w:t>综上，项目各类固废能得到合理利用，妥善处置，不擅自向环境排放，符合国家对固体废物减量化、资源化、无害化的要求，不会对周围环境造成影响，因此本项目固废处置方案可行。</w:t>
            </w:r>
          </w:p>
          <w:p>
            <w:pPr>
              <w:adjustRightInd w:val="0"/>
              <w:snapToGrid w:val="0"/>
              <w:spacing w:line="360" w:lineRule="auto"/>
              <w:ind w:firstLine="480" w:firstLineChars="200"/>
              <w:rPr>
                <w:rFonts w:eastAsia="黑体" w:cs="Times New Roman"/>
                <w:color w:val="auto"/>
                <w:kern w:val="0"/>
                <w:sz w:val="24"/>
                <w:szCs w:val="24"/>
              </w:rPr>
            </w:pPr>
            <w:r>
              <w:rPr>
                <w:rFonts w:eastAsia="黑体" w:cs="Times New Roman"/>
                <w:color w:val="auto"/>
                <w:kern w:val="0"/>
                <w:sz w:val="24"/>
                <w:szCs w:val="24"/>
              </w:rPr>
              <w:t>4、噪声污染源分析</w:t>
            </w:r>
          </w:p>
          <w:p>
            <w:pPr>
              <w:spacing w:line="360" w:lineRule="auto"/>
              <w:ind w:firstLine="464" w:firstLineChars="200"/>
              <w:textAlignment w:val="baseline"/>
              <w:rPr>
                <w:rFonts w:cs="Times New Roman"/>
                <w:color w:val="auto"/>
              </w:rPr>
            </w:pPr>
            <w:r>
              <w:rPr>
                <w:rFonts w:cs="Times New Roman"/>
                <w:bCs/>
                <w:color w:val="auto"/>
                <w:spacing w:val="-4"/>
                <w:sz w:val="24"/>
                <w:szCs w:val="24"/>
              </w:rPr>
              <w:t>项目噪声主要为</w:t>
            </w:r>
            <w:r>
              <w:rPr>
                <w:rFonts w:hint="eastAsia" w:cs="Times New Roman"/>
                <w:bCs/>
                <w:color w:val="auto"/>
                <w:spacing w:val="-4"/>
                <w:sz w:val="24"/>
                <w:szCs w:val="24"/>
              </w:rPr>
              <w:t>气动升降乳化机、半自动涂覆机、纯净水机</w:t>
            </w:r>
            <w:r>
              <w:rPr>
                <w:rFonts w:cs="Times New Roman"/>
                <w:bCs/>
                <w:color w:val="auto"/>
                <w:spacing w:val="-4"/>
                <w:sz w:val="24"/>
                <w:szCs w:val="24"/>
              </w:rPr>
              <w:t>等设备运行产生的机械噪声及</w:t>
            </w:r>
            <w:r>
              <w:rPr>
                <w:rFonts w:hint="eastAsia" w:cs="Times New Roman"/>
                <w:bCs/>
                <w:color w:val="auto"/>
                <w:spacing w:val="-4"/>
                <w:sz w:val="24"/>
                <w:szCs w:val="24"/>
              </w:rPr>
              <w:t>风机运行产生的</w:t>
            </w:r>
            <w:r>
              <w:rPr>
                <w:rFonts w:cs="Times New Roman"/>
                <w:bCs/>
                <w:color w:val="auto"/>
                <w:spacing w:val="-4"/>
                <w:sz w:val="24"/>
                <w:szCs w:val="24"/>
              </w:rPr>
              <w:t>空气动力性噪声，噪声源强约为</w:t>
            </w:r>
            <w:r>
              <w:rPr>
                <w:rFonts w:hint="eastAsia" w:cs="Times New Roman"/>
                <w:bCs/>
                <w:color w:val="auto"/>
                <w:spacing w:val="-4"/>
                <w:sz w:val="24"/>
                <w:szCs w:val="24"/>
              </w:rPr>
              <w:t>65</w:t>
            </w:r>
            <w:r>
              <w:rPr>
                <w:rFonts w:cs="Times New Roman"/>
                <w:bCs/>
                <w:color w:val="auto"/>
                <w:spacing w:val="-4"/>
                <w:sz w:val="24"/>
                <w:szCs w:val="24"/>
              </w:rPr>
              <w:t>~90dB（A），经基础减振、厂房隔音、加装隔声罩等措施后，各噪声值约在4</w:t>
            </w:r>
            <w:r>
              <w:rPr>
                <w:rFonts w:hint="eastAsia" w:cs="Times New Roman"/>
                <w:bCs/>
                <w:color w:val="auto"/>
                <w:spacing w:val="-4"/>
                <w:sz w:val="24"/>
                <w:szCs w:val="24"/>
              </w:rPr>
              <w:t>0</w:t>
            </w:r>
            <w:r>
              <w:rPr>
                <w:rFonts w:cs="Times New Roman"/>
                <w:bCs/>
                <w:color w:val="auto"/>
                <w:spacing w:val="-4"/>
                <w:sz w:val="24"/>
                <w:szCs w:val="24"/>
              </w:rPr>
              <w:t>~60dB(A)之间，本项目主要噪声源的等效声级及治理情况见下表。</w:t>
            </w:r>
          </w:p>
          <w:p>
            <w:pPr>
              <w:pStyle w:val="21"/>
              <w:ind w:firstLine="420"/>
              <w:rPr>
                <w:color w:val="auto"/>
              </w:rPr>
            </w:pPr>
            <w:r>
              <w:rPr>
                <w:color w:val="auto"/>
              </w:rPr>
              <w:t xml:space="preserve"> </w:t>
            </w:r>
            <w:r>
              <w:rPr>
                <w:rFonts w:hint="eastAsia"/>
                <w:color w:val="auto"/>
              </w:rPr>
              <w:t xml:space="preserve">                </w:t>
            </w:r>
            <w:r>
              <w:rPr>
                <w:color w:val="auto"/>
              </w:rPr>
              <w:t>本项目主要设备的噪声级</w:t>
            </w:r>
          </w:p>
          <w:tbl>
            <w:tblPr>
              <w:tblStyle w:val="26"/>
              <w:tblW w:w="8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782"/>
              <w:gridCol w:w="1155"/>
              <w:gridCol w:w="3017"/>
              <w:gridCol w:w="19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92" w:type="dxa"/>
                  <w:vAlign w:val="center"/>
                </w:tcPr>
                <w:p>
                  <w:pPr>
                    <w:jc w:val="center"/>
                    <w:rPr>
                      <w:rFonts w:cs="Times New Roman"/>
                      <w:color w:val="auto"/>
                      <w:sz w:val="18"/>
                      <w:szCs w:val="18"/>
                    </w:rPr>
                  </w:pPr>
                  <w:r>
                    <w:rPr>
                      <w:rFonts w:cs="Times New Roman"/>
                      <w:color w:val="auto"/>
                      <w:sz w:val="18"/>
                      <w:szCs w:val="18"/>
                    </w:rPr>
                    <w:t>序号</w:t>
                  </w:r>
                </w:p>
              </w:tc>
              <w:tc>
                <w:tcPr>
                  <w:tcW w:w="1782" w:type="dxa"/>
                  <w:vAlign w:val="center"/>
                </w:tcPr>
                <w:p>
                  <w:pPr>
                    <w:jc w:val="center"/>
                    <w:rPr>
                      <w:rFonts w:cs="Times New Roman"/>
                      <w:color w:val="auto"/>
                      <w:sz w:val="18"/>
                      <w:szCs w:val="18"/>
                    </w:rPr>
                  </w:pPr>
                  <w:r>
                    <w:rPr>
                      <w:rFonts w:cs="Times New Roman"/>
                      <w:color w:val="auto"/>
                      <w:sz w:val="18"/>
                      <w:szCs w:val="18"/>
                    </w:rPr>
                    <w:t>设备名称</w:t>
                  </w:r>
                </w:p>
              </w:tc>
              <w:tc>
                <w:tcPr>
                  <w:tcW w:w="1155" w:type="dxa"/>
                  <w:vAlign w:val="center"/>
                </w:tcPr>
                <w:p>
                  <w:pPr>
                    <w:rPr>
                      <w:rFonts w:cs="Times New Roman"/>
                      <w:color w:val="auto"/>
                      <w:sz w:val="18"/>
                      <w:szCs w:val="18"/>
                    </w:rPr>
                  </w:pPr>
                  <w:r>
                    <w:rPr>
                      <w:rFonts w:cs="Times New Roman"/>
                      <w:bCs/>
                      <w:color w:val="auto"/>
                      <w:sz w:val="18"/>
                      <w:szCs w:val="18"/>
                    </w:rPr>
                    <w:t>源强</w:t>
                  </w:r>
                  <w:r>
                    <w:rPr>
                      <w:rFonts w:cs="Times New Roman"/>
                      <w:color w:val="auto"/>
                      <w:sz w:val="18"/>
                      <w:szCs w:val="18"/>
                    </w:rPr>
                    <w:t>dB(A)</w:t>
                  </w:r>
                </w:p>
              </w:tc>
              <w:tc>
                <w:tcPr>
                  <w:tcW w:w="3017" w:type="dxa"/>
                  <w:vAlign w:val="center"/>
                </w:tcPr>
                <w:p>
                  <w:pPr>
                    <w:jc w:val="center"/>
                    <w:rPr>
                      <w:rFonts w:cs="Times New Roman"/>
                      <w:color w:val="auto"/>
                      <w:sz w:val="18"/>
                      <w:szCs w:val="18"/>
                    </w:rPr>
                  </w:pPr>
                  <w:r>
                    <w:rPr>
                      <w:rFonts w:cs="Times New Roman"/>
                      <w:color w:val="auto"/>
                      <w:sz w:val="18"/>
                      <w:szCs w:val="18"/>
                    </w:rPr>
                    <w:t>治理措施</w:t>
                  </w:r>
                </w:p>
              </w:tc>
              <w:tc>
                <w:tcPr>
                  <w:tcW w:w="1940" w:type="dxa"/>
                  <w:vAlign w:val="center"/>
                </w:tcPr>
                <w:p>
                  <w:pPr>
                    <w:jc w:val="center"/>
                    <w:rPr>
                      <w:rFonts w:cs="Times New Roman"/>
                      <w:color w:val="auto"/>
                      <w:sz w:val="18"/>
                      <w:szCs w:val="18"/>
                    </w:rPr>
                  </w:pPr>
                  <w:r>
                    <w:rPr>
                      <w:rFonts w:cs="Times New Roman"/>
                      <w:color w:val="auto"/>
                      <w:sz w:val="18"/>
                      <w:szCs w:val="18"/>
                    </w:rPr>
                    <w:t>治理后源强dB(A)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92" w:type="dxa"/>
                  <w:vAlign w:val="center"/>
                </w:tcPr>
                <w:p>
                  <w:pPr>
                    <w:jc w:val="center"/>
                    <w:rPr>
                      <w:rFonts w:cs="Times New Roman"/>
                      <w:color w:val="auto"/>
                      <w:sz w:val="18"/>
                      <w:szCs w:val="18"/>
                    </w:rPr>
                  </w:pPr>
                  <w:r>
                    <w:rPr>
                      <w:rFonts w:cs="Times New Roman"/>
                      <w:color w:val="auto"/>
                      <w:sz w:val="18"/>
                      <w:szCs w:val="18"/>
                    </w:rPr>
                    <w:t>1</w:t>
                  </w:r>
                </w:p>
              </w:tc>
              <w:tc>
                <w:tcPr>
                  <w:tcW w:w="1782" w:type="dxa"/>
                  <w:vAlign w:val="center"/>
                </w:tcPr>
                <w:p>
                  <w:pPr>
                    <w:tabs>
                      <w:tab w:val="left" w:pos="540"/>
                    </w:tabs>
                    <w:jc w:val="center"/>
                    <w:rPr>
                      <w:rFonts w:cs="Times New Roman"/>
                      <w:color w:val="auto"/>
                      <w:sz w:val="18"/>
                      <w:szCs w:val="18"/>
                    </w:rPr>
                  </w:pPr>
                  <w:r>
                    <w:rPr>
                      <w:rFonts w:hint="eastAsia" w:cs="Times New Roman"/>
                      <w:color w:val="auto"/>
                      <w:sz w:val="18"/>
                      <w:szCs w:val="18"/>
                    </w:rPr>
                    <w:t>气动升降乳化机</w:t>
                  </w:r>
                </w:p>
              </w:tc>
              <w:tc>
                <w:tcPr>
                  <w:tcW w:w="1155" w:type="dxa"/>
                  <w:vAlign w:val="center"/>
                </w:tcPr>
                <w:p>
                  <w:pPr>
                    <w:jc w:val="center"/>
                    <w:rPr>
                      <w:rFonts w:cs="Times New Roman"/>
                      <w:color w:val="auto"/>
                      <w:sz w:val="18"/>
                      <w:szCs w:val="18"/>
                    </w:rPr>
                  </w:pPr>
                  <w:r>
                    <w:rPr>
                      <w:rFonts w:hint="eastAsia" w:cs="Times New Roman"/>
                      <w:color w:val="auto"/>
                      <w:sz w:val="18"/>
                      <w:szCs w:val="18"/>
                    </w:rPr>
                    <w:t>65</w:t>
                  </w:r>
                </w:p>
              </w:tc>
              <w:tc>
                <w:tcPr>
                  <w:tcW w:w="3017" w:type="dxa"/>
                  <w:vAlign w:val="center"/>
                </w:tcPr>
                <w:p>
                  <w:pPr>
                    <w:jc w:val="center"/>
                    <w:rPr>
                      <w:rFonts w:cs="Times New Roman"/>
                      <w:color w:val="auto"/>
                      <w:sz w:val="18"/>
                      <w:szCs w:val="18"/>
                    </w:rPr>
                  </w:pPr>
                  <w:r>
                    <w:rPr>
                      <w:rFonts w:cs="Times New Roman"/>
                      <w:color w:val="auto"/>
                      <w:sz w:val="18"/>
                      <w:szCs w:val="18"/>
                    </w:rPr>
                    <w:t>基础减振、厂房隔声</w:t>
                  </w:r>
                </w:p>
              </w:tc>
              <w:tc>
                <w:tcPr>
                  <w:tcW w:w="1940" w:type="dxa"/>
                  <w:vAlign w:val="center"/>
                </w:tcPr>
                <w:p>
                  <w:pPr>
                    <w:jc w:val="center"/>
                    <w:rPr>
                      <w:rFonts w:cs="Times New Roman"/>
                      <w:color w:val="auto"/>
                      <w:sz w:val="18"/>
                      <w:szCs w:val="18"/>
                    </w:rPr>
                  </w:pPr>
                  <w:r>
                    <w:rPr>
                      <w:rFonts w:hint="eastAsia" w:cs="Times New Roman"/>
                      <w:color w:val="auto"/>
                      <w:sz w:val="18"/>
                      <w:szCs w:val="18"/>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cs="Times New Roman"/>
                      <w:color w:val="auto"/>
                      <w:sz w:val="18"/>
                      <w:szCs w:val="18"/>
                    </w:rPr>
                  </w:pPr>
                  <w:r>
                    <w:rPr>
                      <w:rFonts w:cs="Times New Roman"/>
                      <w:color w:val="auto"/>
                      <w:sz w:val="18"/>
                      <w:szCs w:val="18"/>
                    </w:rPr>
                    <w:t>2</w:t>
                  </w:r>
                </w:p>
              </w:tc>
              <w:tc>
                <w:tcPr>
                  <w:tcW w:w="1782" w:type="dxa"/>
                  <w:vAlign w:val="center"/>
                </w:tcPr>
                <w:p>
                  <w:pPr>
                    <w:tabs>
                      <w:tab w:val="left" w:pos="540"/>
                    </w:tabs>
                    <w:jc w:val="center"/>
                    <w:rPr>
                      <w:rFonts w:cs="Times New Roman"/>
                      <w:color w:val="auto"/>
                      <w:sz w:val="18"/>
                      <w:szCs w:val="18"/>
                    </w:rPr>
                  </w:pPr>
                  <w:r>
                    <w:rPr>
                      <w:rFonts w:hint="eastAsia" w:cs="Times New Roman"/>
                      <w:color w:val="auto"/>
                      <w:sz w:val="18"/>
                      <w:szCs w:val="18"/>
                    </w:rPr>
                    <w:t>半自动涂覆机</w:t>
                  </w:r>
                </w:p>
              </w:tc>
              <w:tc>
                <w:tcPr>
                  <w:tcW w:w="1155" w:type="dxa"/>
                  <w:vAlign w:val="center"/>
                </w:tcPr>
                <w:p>
                  <w:pPr>
                    <w:jc w:val="center"/>
                    <w:rPr>
                      <w:rFonts w:cs="Times New Roman"/>
                      <w:color w:val="auto"/>
                      <w:sz w:val="18"/>
                      <w:szCs w:val="18"/>
                    </w:rPr>
                  </w:pPr>
                  <w:r>
                    <w:rPr>
                      <w:rFonts w:hint="eastAsia" w:cs="Times New Roman"/>
                      <w:color w:val="auto"/>
                      <w:sz w:val="18"/>
                      <w:szCs w:val="18"/>
                    </w:rPr>
                    <w:t>65</w:t>
                  </w:r>
                </w:p>
              </w:tc>
              <w:tc>
                <w:tcPr>
                  <w:tcW w:w="3017" w:type="dxa"/>
                  <w:vAlign w:val="center"/>
                </w:tcPr>
                <w:p>
                  <w:pPr>
                    <w:jc w:val="center"/>
                    <w:rPr>
                      <w:rFonts w:cs="Times New Roman"/>
                      <w:color w:val="auto"/>
                      <w:sz w:val="18"/>
                      <w:szCs w:val="18"/>
                    </w:rPr>
                  </w:pPr>
                  <w:r>
                    <w:rPr>
                      <w:rFonts w:cs="Times New Roman"/>
                      <w:color w:val="auto"/>
                      <w:sz w:val="18"/>
                      <w:szCs w:val="18"/>
                    </w:rPr>
                    <w:t>基础减振、厂房隔声</w:t>
                  </w:r>
                </w:p>
              </w:tc>
              <w:tc>
                <w:tcPr>
                  <w:tcW w:w="1940" w:type="dxa"/>
                  <w:vAlign w:val="center"/>
                </w:tcPr>
                <w:p>
                  <w:pPr>
                    <w:jc w:val="center"/>
                    <w:rPr>
                      <w:rFonts w:cs="Times New Roman"/>
                      <w:color w:val="auto"/>
                      <w:sz w:val="18"/>
                      <w:szCs w:val="18"/>
                    </w:rPr>
                  </w:pPr>
                  <w:r>
                    <w:rPr>
                      <w:rFonts w:cs="Times New Roman"/>
                      <w:color w:val="auto"/>
                      <w:sz w:val="18"/>
                      <w:szCs w:val="18"/>
                    </w:rPr>
                    <w:t>4</w:t>
                  </w:r>
                  <w:r>
                    <w:rPr>
                      <w:rFonts w:hint="eastAsia" w:cs="Times New Roman"/>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cs="Times New Roman"/>
                      <w:color w:val="auto"/>
                      <w:sz w:val="18"/>
                      <w:szCs w:val="18"/>
                    </w:rPr>
                  </w:pPr>
                  <w:r>
                    <w:rPr>
                      <w:rFonts w:cs="Times New Roman"/>
                      <w:color w:val="auto"/>
                      <w:sz w:val="18"/>
                      <w:szCs w:val="18"/>
                    </w:rPr>
                    <w:t>3</w:t>
                  </w:r>
                </w:p>
              </w:tc>
              <w:tc>
                <w:tcPr>
                  <w:tcW w:w="1782" w:type="dxa"/>
                  <w:vAlign w:val="center"/>
                </w:tcPr>
                <w:p>
                  <w:pPr>
                    <w:tabs>
                      <w:tab w:val="left" w:pos="540"/>
                    </w:tabs>
                    <w:jc w:val="center"/>
                    <w:rPr>
                      <w:rFonts w:cs="Times New Roman"/>
                      <w:color w:val="auto"/>
                      <w:sz w:val="18"/>
                      <w:szCs w:val="18"/>
                    </w:rPr>
                  </w:pPr>
                  <w:r>
                    <w:rPr>
                      <w:rFonts w:hint="eastAsia" w:cs="Times New Roman"/>
                      <w:color w:val="auto"/>
                      <w:sz w:val="18"/>
                      <w:szCs w:val="18"/>
                    </w:rPr>
                    <w:t>纯净水机</w:t>
                  </w:r>
                </w:p>
              </w:tc>
              <w:tc>
                <w:tcPr>
                  <w:tcW w:w="1155" w:type="dxa"/>
                  <w:vAlign w:val="center"/>
                </w:tcPr>
                <w:p>
                  <w:pPr>
                    <w:jc w:val="center"/>
                    <w:rPr>
                      <w:rFonts w:cs="Times New Roman"/>
                      <w:color w:val="auto"/>
                      <w:sz w:val="18"/>
                      <w:szCs w:val="18"/>
                    </w:rPr>
                  </w:pPr>
                  <w:r>
                    <w:rPr>
                      <w:rFonts w:hint="eastAsia" w:cs="Times New Roman"/>
                      <w:color w:val="auto"/>
                      <w:sz w:val="18"/>
                      <w:szCs w:val="18"/>
                    </w:rPr>
                    <w:t>65</w:t>
                  </w:r>
                </w:p>
              </w:tc>
              <w:tc>
                <w:tcPr>
                  <w:tcW w:w="3017" w:type="dxa"/>
                  <w:vAlign w:val="center"/>
                </w:tcPr>
                <w:p>
                  <w:pPr>
                    <w:jc w:val="center"/>
                    <w:rPr>
                      <w:rFonts w:cs="Times New Roman"/>
                      <w:color w:val="auto"/>
                      <w:sz w:val="18"/>
                      <w:szCs w:val="18"/>
                    </w:rPr>
                  </w:pPr>
                  <w:r>
                    <w:rPr>
                      <w:rFonts w:cs="Times New Roman"/>
                      <w:color w:val="auto"/>
                      <w:sz w:val="18"/>
                      <w:szCs w:val="18"/>
                    </w:rPr>
                    <w:t>基础减振、厂房隔声</w:t>
                  </w:r>
                </w:p>
              </w:tc>
              <w:tc>
                <w:tcPr>
                  <w:tcW w:w="1940" w:type="dxa"/>
                  <w:vAlign w:val="center"/>
                </w:tcPr>
                <w:p>
                  <w:pPr>
                    <w:jc w:val="center"/>
                    <w:rPr>
                      <w:rFonts w:cs="Times New Roman"/>
                      <w:color w:val="auto"/>
                      <w:sz w:val="18"/>
                      <w:szCs w:val="18"/>
                    </w:rPr>
                  </w:pPr>
                  <w:r>
                    <w:rPr>
                      <w:rFonts w:cs="Times New Roman"/>
                      <w:color w:val="auto"/>
                      <w:sz w:val="18"/>
                      <w:szCs w:val="18"/>
                    </w:rPr>
                    <w:t>4</w:t>
                  </w:r>
                  <w:r>
                    <w:rPr>
                      <w:rFonts w:hint="eastAsia" w:cs="Times New Roman"/>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cs="Times New Roman"/>
                      <w:color w:val="auto"/>
                      <w:sz w:val="18"/>
                      <w:szCs w:val="18"/>
                    </w:rPr>
                  </w:pPr>
                  <w:r>
                    <w:rPr>
                      <w:rFonts w:cs="Times New Roman"/>
                      <w:color w:val="auto"/>
                      <w:sz w:val="18"/>
                      <w:szCs w:val="18"/>
                    </w:rPr>
                    <w:t>6</w:t>
                  </w:r>
                </w:p>
              </w:tc>
              <w:tc>
                <w:tcPr>
                  <w:tcW w:w="1782" w:type="dxa"/>
                  <w:vAlign w:val="center"/>
                </w:tcPr>
                <w:p>
                  <w:pPr>
                    <w:tabs>
                      <w:tab w:val="left" w:pos="540"/>
                    </w:tabs>
                    <w:jc w:val="center"/>
                    <w:rPr>
                      <w:rFonts w:cs="Times New Roman"/>
                      <w:color w:val="auto"/>
                      <w:kern w:val="1"/>
                      <w:sz w:val="18"/>
                      <w:szCs w:val="18"/>
                    </w:rPr>
                  </w:pPr>
                  <w:r>
                    <w:rPr>
                      <w:rFonts w:cs="Times New Roman"/>
                      <w:color w:val="auto"/>
                      <w:sz w:val="18"/>
                      <w:szCs w:val="18"/>
                    </w:rPr>
                    <w:t>风机</w:t>
                  </w:r>
                </w:p>
              </w:tc>
              <w:tc>
                <w:tcPr>
                  <w:tcW w:w="1155" w:type="dxa"/>
                  <w:vAlign w:val="center"/>
                </w:tcPr>
                <w:p>
                  <w:pPr>
                    <w:jc w:val="center"/>
                    <w:rPr>
                      <w:rFonts w:cs="Times New Roman"/>
                      <w:color w:val="auto"/>
                      <w:sz w:val="18"/>
                      <w:szCs w:val="18"/>
                    </w:rPr>
                  </w:pPr>
                  <w:r>
                    <w:rPr>
                      <w:rFonts w:cs="Times New Roman"/>
                      <w:color w:val="auto"/>
                      <w:sz w:val="18"/>
                      <w:szCs w:val="18"/>
                    </w:rPr>
                    <w:t>90</w:t>
                  </w:r>
                </w:p>
              </w:tc>
              <w:tc>
                <w:tcPr>
                  <w:tcW w:w="3017" w:type="dxa"/>
                  <w:vAlign w:val="center"/>
                </w:tcPr>
                <w:p>
                  <w:pPr>
                    <w:jc w:val="center"/>
                    <w:rPr>
                      <w:rFonts w:cs="Times New Roman"/>
                      <w:color w:val="auto"/>
                      <w:sz w:val="18"/>
                      <w:szCs w:val="18"/>
                    </w:rPr>
                  </w:pPr>
                  <w:r>
                    <w:rPr>
                      <w:rFonts w:cs="Times New Roman"/>
                      <w:color w:val="auto"/>
                      <w:sz w:val="18"/>
                      <w:szCs w:val="18"/>
                    </w:rPr>
                    <w:t>基础减振、消声、厂房隔声</w:t>
                  </w:r>
                </w:p>
              </w:tc>
              <w:tc>
                <w:tcPr>
                  <w:tcW w:w="1940" w:type="dxa"/>
                  <w:vAlign w:val="center"/>
                </w:tcPr>
                <w:p>
                  <w:pPr>
                    <w:jc w:val="center"/>
                    <w:rPr>
                      <w:rFonts w:cs="Times New Roman"/>
                      <w:color w:val="auto"/>
                      <w:sz w:val="18"/>
                      <w:szCs w:val="18"/>
                    </w:rPr>
                  </w:pPr>
                  <w:r>
                    <w:rPr>
                      <w:rFonts w:cs="Times New Roman"/>
                      <w:color w:val="auto"/>
                      <w:sz w:val="18"/>
                      <w:szCs w:val="18"/>
                    </w:rPr>
                    <w:t>60</w:t>
                  </w:r>
                </w:p>
              </w:tc>
            </w:tr>
          </w:tbl>
          <w:p>
            <w:pPr>
              <w:tabs>
                <w:tab w:val="left" w:pos="5969"/>
              </w:tabs>
              <w:spacing w:line="360" w:lineRule="auto"/>
              <w:rPr>
                <w:rFonts w:eastAsia="黑体" w:cs="Times New Roman"/>
                <w:color w:val="auto"/>
                <w:sz w:val="21"/>
                <w:szCs w:val="21"/>
              </w:rPr>
            </w:pPr>
            <w:r>
              <w:rPr>
                <w:rFonts w:eastAsia="黑体" w:cs="Times New Roman"/>
                <w:color w:val="auto"/>
                <w:szCs w:val="28"/>
              </w:rPr>
              <w:t>五、拟建工程完成后污染物排放情况汇总</w:t>
            </w:r>
            <w:r>
              <w:rPr>
                <w:rFonts w:eastAsia="黑体" w:cs="Times New Roman"/>
                <w:color w:val="auto"/>
                <w:szCs w:val="28"/>
              </w:rPr>
              <w:tab/>
            </w:r>
          </w:p>
          <w:p>
            <w:pPr>
              <w:pStyle w:val="21"/>
              <w:ind w:firstLine="420"/>
              <w:rPr>
                <w:color w:val="auto"/>
              </w:rPr>
            </w:pPr>
            <w:r>
              <w:rPr>
                <w:rFonts w:hint="eastAsia"/>
                <w:color w:val="auto"/>
              </w:rPr>
              <w:t xml:space="preserve">            </w:t>
            </w:r>
            <w:r>
              <w:rPr>
                <w:color w:val="auto"/>
              </w:rPr>
              <w:t>本项目污染物排放汇总情况</w:t>
            </w:r>
          </w:p>
          <w:tbl>
            <w:tblPr>
              <w:tblStyle w:val="26"/>
              <w:tblW w:w="871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74" w:type="dxa"/>
                <w:left w:w="108" w:type="dxa"/>
                <w:bottom w:w="74" w:type="dxa"/>
                <w:right w:w="108" w:type="dxa"/>
              </w:tblCellMar>
            </w:tblPr>
            <w:tblGrid>
              <w:gridCol w:w="1010"/>
              <w:gridCol w:w="2459"/>
              <w:gridCol w:w="1762"/>
              <w:gridCol w:w="1753"/>
              <w:gridCol w:w="17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42" w:hRule="atLeast"/>
              </w:trPr>
              <w:tc>
                <w:tcPr>
                  <w:tcW w:w="1010" w:type="dxa"/>
                  <w:vAlign w:val="center"/>
                </w:tcPr>
                <w:p>
                  <w:pPr>
                    <w:adjustRightInd w:val="0"/>
                    <w:snapToGrid w:val="0"/>
                    <w:jc w:val="center"/>
                    <w:rPr>
                      <w:rFonts w:cs="Times New Roman"/>
                      <w:color w:val="auto"/>
                      <w:sz w:val="18"/>
                      <w:szCs w:val="18"/>
                    </w:rPr>
                  </w:pPr>
                  <w:r>
                    <w:rPr>
                      <w:rFonts w:cs="Times New Roman"/>
                      <w:color w:val="auto"/>
                      <w:sz w:val="18"/>
                      <w:szCs w:val="18"/>
                    </w:rPr>
                    <w:t>项目</w:t>
                  </w: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污染物</w:t>
                  </w:r>
                </w:p>
              </w:tc>
              <w:tc>
                <w:tcPr>
                  <w:tcW w:w="1762" w:type="dxa"/>
                  <w:vAlign w:val="center"/>
                </w:tcPr>
                <w:p>
                  <w:pPr>
                    <w:adjustRightInd w:val="0"/>
                    <w:snapToGrid w:val="0"/>
                    <w:jc w:val="center"/>
                    <w:rPr>
                      <w:rFonts w:cs="Times New Roman"/>
                      <w:color w:val="auto"/>
                      <w:sz w:val="18"/>
                      <w:szCs w:val="18"/>
                    </w:rPr>
                  </w:pPr>
                  <w:r>
                    <w:rPr>
                      <w:rFonts w:cs="Times New Roman"/>
                      <w:color w:val="auto"/>
                      <w:sz w:val="18"/>
                      <w:szCs w:val="18"/>
                    </w:rPr>
                    <w:t>产生量</w:t>
                  </w:r>
                </w:p>
              </w:tc>
              <w:tc>
                <w:tcPr>
                  <w:tcW w:w="1753" w:type="dxa"/>
                  <w:vAlign w:val="center"/>
                </w:tcPr>
                <w:p>
                  <w:pPr>
                    <w:adjustRightInd w:val="0"/>
                    <w:snapToGrid w:val="0"/>
                    <w:jc w:val="center"/>
                    <w:rPr>
                      <w:rFonts w:cs="Times New Roman"/>
                      <w:color w:val="auto"/>
                      <w:sz w:val="18"/>
                      <w:szCs w:val="18"/>
                    </w:rPr>
                  </w:pPr>
                  <w:r>
                    <w:rPr>
                      <w:rFonts w:cs="Times New Roman"/>
                      <w:color w:val="auto"/>
                      <w:sz w:val="18"/>
                      <w:szCs w:val="18"/>
                    </w:rPr>
                    <w:t>削减量</w:t>
                  </w:r>
                </w:p>
              </w:tc>
              <w:tc>
                <w:tcPr>
                  <w:tcW w:w="1731" w:type="dxa"/>
                  <w:vAlign w:val="center"/>
                </w:tcPr>
                <w:p>
                  <w:pPr>
                    <w:adjustRightInd w:val="0"/>
                    <w:snapToGrid w:val="0"/>
                    <w:jc w:val="center"/>
                    <w:rPr>
                      <w:rFonts w:cs="Times New Roman"/>
                      <w:color w:val="auto"/>
                      <w:sz w:val="18"/>
                      <w:szCs w:val="18"/>
                    </w:rPr>
                  </w:pPr>
                  <w:r>
                    <w:rPr>
                      <w:rFonts w:cs="Times New Roman"/>
                      <w:color w:val="auto"/>
                      <w:sz w:val="18"/>
                      <w:szCs w:val="18"/>
                    </w:rPr>
                    <w:t>排放量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74" w:type="dxa"/>
                  <w:left w:w="108" w:type="dxa"/>
                  <w:bottom w:w="74" w:type="dxa"/>
                  <w:right w:w="108" w:type="dxa"/>
                </w:tblCellMar>
              </w:tblPrEx>
              <w:trPr>
                <w:trHeight w:val="286" w:hRule="atLeast"/>
              </w:trPr>
              <w:tc>
                <w:tcPr>
                  <w:tcW w:w="1010" w:type="dxa"/>
                  <w:vMerge w:val="restart"/>
                  <w:vAlign w:val="center"/>
                </w:tcPr>
                <w:p>
                  <w:pPr>
                    <w:adjustRightInd w:val="0"/>
                    <w:snapToGrid w:val="0"/>
                    <w:jc w:val="center"/>
                    <w:rPr>
                      <w:rFonts w:cs="Times New Roman"/>
                      <w:color w:val="auto"/>
                      <w:sz w:val="18"/>
                      <w:szCs w:val="18"/>
                    </w:rPr>
                  </w:pPr>
                  <w:r>
                    <w:rPr>
                      <w:rFonts w:cs="Times New Roman"/>
                      <w:color w:val="auto"/>
                      <w:sz w:val="18"/>
                      <w:szCs w:val="18"/>
                    </w:rPr>
                    <w:t>废水</w:t>
                  </w: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废水量（m</w:t>
                  </w:r>
                  <w:r>
                    <w:rPr>
                      <w:rFonts w:cs="Times New Roman"/>
                      <w:color w:val="auto"/>
                      <w:sz w:val="18"/>
                      <w:szCs w:val="18"/>
                      <w:vertAlign w:val="superscript"/>
                    </w:rPr>
                    <w:t>3</w:t>
                  </w:r>
                  <w:r>
                    <w:rPr>
                      <w:rFonts w:cs="Times New Roman"/>
                      <w:color w:val="auto"/>
                      <w:sz w:val="18"/>
                      <w:szCs w:val="18"/>
                    </w:rPr>
                    <w: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72</w:t>
                  </w:r>
                </w:p>
              </w:tc>
              <w:tc>
                <w:tcPr>
                  <w:tcW w:w="1753" w:type="dxa"/>
                  <w:vAlign w:val="center"/>
                </w:tcPr>
                <w:p>
                  <w:pPr>
                    <w:adjustRightInd w:val="0"/>
                    <w:snapToGrid w:val="0"/>
                    <w:jc w:val="center"/>
                    <w:rPr>
                      <w:rFonts w:cs="Times New Roman"/>
                      <w:color w:val="auto"/>
                      <w:sz w:val="18"/>
                      <w:szCs w:val="18"/>
                    </w:rPr>
                  </w:pPr>
                  <w:r>
                    <w:rPr>
                      <w:rFonts w:cs="Times New Roman"/>
                      <w:color w:val="auto"/>
                      <w:sz w:val="18"/>
                      <w:szCs w:val="18"/>
                    </w:rPr>
                    <w:t>0</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98"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COD（t/a）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0.0216</w:t>
                  </w:r>
                </w:p>
              </w:tc>
              <w:tc>
                <w:tcPr>
                  <w:tcW w:w="1753" w:type="dxa"/>
                  <w:vAlign w:val="center"/>
                </w:tcPr>
                <w:p>
                  <w:pPr>
                    <w:adjustRightInd w:val="0"/>
                    <w:snapToGrid w:val="0"/>
                    <w:jc w:val="center"/>
                    <w:rPr>
                      <w:rFonts w:cs="Times New Roman"/>
                      <w:color w:val="auto"/>
                      <w:sz w:val="18"/>
                      <w:szCs w:val="18"/>
                    </w:rPr>
                  </w:pPr>
                  <w:r>
                    <w:rPr>
                      <w:rFonts w:hint="eastAsia" w:cs="Times New Roman"/>
                      <w:color w:val="auto"/>
                      <w:sz w:val="18"/>
                      <w:szCs w:val="18"/>
                    </w:rPr>
                    <w:t>0.0187</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0.0029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氨氮（t/a）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0.0018</w:t>
                  </w:r>
                </w:p>
              </w:tc>
              <w:tc>
                <w:tcPr>
                  <w:tcW w:w="1753" w:type="dxa"/>
                  <w:vAlign w:val="center"/>
                </w:tcPr>
                <w:p>
                  <w:pPr>
                    <w:adjustRightInd w:val="0"/>
                    <w:snapToGrid w:val="0"/>
                    <w:jc w:val="center"/>
                    <w:rPr>
                      <w:rFonts w:cs="Times New Roman"/>
                      <w:color w:val="auto"/>
                      <w:sz w:val="18"/>
                      <w:szCs w:val="18"/>
                    </w:rPr>
                  </w:pPr>
                  <w:r>
                    <w:rPr>
                      <w:rFonts w:hint="eastAsia" w:cs="Times New Roman"/>
                      <w:color w:val="auto"/>
                      <w:sz w:val="18"/>
                      <w:szCs w:val="18"/>
                    </w:rPr>
                    <w:t>0.0017</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03"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SS（t/a）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0.018</w:t>
                  </w:r>
                </w:p>
              </w:tc>
              <w:tc>
                <w:tcPr>
                  <w:tcW w:w="1753" w:type="dxa"/>
                  <w:vAlign w:val="center"/>
                </w:tcPr>
                <w:p>
                  <w:pPr>
                    <w:adjustRightInd w:val="0"/>
                    <w:snapToGrid w:val="0"/>
                    <w:jc w:val="center"/>
                    <w:rPr>
                      <w:rFonts w:cs="Times New Roman"/>
                      <w:color w:val="auto"/>
                      <w:sz w:val="18"/>
                      <w:szCs w:val="18"/>
                    </w:rPr>
                  </w:pPr>
                  <w:r>
                    <w:rPr>
                      <w:rFonts w:hint="eastAsia" w:cs="Times New Roman"/>
                      <w:color w:val="auto"/>
                      <w:sz w:val="18"/>
                      <w:szCs w:val="18"/>
                    </w:rPr>
                    <w:t>0.0173</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81"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总磷（t/a）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0.0002</w:t>
                  </w:r>
                </w:p>
              </w:tc>
              <w:tc>
                <w:tcPr>
                  <w:tcW w:w="1753" w:type="dxa"/>
                  <w:vAlign w:val="center"/>
                </w:tcPr>
                <w:p>
                  <w:pPr>
                    <w:adjustRightInd w:val="0"/>
                    <w:snapToGrid w:val="0"/>
                    <w:jc w:val="center"/>
                    <w:rPr>
                      <w:rFonts w:cs="Times New Roman"/>
                      <w:color w:val="auto"/>
                      <w:sz w:val="18"/>
                      <w:szCs w:val="18"/>
                    </w:rPr>
                  </w:pPr>
                  <w:r>
                    <w:rPr>
                      <w:rFonts w:hint="eastAsia" w:cs="Times New Roman"/>
                      <w:color w:val="auto"/>
                      <w:sz w:val="18"/>
                      <w:szCs w:val="18"/>
                    </w:rPr>
                    <w:t>0.00017</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0.00003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8" w:hRule="atLeast"/>
              </w:trPr>
              <w:tc>
                <w:tcPr>
                  <w:tcW w:w="1010" w:type="dxa"/>
                  <w:vMerge w:val="restart"/>
                  <w:vAlign w:val="center"/>
                </w:tcPr>
                <w:p>
                  <w:pPr>
                    <w:adjustRightInd w:val="0"/>
                    <w:snapToGrid w:val="0"/>
                    <w:jc w:val="center"/>
                    <w:rPr>
                      <w:rFonts w:cs="Times New Roman"/>
                      <w:color w:val="auto"/>
                      <w:sz w:val="18"/>
                      <w:szCs w:val="18"/>
                    </w:rPr>
                  </w:pPr>
                  <w:r>
                    <w:rPr>
                      <w:rFonts w:cs="Times New Roman"/>
                      <w:color w:val="auto"/>
                      <w:sz w:val="18"/>
                      <w:szCs w:val="18"/>
                    </w:rPr>
                    <w:t>废气</w:t>
                  </w:r>
                </w:p>
              </w:tc>
              <w:tc>
                <w:tcPr>
                  <w:tcW w:w="2459" w:type="dxa"/>
                  <w:vAlign w:val="center"/>
                </w:tcPr>
                <w:p>
                  <w:pPr>
                    <w:adjustRightInd w:val="0"/>
                    <w:snapToGrid w:val="0"/>
                    <w:jc w:val="center"/>
                    <w:rPr>
                      <w:rFonts w:cs="Times New Roman"/>
                      <w:color w:val="auto"/>
                      <w:sz w:val="18"/>
                      <w:szCs w:val="18"/>
                    </w:rPr>
                  </w:pPr>
                  <w:r>
                    <w:rPr>
                      <w:rFonts w:hint="eastAsia" w:cs="Times New Roman"/>
                      <w:color w:val="auto"/>
                      <w:sz w:val="18"/>
                      <w:szCs w:val="18"/>
                    </w:rPr>
                    <w:t>废气量</w:t>
                  </w:r>
                  <w:r>
                    <w:rPr>
                      <w:rFonts w:cs="Times New Roman"/>
                      <w:color w:val="auto"/>
                      <w:sz w:val="18"/>
                      <w:szCs w:val="18"/>
                    </w:rPr>
                    <w:t>（</w:t>
                  </w:r>
                  <w:r>
                    <w:rPr>
                      <w:rFonts w:hint="eastAsia" w:cs="Times New Roman"/>
                      <w:color w:val="auto"/>
                      <w:sz w:val="18"/>
                      <w:szCs w:val="18"/>
                    </w:rPr>
                    <w:t>万</w:t>
                  </w:r>
                  <w:r>
                    <w:rPr>
                      <w:rFonts w:cs="Times New Roman"/>
                      <w:color w:val="auto"/>
                      <w:sz w:val="18"/>
                      <w:szCs w:val="18"/>
                    </w:rPr>
                    <w:t>m</w:t>
                  </w:r>
                  <w:r>
                    <w:rPr>
                      <w:rFonts w:cs="Times New Roman"/>
                      <w:color w:val="auto"/>
                      <w:sz w:val="18"/>
                      <w:szCs w:val="18"/>
                      <w:vertAlign w:val="superscript"/>
                    </w:rPr>
                    <w:t>3</w:t>
                  </w:r>
                  <w:r>
                    <w:rPr>
                      <w:rFonts w:cs="Times New Roman"/>
                      <w:color w:val="auto"/>
                      <w:sz w:val="18"/>
                      <w:szCs w:val="18"/>
                    </w:rPr>
                    <w: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780</w:t>
                  </w:r>
                </w:p>
              </w:tc>
              <w:tc>
                <w:tcPr>
                  <w:tcW w:w="1753" w:type="dxa"/>
                  <w:vAlign w:val="center"/>
                </w:tcPr>
                <w:p>
                  <w:pPr>
                    <w:widowControl/>
                    <w:jc w:val="center"/>
                    <w:textAlignment w:val="center"/>
                    <w:rPr>
                      <w:rFonts w:cs="Times New Roman"/>
                      <w:color w:val="auto"/>
                      <w:sz w:val="18"/>
                      <w:szCs w:val="18"/>
                    </w:rPr>
                  </w:pPr>
                  <w:r>
                    <w:rPr>
                      <w:rFonts w:hint="eastAsia" w:cs="Times New Roman"/>
                      <w:color w:val="auto"/>
                      <w:kern w:val="0"/>
                      <w:sz w:val="18"/>
                      <w:szCs w:val="18"/>
                    </w:rPr>
                    <w:t>0</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780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hint="eastAsia" w:cs="Times New Roman"/>
                      <w:color w:val="auto"/>
                      <w:sz w:val="18"/>
                      <w:szCs w:val="18"/>
                    </w:rPr>
                    <w:t>颗粒物（t/a）</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0.084</w:t>
                  </w:r>
                </w:p>
              </w:tc>
              <w:tc>
                <w:tcPr>
                  <w:tcW w:w="1753" w:type="dxa"/>
                  <w:vAlign w:val="center"/>
                </w:tcPr>
                <w:p>
                  <w:pPr>
                    <w:widowControl/>
                    <w:jc w:val="center"/>
                    <w:textAlignment w:val="center"/>
                    <w:rPr>
                      <w:rFonts w:cs="Times New Roman"/>
                      <w:color w:val="auto"/>
                      <w:sz w:val="18"/>
                      <w:szCs w:val="18"/>
                    </w:rPr>
                  </w:pPr>
                  <w:r>
                    <w:rPr>
                      <w:rFonts w:hint="eastAsia" w:cs="Times New Roman"/>
                      <w:color w:val="auto"/>
                      <w:sz w:val="18"/>
                      <w:szCs w:val="18"/>
                    </w:rPr>
                    <w:t>0.0798</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0.0042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63"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0.047</w:t>
                  </w:r>
                </w:p>
              </w:tc>
              <w:tc>
                <w:tcPr>
                  <w:tcW w:w="1753" w:type="dxa"/>
                  <w:vAlign w:val="center"/>
                </w:tcPr>
                <w:p>
                  <w:pPr>
                    <w:widowControl/>
                    <w:jc w:val="center"/>
                    <w:textAlignment w:val="center"/>
                    <w:rPr>
                      <w:rFonts w:cs="Times New Roman"/>
                      <w:color w:val="auto"/>
                      <w:sz w:val="18"/>
                      <w:szCs w:val="18"/>
                    </w:rPr>
                  </w:pPr>
                  <w:r>
                    <w:rPr>
                      <w:rFonts w:hint="eastAsia" w:cs="Times New Roman"/>
                      <w:color w:val="auto"/>
                      <w:sz w:val="18"/>
                      <w:szCs w:val="18"/>
                    </w:rPr>
                    <w:t>0.0235</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0.0235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1010" w:type="dxa"/>
                  <w:vMerge w:val="restart"/>
                  <w:vAlign w:val="center"/>
                </w:tcPr>
                <w:p>
                  <w:pPr>
                    <w:adjustRightInd w:val="0"/>
                    <w:snapToGrid w:val="0"/>
                    <w:jc w:val="center"/>
                    <w:rPr>
                      <w:rFonts w:cs="Times New Roman"/>
                      <w:color w:val="auto"/>
                      <w:sz w:val="18"/>
                      <w:szCs w:val="18"/>
                    </w:rPr>
                  </w:pPr>
                  <w:r>
                    <w:rPr>
                      <w:rFonts w:cs="Times New Roman"/>
                      <w:color w:val="auto"/>
                      <w:sz w:val="18"/>
                      <w:szCs w:val="18"/>
                    </w:rPr>
                    <w:t>固体废物</w:t>
                  </w:r>
                </w:p>
              </w:tc>
              <w:tc>
                <w:tcPr>
                  <w:tcW w:w="2459" w:type="dxa"/>
                  <w:vAlign w:val="center"/>
                </w:tcPr>
                <w:p>
                  <w:pPr>
                    <w:adjustRightInd w:val="0"/>
                    <w:snapToGrid w:val="0"/>
                    <w:jc w:val="center"/>
                    <w:rPr>
                      <w:rFonts w:cs="Times New Roman"/>
                      <w:color w:val="auto"/>
                      <w:sz w:val="18"/>
                      <w:szCs w:val="18"/>
                    </w:rPr>
                  </w:pPr>
                  <w:r>
                    <w:rPr>
                      <w:rFonts w:cs="Times New Roman"/>
                      <w:color w:val="auto"/>
                      <w:sz w:val="18"/>
                      <w:szCs w:val="18"/>
                    </w:rPr>
                    <w:t>一般固废</w:t>
                  </w:r>
                </w:p>
              </w:tc>
              <w:tc>
                <w:tcPr>
                  <w:tcW w:w="1762" w:type="dxa"/>
                  <w:vAlign w:val="center"/>
                </w:tcPr>
                <w:p>
                  <w:pPr>
                    <w:adjustRightInd w:val="0"/>
                    <w:snapToGrid w:val="0"/>
                    <w:jc w:val="center"/>
                    <w:rPr>
                      <w:rFonts w:hint="default" w:eastAsia="宋体" w:cs="Times New Roman"/>
                      <w:color w:val="auto"/>
                      <w:sz w:val="18"/>
                      <w:szCs w:val="18"/>
                      <w:lang w:val="en-US" w:eastAsia="zh-CN"/>
                    </w:rPr>
                  </w:pPr>
                  <w:r>
                    <w:rPr>
                      <w:rFonts w:hint="eastAsia" w:cs="Times New Roman"/>
                      <w:color w:val="auto"/>
                      <w:sz w:val="18"/>
                      <w:szCs w:val="18"/>
                      <w:lang w:val="en-US" w:eastAsia="zh-CN"/>
                    </w:rPr>
                    <w:t>0.6</w:t>
                  </w:r>
                </w:p>
              </w:tc>
              <w:tc>
                <w:tcPr>
                  <w:tcW w:w="1753" w:type="dxa"/>
                  <w:vAlign w:val="center"/>
                </w:tcPr>
                <w:p>
                  <w:pPr>
                    <w:adjustRightInd w:val="0"/>
                    <w:snapToGrid w:val="0"/>
                    <w:jc w:val="center"/>
                    <w:rPr>
                      <w:rFonts w:hint="default" w:eastAsia="宋体" w:cs="Times New Roman"/>
                      <w:color w:val="auto"/>
                      <w:sz w:val="18"/>
                      <w:szCs w:val="18"/>
                      <w:lang w:val="en-US" w:eastAsia="zh-CN"/>
                    </w:rPr>
                  </w:pPr>
                  <w:r>
                    <w:rPr>
                      <w:rFonts w:hint="eastAsia" w:cs="Times New Roman"/>
                      <w:color w:val="auto"/>
                      <w:sz w:val="18"/>
                      <w:szCs w:val="18"/>
                      <w:lang w:val="en-US" w:eastAsia="zh-CN"/>
                    </w:rPr>
                    <w:t>0.6</w:t>
                  </w:r>
                </w:p>
              </w:tc>
              <w:tc>
                <w:tcPr>
                  <w:tcW w:w="1731" w:type="dxa"/>
                  <w:vAlign w:val="center"/>
                </w:tcPr>
                <w:p>
                  <w:pPr>
                    <w:adjustRightInd w:val="0"/>
                    <w:snapToGrid w:val="0"/>
                    <w:jc w:val="center"/>
                    <w:rPr>
                      <w:rFonts w:cs="Times New Roman"/>
                      <w:color w:val="auto"/>
                      <w:sz w:val="18"/>
                      <w:szCs w:val="18"/>
                    </w:rPr>
                  </w:pPr>
                  <w:r>
                    <w:rPr>
                      <w:rFonts w:cs="Times New Roman"/>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hint="eastAsia" w:cs="Times New Roman"/>
                      <w:color w:val="auto"/>
                      <w:sz w:val="18"/>
                      <w:szCs w:val="18"/>
                    </w:rPr>
                    <w:t>危险废物</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0.5</w:t>
                  </w:r>
                </w:p>
              </w:tc>
              <w:tc>
                <w:tcPr>
                  <w:tcW w:w="1753" w:type="dxa"/>
                  <w:vAlign w:val="center"/>
                </w:tcPr>
                <w:p>
                  <w:pPr>
                    <w:adjustRightInd w:val="0"/>
                    <w:snapToGrid w:val="0"/>
                    <w:jc w:val="center"/>
                    <w:rPr>
                      <w:rFonts w:cs="Times New Roman"/>
                      <w:color w:val="auto"/>
                      <w:sz w:val="18"/>
                      <w:szCs w:val="18"/>
                    </w:rPr>
                  </w:pPr>
                  <w:r>
                    <w:rPr>
                      <w:rFonts w:hint="eastAsia" w:cs="Times New Roman"/>
                      <w:color w:val="auto"/>
                      <w:sz w:val="18"/>
                      <w:szCs w:val="18"/>
                    </w:rPr>
                    <w:t>0.5</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1010" w:type="dxa"/>
                  <w:vMerge w:val="continue"/>
                  <w:vAlign w:val="center"/>
                </w:tcPr>
                <w:p>
                  <w:pPr>
                    <w:adjustRightInd w:val="0"/>
                    <w:snapToGrid w:val="0"/>
                    <w:jc w:val="center"/>
                    <w:rPr>
                      <w:rFonts w:cs="Times New Roman"/>
                      <w:color w:val="auto"/>
                      <w:sz w:val="18"/>
                      <w:szCs w:val="18"/>
                    </w:rPr>
                  </w:pPr>
                </w:p>
              </w:tc>
              <w:tc>
                <w:tcPr>
                  <w:tcW w:w="2459" w:type="dxa"/>
                  <w:vAlign w:val="center"/>
                </w:tcPr>
                <w:p>
                  <w:pPr>
                    <w:adjustRightInd w:val="0"/>
                    <w:snapToGrid w:val="0"/>
                    <w:jc w:val="center"/>
                    <w:rPr>
                      <w:rFonts w:cs="Times New Roman"/>
                      <w:color w:val="auto"/>
                      <w:sz w:val="18"/>
                      <w:szCs w:val="18"/>
                    </w:rPr>
                  </w:pPr>
                  <w:r>
                    <w:rPr>
                      <w:rFonts w:hint="eastAsia" w:cs="Times New Roman"/>
                      <w:color w:val="auto"/>
                      <w:sz w:val="18"/>
                      <w:szCs w:val="18"/>
                    </w:rPr>
                    <w:t>生活垃圾</w:t>
                  </w:r>
                </w:p>
              </w:tc>
              <w:tc>
                <w:tcPr>
                  <w:tcW w:w="1762" w:type="dxa"/>
                  <w:vAlign w:val="center"/>
                </w:tcPr>
                <w:p>
                  <w:pPr>
                    <w:adjustRightInd w:val="0"/>
                    <w:snapToGrid w:val="0"/>
                    <w:jc w:val="center"/>
                    <w:rPr>
                      <w:rFonts w:cs="Times New Roman"/>
                      <w:color w:val="auto"/>
                      <w:sz w:val="18"/>
                      <w:szCs w:val="18"/>
                    </w:rPr>
                  </w:pPr>
                  <w:r>
                    <w:rPr>
                      <w:rFonts w:hint="eastAsia" w:cs="Times New Roman"/>
                      <w:color w:val="auto"/>
                      <w:sz w:val="18"/>
                      <w:szCs w:val="18"/>
                    </w:rPr>
                    <w:t>1.5</w:t>
                  </w:r>
                </w:p>
              </w:tc>
              <w:tc>
                <w:tcPr>
                  <w:tcW w:w="1753" w:type="dxa"/>
                  <w:vAlign w:val="center"/>
                </w:tcPr>
                <w:p>
                  <w:pPr>
                    <w:adjustRightInd w:val="0"/>
                    <w:snapToGrid w:val="0"/>
                    <w:jc w:val="center"/>
                    <w:rPr>
                      <w:rFonts w:cs="Times New Roman"/>
                      <w:color w:val="auto"/>
                      <w:sz w:val="18"/>
                      <w:szCs w:val="18"/>
                    </w:rPr>
                  </w:pPr>
                  <w:r>
                    <w:rPr>
                      <w:rFonts w:hint="eastAsia" w:cs="Times New Roman"/>
                      <w:color w:val="auto"/>
                      <w:sz w:val="18"/>
                      <w:szCs w:val="18"/>
                    </w:rPr>
                    <w:t>1.5</w:t>
                  </w:r>
                </w:p>
              </w:tc>
              <w:tc>
                <w:tcPr>
                  <w:tcW w:w="1731" w:type="dxa"/>
                  <w:vAlign w:val="center"/>
                </w:tcPr>
                <w:p>
                  <w:pPr>
                    <w:adjustRightInd w:val="0"/>
                    <w:snapToGrid w:val="0"/>
                    <w:jc w:val="center"/>
                    <w:rPr>
                      <w:rFonts w:cs="Times New Roman"/>
                      <w:color w:val="auto"/>
                      <w:sz w:val="18"/>
                      <w:szCs w:val="18"/>
                    </w:rPr>
                  </w:pPr>
                  <w:r>
                    <w:rPr>
                      <w:rFonts w:hint="eastAsia" w:cs="Times New Roman"/>
                      <w:color w:val="auto"/>
                      <w:sz w:val="18"/>
                      <w:szCs w:val="18"/>
                    </w:rPr>
                    <w:t>0</w:t>
                  </w:r>
                </w:p>
              </w:tc>
            </w:tr>
          </w:tbl>
          <w:p>
            <w:pPr>
              <w:spacing w:line="440" w:lineRule="exact"/>
              <w:ind w:firstLine="560" w:firstLineChars="200"/>
              <w:rPr>
                <w:rFonts w:cs="Times New Roman"/>
                <w:color w:val="auto"/>
                <w:kern w:val="0"/>
                <w:szCs w:val="24"/>
              </w:rPr>
            </w:pPr>
          </w:p>
          <w:p>
            <w:pPr>
              <w:pStyle w:val="33"/>
              <w:jc w:val="both"/>
              <w:rPr>
                <w:color w:val="auto"/>
              </w:rPr>
            </w:pPr>
          </w:p>
        </w:tc>
      </w:tr>
    </w:tbl>
    <w:p>
      <w:pPr>
        <w:spacing w:line="360" w:lineRule="auto"/>
        <w:rPr>
          <w:rFonts w:cs="Times New Roman"/>
          <w:b/>
          <w:color w:val="auto"/>
          <w:sz w:val="30"/>
        </w:rPr>
        <w:sectPr>
          <w:footerReference r:id="rId3" w:type="default"/>
          <w:pgSz w:w="11906" w:h="16838"/>
          <w:pgMar w:top="1440" w:right="1800" w:bottom="1440" w:left="152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360" w:lineRule="auto"/>
        <w:rPr>
          <w:rFonts w:eastAsia="黑体" w:cs="Times New Roman"/>
          <w:color w:val="auto"/>
          <w:sz w:val="30"/>
        </w:rPr>
      </w:pPr>
      <w:r>
        <w:rPr>
          <w:rFonts w:eastAsia="黑体" w:cs="Times New Roman"/>
          <w:color w:val="auto"/>
          <w:sz w:val="30"/>
        </w:rPr>
        <w:t>建设项目主要污染物产生及预计排放情况</w:t>
      </w:r>
    </w:p>
    <w:tbl>
      <w:tblPr>
        <w:tblStyle w:val="26"/>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055"/>
        <w:gridCol w:w="1701"/>
        <w:gridCol w:w="2268"/>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51" w:type="dxa"/>
            <w:tcBorders>
              <w:tl2br w:val="single" w:color="auto" w:sz="4" w:space="0"/>
            </w:tcBorders>
            <w:vAlign w:val="center"/>
          </w:tcPr>
          <w:p>
            <w:pPr>
              <w:jc w:val="right"/>
              <w:rPr>
                <w:rFonts w:cs="Times New Roman"/>
                <w:b/>
                <w:bCs/>
                <w:color w:val="auto"/>
                <w:sz w:val="21"/>
                <w:szCs w:val="21"/>
              </w:rPr>
            </w:pPr>
            <w:r>
              <w:rPr>
                <w:rFonts w:cs="Times New Roman"/>
                <w:b/>
                <w:bCs/>
                <w:color w:val="auto"/>
                <w:sz w:val="21"/>
                <w:szCs w:val="21"/>
              </w:rPr>
              <w:t>类型</w:t>
            </w:r>
          </w:p>
          <w:p>
            <w:pPr>
              <w:jc w:val="center"/>
              <w:rPr>
                <w:rFonts w:cs="Times New Roman"/>
                <w:b/>
                <w:bCs/>
                <w:color w:val="auto"/>
                <w:sz w:val="21"/>
                <w:szCs w:val="21"/>
              </w:rPr>
            </w:pPr>
          </w:p>
          <w:p>
            <w:pPr>
              <w:rPr>
                <w:rFonts w:cs="Times New Roman"/>
                <w:b/>
                <w:bCs/>
                <w:color w:val="auto"/>
                <w:sz w:val="21"/>
                <w:szCs w:val="21"/>
              </w:rPr>
            </w:pPr>
            <w:r>
              <w:rPr>
                <w:rFonts w:cs="Times New Roman"/>
                <w:b/>
                <w:bCs/>
                <w:color w:val="auto"/>
                <w:sz w:val="21"/>
                <w:szCs w:val="21"/>
              </w:rPr>
              <w:t>内容</w:t>
            </w:r>
          </w:p>
        </w:tc>
        <w:tc>
          <w:tcPr>
            <w:tcW w:w="2055" w:type="dxa"/>
            <w:vAlign w:val="center"/>
          </w:tcPr>
          <w:p>
            <w:pPr>
              <w:jc w:val="center"/>
              <w:rPr>
                <w:rFonts w:cs="Times New Roman"/>
                <w:b/>
                <w:bCs/>
                <w:color w:val="auto"/>
                <w:sz w:val="21"/>
                <w:szCs w:val="21"/>
              </w:rPr>
            </w:pPr>
            <w:r>
              <w:rPr>
                <w:rFonts w:cs="Times New Roman"/>
                <w:b/>
                <w:bCs/>
                <w:color w:val="auto"/>
                <w:sz w:val="21"/>
                <w:szCs w:val="21"/>
              </w:rPr>
              <w:t>排放源</w:t>
            </w:r>
          </w:p>
        </w:tc>
        <w:tc>
          <w:tcPr>
            <w:tcW w:w="1701" w:type="dxa"/>
            <w:vAlign w:val="center"/>
          </w:tcPr>
          <w:p>
            <w:pPr>
              <w:jc w:val="center"/>
              <w:rPr>
                <w:rFonts w:cs="Times New Roman"/>
                <w:b/>
                <w:bCs/>
                <w:color w:val="auto"/>
                <w:sz w:val="21"/>
                <w:szCs w:val="21"/>
              </w:rPr>
            </w:pPr>
            <w:r>
              <w:rPr>
                <w:rFonts w:cs="Times New Roman"/>
                <w:b/>
                <w:bCs/>
                <w:color w:val="auto"/>
                <w:sz w:val="21"/>
                <w:szCs w:val="21"/>
              </w:rPr>
              <w:t>污染物名称</w:t>
            </w:r>
          </w:p>
        </w:tc>
        <w:tc>
          <w:tcPr>
            <w:tcW w:w="2268" w:type="dxa"/>
            <w:vAlign w:val="center"/>
          </w:tcPr>
          <w:p>
            <w:pPr>
              <w:jc w:val="center"/>
              <w:rPr>
                <w:rFonts w:cs="Times New Roman"/>
                <w:b/>
                <w:bCs/>
                <w:color w:val="auto"/>
                <w:sz w:val="21"/>
                <w:szCs w:val="21"/>
              </w:rPr>
            </w:pPr>
            <w:r>
              <w:rPr>
                <w:rFonts w:cs="Times New Roman"/>
                <w:b/>
                <w:bCs/>
                <w:color w:val="auto"/>
                <w:sz w:val="21"/>
                <w:szCs w:val="21"/>
              </w:rPr>
              <w:t>产生浓度及产生量</w:t>
            </w:r>
          </w:p>
        </w:tc>
        <w:tc>
          <w:tcPr>
            <w:tcW w:w="2263" w:type="dxa"/>
            <w:vAlign w:val="center"/>
          </w:tcPr>
          <w:p>
            <w:pPr>
              <w:jc w:val="center"/>
              <w:rPr>
                <w:rFonts w:cs="Times New Roman"/>
                <w:b/>
                <w:bCs/>
                <w:color w:val="auto"/>
                <w:sz w:val="21"/>
                <w:szCs w:val="21"/>
              </w:rPr>
            </w:pPr>
            <w:r>
              <w:rPr>
                <w:rFonts w:cs="Times New Roman"/>
                <w:b/>
                <w:bCs/>
                <w:color w:val="auto"/>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51" w:type="dxa"/>
            <w:vMerge w:val="restart"/>
            <w:vAlign w:val="center"/>
          </w:tcPr>
          <w:p>
            <w:pPr>
              <w:jc w:val="center"/>
              <w:rPr>
                <w:rFonts w:cs="Times New Roman"/>
                <w:b/>
                <w:bCs/>
                <w:color w:val="auto"/>
                <w:sz w:val="21"/>
                <w:szCs w:val="21"/>
              </w:rPr>
            </w:pPr>
            <w:r>
              <w:rPr>
                <w:rFonts w:cs="Times New Roman"/>
                <w:b/>
                <w:bCs/>
                <w:color w:val="auto"/>
                <w:sz w:val="21"/>
                <w:szCs w:val="21"/>
              </w:rPr>
              <w:t>大</w:t>
            </w:r>
          </w:p>
          <w:p>
            <w:pPr>
              <w:jc w:val="center"/>
              <w:rPr>
                <w:rFonts w:cs="Times New Roman"/>
                <w:b/>
                <w:bCs/>
                <w:color w:val="auto"/>
                <w:sz w:val="21"/>
                <w:szCs w:val="21"/>
              </w:rPr>
            </w:pPr>
            <w:r>
              <w:rPr>
                <w:rFonts w:cs="Times New Roman"/>
                <w:b/>
                <w:bCs/>
                <w:color w:val="auto"/>
                <w:sz w:val="21"/>
                <w:szCs w:val="21"/>
              </w:rPr>
              <w:t>气</w:t>
            </w:r>
          </w:p>
          <w:p>
            <w:pPr>
              <w:jc w:val="center"/>
              <w:rPr>
                <w:rFonts w:cs="Times New Roman"/>
                <w:b/>
                <w:bCs/>
                <w:color w:val="auto"/>
                <w:sz w:val="21"/>
                <w:szCs w:val="21"/>
              </w:rPr>
            </w:pPr>
            <w:r>
              <w:rPr>
                <w:rFonts w:cs="Times New Roman"/>
                <w:b/>
                <w:bCs/>
                <w:color w:val="auto"/>
                <w:sz w:val="21"/>
                <w:szCs w:val="21"/>
              </w:rPr>
              <w:t>污</w:t>
            </w:r>
          </w:p>
          <w:p>
            <w:pPr>
              <w:jc w:val="center"/>
              <w:rPr>
                <w:rFonts w:cs="Times New Roman"/>
                <w:b/>
                <w:bCs/>
                <w:color w:val="auto"/>
                <w:sz w:val="21"/>
                <w:szCs w:val="21"/>
              </w:rPr>
            </w:pPr>
            <w:r>
              <w:rPr>
                <w:rFonts w:cs="Times New Roman"/>
                <w:b/>
                <w:bCs/>
                <w:color w:val="auto"/>
                <w:sz w:val="21"/>
                <w:szCs w:val="21"/>
              </w:rPr>
              <w:t>染</w:t>
            </w:r>
          </w:p>
          <w:p>
            <w:pPr>
              <w:jc w:val="center"/>
              <w:rPr>
                <w:rFonts w:cs="Times New Roman"/>
                <w:b/>
                <w:bCs/>
                <w:color w:val="auto"/>
                <w:sz w:val="21"/>
                <w:szCs w:val="21"/>
              </w:rPr>
            </w:pPr>
            <w:r>
              <w:rPr>
                <w:rFonts w:cs="Times New Roman"/>
                <w:b/>
                <w:bCs/>
                <w:color w:val="auto"/>
                <w:sz w:val="21"/>
                <w:szCs w:val="21"/>
              </w:rPr>
              <w:t>物</w:t>
            </w:r>
          </w:p>
        </w:tc>
        <w:tc>
          <w:tcPr>
            <w:tcW w:w="2055" w:type="dxa"/>
            <w:vAlign w:val="center"/>
          </w:tcPr>
          <w:p>
            <w:pPr>
              <w:jc w:val="center"/>
              <w:rPr>
                <w:rFonts w:cs="Times New Roman"/>
                <w:color w:val="auto"/>
                <w:sz w:val="21"/>
                <w:szCs w:val="21"/>
              </w:rPr>
            </w:pPr>
            <w:r>
              <w:rPr>
                <w:rFonts w:hint="eastAsia" w:cs="Times New Roman"/>
                <w:color w:val="auto"/>
                <w:sz w:val="21"/>
                <w:szCs w:val="21"/>
              </w:rPr>
              <w:t>配料工序</w:t>
            </w:r>
          </w:p>
        </w:tc>
        <w:tc>
          <w:tcPr>
            <w:tcW w:w="1701" w:type="dxa"/>
            <w:vAlign w:val="center"/>
          </w:tcPr>
          <w:p>
            <w:pPr>
              <w:jc w:val="center"/>
              <w:rPr>
                <w:rFonts w:cs="Times New Roman"/>
                <w:color w:val="auto"/>
                <w:sz w:val="21"/>
                <w:szCs w:val="21"/>
              </w:rPr>
            </w:pPr>
            <w:r>
              <w:rPr>
                <w:rFonts w:hint="eastAsia" w:cs="Times New Roman"/>
                <w:color w:val="auto"/>
                <w:sz w:val="21"/>
                <w:szCs w:val="21"/>
              </w:rPr>
              <w:t>颗粒物</w:t>
            </w:r>
          </w:p>
        </w:tc>
        <w:tc>
          <w:tcPr>
            <w:tcW w:w="2268" w:type="dxa"/>
            <w:vAlign w:val="center"/>
          </w:tcPr>
          <w:p>
            <w:pPr>
              <w:jc w:val="center"/>
              <w:rPr>
                <w:rFonts w:cs="Times New Roman"/>
                <w:color w:val="auto"/>
                <w:sz w:val="21"/>
                <w:szCs w:val="21"/>
              </w:rPr>
            </w:pPr>
            <w:r>
              <w:rPr>
                <w:rFonts w:hint="eastAsia" w:cs="Times New Roman"/>
                <w:color w:val="auto"/>
                <w:sz w:val="21"/>
                <w:szCs w:val="21"/>
              </w:rPr>
              <w:t>28mg/m</w:t>
            </w:r>
            <w:r>
              <w:rPr>
                <w:rFonts w:hint="eastAsia" w:cs="Times New Roman"/>
                <w:color w:val="auto"/>
                <w:sz w:val="21"/>
                <w:szCs w:val="21"/>
                <w:vertAlign w:val="superscript"/>
              </w:rPr>
              <w:t>3</w:t>
            </w:r>
            <w:r>
              <w:rPr>
                <w:rFonts w:hint="eastAsia" w:cs="Times New Roman"/>
                <w:color w:val="auto"/>
                <w:sz w:val="21"/>
                <w:szCs w:val="21"/>
              </w:rPr>
              <w:t>、0.084t/a</w:t>
            </w:r>
          </w:p>
        </w:tc>
        <w:tc>
          <w:tcPr>
            <w:tcW w:w="2263" w:type="dxa"/>
            <w:vAlign w:val="center"/>
          </w:tcPr>
          <w:p>
            <w:pPr>
              <w:jc w:val="center"/>
              <w:rPr>
                <w:rFonts w:cs="Times New Roman"/>
                <w:color w:val="auto"/>
                <w:sz w:val="21"/>
                <w:szCs w:val="21"/>
              </w:rPr>
            </w:pPr>
            <w:r>
              <w:rPr>
                <w:rFonts w:hint="eastAsia" w:cs="Times New Roman"/>
                <w:color w:val="auto"/>
                <w:sz w:val="21"/>
                <w:szCs w:val="21"/>
              </w:rPr>
              <w:t>1.4mg/m</w:t>
            </w:r>
            <w:r>
              <w:rPr>
                <w:rFonts w:hint="eastAsia" w:cs="Times New Roman"/>
                <w:color w:val="auto"/>
                <w:sz w:val="21"/>
                <w:szCs w:val="21"/>
                <w:vertAlign w:val="superscript"/>
              </w:rPr>
              <w:t>3</w:t>
            </w:r>
            <w:r>
              <w:rPr>
                <w:rFonts w:hint="eastAsia" w:cs="Times New Roman"/>
                <w:color w:val="auto"/>
                <w:sz w:val="21"/>
                <w:szCs w:val="21"/>
              </w:rPr>
              <w:t>、0.0042t/a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51" w:type="dxa"/>
            <w:vMerge w:val="continue"/>
            <w:vAlign w:val="center"/>
          </w:tcPr>
          <w:p>
            <w:pPr>
              <w:jc w:val="center"/>
              <w:rPr>
                <w:rFonts w:cs="Times New Roman"/>
                <w:color w:val="auto"/>
                <w:sz w:val="21"/>
                <w:szCs w:val="21"/>
              </w:rPr>
            </w:pPr>
          </w:p>
        </w:tc>
        <w:tc>
          <w:tcPr>
            <w:tcW w:w="2055" w:type="dxa"/>
            <w:vAlign w:val="center"/>
          </w:tcPr>
          <w:p>
            <w:pPr>
              <w:jc w:val="center"/>
              <w:rPr>
                <w:rFonts w:cs="Times New Roman"/>
                <w:color w:val="auto"/>
                <w:sz w:val="21"/>
                <w:szCs w:val="21"/>
              </w:rPr>
            </w:pPr>
            <w:r>
              <w:rPr>
                <w:rFonts w:hint="eastAsia" w:cs="Times New Roman"/>
                <w:color w:val="auto"/>
                <w:sz w:val="21"/>
                <w:szCs w:val="21"/>
              </w:rPr>
              <w:t>烘干、烘焙工序</w:t>
            </w:r>
          </w:p>
        </w:tc>
        <w:tc>
          <w:tcPr>
            <w:tcW w:w="1701" w:type="dxa"/>
            <w:vAlign w:val="center"/>
          </w:tcPr>
          <w:p>
            <w:pPr>
              <w:jc w:val="center"/>
              <w:rPr>
                <w:rFonts w:cs="Times New Roman"/>
                <w:color w:val="auto"/>
                <w:sz w:val="21"/>
                <w:szCs w:val="21"/>
              </w:rPr>
            </w:pPr>
            <w:r>
              <w:rPr>
                <w:rFonts w:hint="eastAsia" w:cs="Times New Roman"/>
                <w:color w:val="auto"/>
                <w:sz w:val="21"/>
                <w:szCs w:val="21"/>
              </w:rPr>
              <w:t>NO</w:t>
            </w:r>
            <w:r>
              <w:rPr>
                <w:rFonts w:hint="eastAsia" w:cs="Times New Roman"/>
                <w:color w:val="auto"/>
                <w:sz w:val="21"/>
                <w:szCs w:val="21"/>
                <w:vertAlign w:val="subscript"/>
              </w:rPr>
              <w:t>2</w:t>
            </w:r>
          </w:p>
        </w:tc>
        <w:tc>
          <w:tcPr>
            <w:tcW w:w="2268" w:type="dxa"/>
            <w:vAlign w:val="center"/>
          </w:tcPr>
          <w:p>
            <w:pPr>
              <w:jc w:val="center"/>
              <w:rPr>
                <w:rFonts w:cs="Times New Roman"/>
                <w:color w:val="auto"/>
                <w:sz w:val="21"/>
                <w:szCs w:val="21"/>
              </w:rPr>
            </w:pPr>
            <w:r>
              <w:rPr>
                <w:rFonts w:hint="eastAsia" w:cs="Times New Roman"/>
                <w:color w:val="auto"/>
                <w:sz w:val="21"/>
                <w:szCs w:val="21"/>
              </w:rPr>
              <w:t>9.8mg/m</w:t>
            </w:r>
            <w:r>
              <w:rPr>
                <w:rFonts w:hint="eastAsia" w:cs="Times New Roman"/>
                <w:color w:val="auto"/>
                <w:sz w:val="21"/>
                <w:szCs w:val="21"/>
                <w:vertAlign w:val="superscript"/>
              </w:rPr>
              <w:t>3</w:t>
            </w:r>
            <w:r>
              <w:rPr>
                <w:rFonts w:hint="eastAsia" w:cs="Times New Roman"/>
                <w:color w:val="auto"/>
                <w:sz w:val="21"/>
                <w:szCs w:val="21"/>
              </w:rPr>
              <w:t>、0.047t/a</w:t>
            </w:r>
          </w:p>
        </w:tc>
        <w:tc>
          <w:tcPr>
            <w:tcW w:w="2263" w:type="dxa"/>
            <w:vAlign w:val="center"/>
          </w:tcPr>
          <w:p>
            <w:pPr>
              <w:jc w:val="center"/>
              <w:rPr>
                <w:rFonts w:cs="Times New Roman"/>
                <w:color w:val="auto"/>
                <w:sz w:val="21"/>
                <w:szCs w:val="21"/>
              </w:rPr>
            </w:pPr>
            <w:r>
              <w:rPr>
                <w:rFonts w:hint="eastAsia" w:cs="Times New Roman"/>
                <w:color w:val="auto"/>
                <w:sz w:val="21"/>
                <w:szCs w:val="21"/>
              </w:rPr>
              <w:t>4.9mg/m</w:t>
            </w:r>
            <w:r>
              <w:rPr>
                <w:rFonts w:hint="eastAsia" w:cs="Times New Roman"/>
                <w:color w:val="auto"/>
                <w:sz w:val="21"/>
                <w:szCs w:val="21"/>
                <w:vertAlign w:val="superscript"/>
              </w:rPr>
              <w:t>3</w:t>
            </w:r>
            <w:r>
              <w:rPr>
                <w:rFonts w:hint="eastAsia" w:cs="Times New Roman"/>
                <w:color w:val="auto"/>
                <w:sz w:val="21"/>
                <w:szCs w:val="21"/>
              </w:rPr>
              <w:t>、0.0235t/a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restart"/>
            <w:vAlign w:val="center"/>
          </w:tcPr>
          <w:p>
            <w:pPr>
              <w:jc w:val="center"/>
              <w:rPr>
                <w:rFonts w:cs="Times New Roman"/>
                <w:b/>
                <w:bCs/>
                <w:color w:val="auto"/>
                <w:sz w:val="21"/>
                <w:szCs w:val="21"/>
              </w:rPr>
            </w:pPr>
            <w:r>
              <w:rPr>
                <w:rFonts w:cs="Times New Roman"/>
                <w:b/>
                <w:bCs/>
                <w:color w:val="auto"/>
                <w:sz w:val="21"/>
                <w:szCs w:val="21"/>
              </w:rPr>
              <w:t>水</w:t>
            </w:r>
          </w:p>
          <w:p>
            <w:pPr>
              <w:jc w:val="center"/>
              <w:rPr>
                <w:rFonts w:cs="Times New Roman"/>
                <w:b/>
                <w:bCs/>
                <w:color w:val="auto"/>
                <w:sz w:val="21"/>
                <w:szCs w:val="21"/>
              </w:rPr>
            </w:pPr>
            <w:r>
              <w:rPr>
                <w:rFonts w:cs="Times New Roman"/>
                <w:b/>
                <w:bCs/>
                <w:color w:val="auto"/>
                <w:sz w:val="21"/>
                <w:szCs w:val="21"/>
              </w:rPr>
              <w:t>污</w:t>
            </w:r>
          </w:p>
          <w:p>
            <w:pPr>
              <w:jc w:val="center"/>
              <w:rPr>
                <w:rFonts w:cs="Times New Roman"/>
                <w:b/>
                <w:bCs/>
                <w:color w:val="auto"/>
                <w:sz w:val="21"/>
                <w:szCs w:val="21"/>
              </w:rPr>
            </w:pPr>
            <w:r>
              <w:rPr>
                <w:rFonts w:cs="Times New Roman"/>
                <w:b/>
                <w:bCs/>
                <w:color w:val="auto"/>
                <w:sz w:val="21"/>
                <w:szCs w:val="21"/>
              </w:rPr>
              <w:t>染</w:t>
            </w:r>
          </w:p>
          <w:p>
            <w:pPr>
              <w:jc w:val="center"/>
              <w:rPr>
                <w:rFonts w:cs="Times New Roman"/>
                <w:b/>
                <w:bCs/>
                <w:color w:val="auto"/>
                <w:sz w:val="21"/>
                <w:szCs w:val="21"/>
              </w:rPr>
            </w:pPr>
            <w:r>
              <w:rPr>
                <w:rFonts w:cs="Times New Roman"/>
                <w:b/>
                <w:bCs/>
                <w:color w:val="auto"/>
                <w:sz w:val="21"/>
                <w:szCs w:val="21"/>
              </w:rPr>
              <w:t>物</w:t>
            </w:r>
          </w:p>
        </w:tc>
        <w:tc>
          <w:tcPr>
            <w:tcW w:w="2055" w:type="dxa"/>
            <w:vMerge w:val="restart"/>
            <w:vAlign w:val="center"/>
          </w:tcPr>
          <w:p>
            <w:pPr>
              <w:pStyle w:val="33"/>
              <w:adjustRightInd/>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生活污水（</w:t>
            </w:r>
            <w:r>
              <w:rPr>
                <w:rFonts w:hint="eastAsia" w:ascii="Times New Roman" w:hAnsi="Times New Roman" w:eastAsia="宋体" w:cs="Times New Roman"/>
                <w:color w:val="auto"/>
                <w:sz w:val="21"/>
                <w:szCs w:val="21"/>
              </w:rPr>
              <w:t>72</w:t>
            </w:r>
            <w:r>
              <w:rPr>
                <w:rFonts w:ascii="Times New Roman" w:hAnsi="Times New Roman" w:eastAsia="宋体" w:cs="Times New Roman"/>
                <w:color w:val="auto"/>
                <w:sz w:val="21"/>
                <w:szCs w:val="21"/>
              </w:rPr>
              <w:t>m</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/a）</w:t>
            </w:r>
          </w:p>
        </w:tc>
        <w:tc>
          <w:tcPr>
            <w:tcW w:w="1701" w:type="dxa"/>
            <w:vAlign w:val="center"/>
          </w:tcPr>
          <w:p>
            <w:pPr>
              <w:jc w:val="center"/>
              <w:rPr>
                <w:rFonts w:cs="Times New Roman"/>
                <w:color w:val="auto"/>
                <w:sz w:val="21"/>
                <w:szCs w:val="21"/>
              </w:rPr>
            </w:pPr>
            <w:r>
              <w:rPr>
                <w:rFonts w:cs="Times New Roman"/>
                <w:color w:val="auto"/>
                <w:sz w:val="21"/>
                <w:szCs w:val="21"/>
              </w:rPr>
              <w:t>COD</w:t>
            </w:r>
          </w:p>
        </w:tc>
        <w:tc>
          <w:tcPr>
            <w:tcW w:w="2268" w:type="dxa"/>
            <w:vAlign w:val="center"/>
          </w:tcPr>
          <w:p>
            <w:pPr>
              <w:jc w:val="center"/>
              <w:rPr>
                <w:rFonts w:cs="Times New Roman"/>
                <w:color w:val="auto"/>
                <w:sz w:val="21"/>
                <w:szCs w:val="21"/>
              </w:rPr>
            </w:pPr>
            <w:r>
              <w:rPr>
                <w:rFonts w:hint="eastAsia" w:cs="Times New Roman"/>
                <w:color w:val="auto"/>
                <w:sz w:val="21"/>
                <w:szCs w:val="21"/>
              </w:rPr>
              <w:t>300</w:t>
            </w:r>
            <w:r>
              <w:rPr>
                <w:rFonts w:cs="Times New Roman"/>
                <w:color w:val="auto"/>
                <w:sz w:val="21"/>
                <w:szCs w:val="21"/>
              </w:rPr>
              <w:t>mg/L、0.0</w:t>
            </w:r>
            <w:r>
              <w:rPr>
                <w:rFonts w:hint="eastAsia" w:cs="Times New Roman"/>
                <w:color w:val="auto"/>
                <w:sz w:val="21"/>
                <w:szCs w:val="21"/>
              </w:rPr>
              <w:t>216</w:t>
            </w:r>
            <w:r>
              <w:rPr>
                <w:rFonts w:cs="Times New Roman"/>
                <w:color w:val="auto"/>
                <w:sz w:val="21"/>
                <w:szCs w:val="21"/>
              </w:rPr>
              <w:t>t/a</w:t>
            </w:r>
          </w:p>
        </w:tc>
        <w:tc>
          <w:tcPr>
            <w:tcW w:w="2263" w:type="dxa"/>
            <w:vAlign w:val="center"/>
          </w:tcPr>
          <w:p>
            <w:pPr>
              <w:jc w:val="center"/>
              <w:rPr>
                <w:rFonts w:cs="Times New Roman"/>
                <w:color w:val="auto"/>
                <w:sz w:val="21"/>
                <w:szCs w:val="21"/>
              </w:rPr>
            </w:pPr>
            <w:r>
              <w:rPr>
                <w:rFonts w:cs="Times New Roman"/>
                <w:color w:val="auto"/>
                <w:sz w:val="21"/>
                <w:szCs w:val="21"/>
              </w:rPr>
              <w:t>40mg/L、0.00</w:t>
            </w:r>
            <w:r>
              <w:rPr>
                <w:rFonts w:hint="eastAsia" w:cs="Times New Roman"/>
                <w:color w:val="auto"/>
                <w:sz w:val="21"/>
                <w:szCs w:val="21"/>
              </w:rPr>
              <w:t>29</w:t>
            </w:r>
            <w:r>
              <w:rPr>
                <w:rFonts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Merge w:val="continue"/>
            <w:vAlign w:val="center"/>
          </w:tcPr>
          <w:p>
            <w:pPr>
              <w:jc w:val="center"/>
              <w:rPr>
                <w:rFonts w:cs="Times New Roman"/>
                <w:color w:val="auto"/>
                <w:sz w:val="21"/>
                <w:szCs w:val="21"/>
              </w:rPr>
            </w:pPr>
          </w:p>
        </w:tc>
        <w:tc>
          <w:tcPr>
            <w:tcW w:w="1701" w:type="dxa"/>
            <w:vAlign w:val="center"/>
          </w:tcPr>
          <w:p>
            <w:pPr>
              <w:jc w:val="center"/>
              <w:rPr>
                <w:rFonts w:cs="Times New Roman"/>
                <w:color w:val="auto"/>
                <w:sz w:val="21"/>
                <w:szCs w:val="21"/>
              </w:rPr>
            </w:pPr>
            <w:r>
              <w:rPr>
                <w:rFonts w:cs="Times New Roman"/>
                <w:color w:val="auto"/>
                <w:sz w:val="21"/>
                <w:szCs w:val="21"/>
              </w:rPr>
              <w:t>SS</w:t>
            </w:r>
          </w:p>
        </w:tc>
        <w:tc>
          <w:tcPr>
            <w:tcW w:w="2268" w:type="dxa"/>
            <w:vAlign w:val="center"/>
          </w:tcPr>
          <w:p>
            <w:pPr>
              <w:jc w:val="center"/>
              <w:rPr>
                <w:rFonts w:cs="Times New Roman"/>
                <w:color w:val="auto"/>
                <w:sz w:val="21"/>
                <w:szCs w:val="21"/>
              </w:rPr>
            </w:pPr>
            <w:r>
              <w:rPr>
                <w:rFonts w:hint="eastAsia" w:cs="Times New Roman"/>
                <w:color w:val="auto"/>
                <w:sz w:val="21"/>
                <w:szCs w:val="21"/>
              </w:rPr>
              <w:t>250</w:t>
            </w:r>
            <w:r>
              <w:rPr>
                <w:rFonts w:cs="Times New Roman"/>
                <w:color w:val="auto"/>
                <w:sz w:val="21"/>
                <w:szCs w:val="21"/>
              </w:rPr>
              <w:t>mg/L、0.0</w:t>
            </w:r>
            <w:r>
              <w:rPr>
                <w:rFonts w:hint="eastAsia" w:cs="Times New Roman"/>
                <w:color w:val="auto"/>
                <w:sz w:val="21"/>
                <w:szCs w:val="21"/>
              </w:rPr>
              <w:t>18</w:t>
            </w:r>
            <w:r>
              <w:rPr>
                <w:rFonts w:cs="Times New Roman"/>
                <w:color w:val="auto"/>
                <w:sz w:val="21"/>
                <w:szCs w:val="21"/>
              </w:rPr>
              <w:t>t/a</w:t>
            </w:r>
          </w:p>
        </w:tc>
        <w:tc>
          <w:tcPr>
            <w:tcW w:w="2263" w:type="dxa"/>
            <w:vAlign w:val="center"/>
          </w:tcPr>
          <w:p>
            <w:pPr>
              <w:jc w:val="center"/>
              <w:rPr>
                <w:rFonts w:cs="Times New Roman"/>
                <w:color w:val="auto"/>
                <w:sz w:val="21"/>
                <w:szCs w:val="21"/>
              </w:rPr>
            </w:pPr>
            <w:r>
              <w:rPr>
                <w:rFonts w:cs="Times New Roman"/>
                <w:color w:val="auto"/>
                <w:sz w:val="21"/>
                <w:szCs w:val="21"/>
              </w:rPr>
              <w:t>10mg/L、0.00</w:t>
            </w:r>
            <w:r>
              <w:rPr>
                <w:rFonts w:hint="eastAsia" w:cs="Times New Roman"/>
                <w:color w:val="auto"/>
                <w:sz w:val="21"/>
                <w:szCs w:val="21"/>
              </w:rPr>
              <w:t>07</w:t>
            </w:r>
            <w:r>
              <w:rPr>
                <w:rFonts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Merge w:val="continue"/>
            <w:vAlign w:val="center"/>
          </w:tcPr>
          <w:p>
            <w:pPr>
              <w:jc w:val="center"/>
              <w:rPr>
                <w:rFonts w:cs="Times New Roman"/>
                <w:color w:val="auto"/>
                <w:sz w:val="21"/>
                <w:szCs w:val="21"/>
              </w:rPr>
            </w:pPr>
          </w:p>
        </w:tc>
        <w:tc>
          <w:tcPr>
            <w:tcW w:w="1701" w:type="dxa"/>
            <w:vAlign w:val="center"/>
          </w:tcPr>
          <w:p>
            <w:pPr>
              <w:jc w:val="center"/>
              <w:rPr>
                <w:rFonts w:cs="Times New Roman"/>
                <w:color w:val="auto"/>
                <w:sz w:val="21"/>
                <w:szCs w:val="21"/>
              </w:rPr>
            </w:pPr>
            <w:r>
              <w:rPr>
                <w:rFonts w:cs="Times New Roman"/>
                <w:color w:val="auto"/>
                <w:sz w:val="21"/>
                <w:szCs w:val="21"/>
              </w:rPr>
              <w:t>氨氮</w:t>
            </w:r>
          </w:p>
        </w:tc>
        <w:tc>
          <w:tcPr>
            <w:tcW w:w="2268" w:type="dxa"/>
            <w:vAlign w:val="center"/>
          </w:tcPr>
          <w:p>
            <w:pPr>
              <w:jc w:val="center"/>
              <w:rPr>
                <w:rFonts w:cs="Times New Roman"/>
                <w:color w:val="auto"/>
                <w:sz w:val="21"/>
                <w:szCs w:val="21"/>
              </w:rPr>
            </w:pPr>
            <w:r>
              <w:rPr>
                <w:rFonts w:cs="Times New Roman"/>
                <w:color w:val="auto"/>
                <w:sz w:val="21"/>
                <w:szCs w:val="21"/>
              </w:rPr>
              <w:t>25mg/L、0.00</w:t>
            </w:r>
            <w:r>
              <w:rPr>
                <w:rFonts w:hint="eastAsia" w:cs="Times New Roman"/>
                <w:color w:val="auto"/>
                <w:sz w:val="21"/>
                <w:szCs w:val="21"/>
              </w:rPr>
              <w:t>18</w:t>
            </w:r>
            <w:r>
              <w:rPr>
                <w:rFonts w:cs="Times New Roman"/>
                <w:color w:val="auto"/>
                <w:sz w:val="21"/>
                <w:szCs w:val="21"/>
              </w:rPr>
              <w:t>t/a</w:t>
            </w:r>
          </w:p>
        </w:tc>
        <w:tc>
          <w:tcPr>
            <w:tcW w:w="2263" w:type="dxa"/>
            <w:vAlign w:val="center"/>
          </w:tcPr>
          <w:p>
            <w:pPr>
              <w:jc w:val="center"/>
              <w:rPr>
                <w:rFonts w:cs="Times New Roman"/>
                <w:color w:val="auto"/>
                <w:sz w:val="21"/>
                <w:szCs w:val="21"/>
              </w:rPr>
            </w:pPr>
            <w:r>
              <w:rPr>
                <w:rFonts w:cs="Times New Roman"/>
                <w:color w:val="auto"/>
                <w:sz w:val="21"/>
                <w:szCs w:val="21"/>
              </w:rPr>
              <w:t>2mg/L、0.000</w:t>
            </w:r>
            <w:r>
              <w:rPr>
                <w:rFonts w:hint="eastAsia" w:cs="Times New Roman"/>
                <w:color w:val="auto"/>
                <w:sz w:val="21"/>
                <w:szCs w:val="21"/>
              </w:rPr>
              <w:t>1</w:t>
            </w:r>
            <w:r>
              <w:rPr>
                <w:rFonts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Merge w:val="continue"/>
            <w:vAlign w:val="center"/>
          </w:tcPr>
          <w:p>
            <w:pPr>
              <w:jc w:val="center"/>
              <w:rPr>
                <w:rFonts w:cs="Times New Roman"/>
                <w:color w:val="auto"/>
                <w:sz w:val="21"/>
                <w:szCs w:val="21"/>
              </w:rPr>
            </w:pPr>
          </w:p>
        </w:tc>
        <w:tc>
          <w:tcPr>
            <w:tcW w:w="1701" w:type="dxa"/>
            <w:vAlign w:val="center"/>
          </w:tcPr>
          <w:p>
            <w:pPr>
              <w:jc w:val="center"/>
              <w:rPr>
                <w:rFonts w:cs="Times New Roman"/>
                <w:color w:val="auto"/>
                <w:sz w:val="21"/>
                <w:szCs w:val="21"/>
              </w:rPr>
            </w:pPr>
            <w:r>
              <w:rPr>
                <w:rFonts w:cs="Times New Roman"/>
                <w:color w:val="auto"/>
                <w:sz w:val="21"/>
                <w:szCs w:val="21"/>
              </w:rPr>
              <w:t>TP</w:t>
            </w:r>
          </w:p>
        </w:tc>
        <w:tc>
          <w:tcPr>
            <w:tcW w:w="2268" w:type="dxa"/>
            <w:vAlign w:val="center"/>
          </w:tcPr>
          <w:p>
            <w:pPr>
              <w:jc w:val="center"/>
              <w:rPr>
                <w:rFonts w:cs="Times New Roman"/>
                <w:color w:val="auto"/>
                <w:sz w:val="21"/>
                <w:szCs w:val="21"/>
              </w:rPr>
            </w:pPr>
            <w:r>
              <w:rPr>
                <w:rFonts w:hint="eastAsia" w:cs="Times New Roman"/>
                <w:color w:val="auto"/>
                <w:sz w:val="21"/>
                <w:szCs w:val="21"/>
              </w:rPr>
              <w:t>3.0</w:t>
            </w:r>
            <w:r>
              <w:rPr>
                <w:rFonts w:cs="Times New Roman"/>
                <w:color w:val="auto"/>
                <w:sz w:val="21"/>
                <w:szCs w:val="21"/>
              </w:rPr>
              <w:t>mg/L、0.000</w:t>
            </w:r>
            <w:r>
              <w:rPr>
                <w:rFonts w:hint="eastAsia" w:cs="Times New Roman"/>
                <w:color w:val="auto"/>
                <w:sz w:val="21"/>
                <w:szCs w:val="21"/>
              </w:rPr>
              <w:t>2</w:t>
            </w:r>
            <w:r>
              <w:rPr>
                <w:rFonts w:cs="Times New Roman"/>
                <w:color w:val="auto"/>
                <w:sz w:val="21"/>
                <w:szCs w:val="21"/>
              </w:rPr>
              <w:t>t/a</w:t>
            </w:r>
          </w:p>
        </w:tc>
        <w:tc>
          <w:tcPr>
            <w:tcW w:w="2263" w:type="dxa"/>
            <w:vAlign w:val="center"/>
          </w:tcPr>
          <w:p>
            <w:pPr>
              <w:jc w:val="center"/>
              <w:rPr>
                <w:rFonts w:cs="Times New Roman"/>
                <w:color w:val="auto"/>
                <w:sz w:val="21"/>
                <w:szCs w:val="21"/>
              </w:rPr>
            </w:pPr>
            <w:r>
              <w:rPr>
                <w:rFonts w:cs="Times New Roman"/>
                <w:color w:val="auto"/>
                <w:sz w:val="21"/>
                <w:szCs w:val="21"/>
              </w:rPr>
              <w:t>0.4mg/L、0.0000</w:t>
            </w:r>
            <w:r>
              <w:rPr>
                <w:rFonts w:hint="eastAsia" w:cs="Times New Roman"/>
                <w:color w:val="auto"/>
                <w:sz w:val="21"/>
                <w:szCs w:val="21"/>
              </w:rPr>
              <w:t>3</w:t>
            </w:r>
            <w:r>
              <w:rPr>
                <w:rFonts w:cs="Times New Roman"/>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restart"/>
            <w:vAlign w:val="center"/>
          </w:tcPr>
          <w:p>
            <w:pPr>
              <w:jc w:val="center"/>
              <w:rPr>
                <w:rFonts w:cs="Times New Roman"/>
                <w:b/>
                <w:bCs/>
                <w:color w:val="auto"/>
                <w:sz w:val="21"/>
                <w:szCs w:val="21"/>
              </w:rPr>
            </w:pPr>
            <w:r>
              <w:rPr>
                <w:rFonts w:cs="Times New Roman"/>
                <w:b/>
                <w:bCs/>
                <w:color w:val="auto"/>
                <w:sz w:val="21"/>
                <w:szCs w:val="21"/>
              </w:rPr>
              <w:t>固</w:t>
            </w:r>
          </w:p>
          <w:p>
            <w:pPr>
              <w:jc w:val="center"/>
              <w:rPr>
                <w:rFonts w:cs="Times New Roman"/>
                <w:b/>
                <w:bCs/>
                <w:color w:val="auto"/>
                <w:sz w:val="21"/>
                <w:szCs w:val="21"/>
              </w:rPr>
            </w:pPr>
            <w:r>
              <w:rPr>
                <w:rFonts w:cs="Times New Roman"/>
                <w:b/>
                <w:bCs/>
                <w:color w:val="auto"/>
                <w:sz w:val="21"/>
                <w:szCs w:val="21"/>
              </w:rPr>
              <w:t>废</w:t>
            </w:r>
          </w:p>
        </w:tc>
        <w:tc>
          <w:tcPr>
            <w:tcW w:w="2055" w:type="dxa"/>
            <w:vMerge w:val="restart"/>
            <w:vAlign w:val="center"/>
          </w:tcPr>
          <w:p>
            <w:pPr>
              <w:jc w:val="center"/>
              <w:rPr>
                <w:rFonts w:cs="Times New Roman"/>
                <w:color w:val="auto"/>
                <w:sz w:val="21"/>
                <w:szCs w:val="21"/>
              </w:rPr>
            </w:pPr>
            <w:r>
              <w:rPr>
                <w:rFonts w:hint="eastAsia" w:cs="Times New Roman"/>
                <w:color w:val="auto"/>
                <w:sz w:val="21"/>
                <w:szCs w:val="21"/>
              </w:rPr>
              <w:t>原料拆装</w:t>
            </w:r>
          </w:p>
        </w:tc>
        <w:tc>
          <w:tcPr>
            <w:tcW w:w="1701" w:type="dxa"/>
            <w:vAlign w:val="center"/>
          </w:tcPr>
          <w:p>
            <w:pPr>
              <w:jc w:val="center"/>
              <w:rPr>
                <w:rFonts w:cs="Times New Roman"/>
                <w:color w:val="auto"/>
                <w:sz w:val="21"/>
                <w:szCs w:val="21"/>
              </w:rPr>
            </w:pPr>
            <w:r>
              <w:rPr>
                <w:rFonts w:hint="eastAsia" w:cs="Times New Roman"/>
                <w:color w:val="auto"/>
                <w:sz w:val="21"/>
                <w:szCs w:val="21"/>
              </w:rPr>
              <w:t>废包装袋</w:t>
            </w:r>
          </w:p>
        </w:tc>
        <w:tc>
          <w:tcPr>
            <w:tcW w:w="2268" w:type="dxa"/>
            <w:vAlign w:val="center"/>
          </w:tcPr>
          <w:p>
            <w:pPr>
              <w:jc w:val="center"/>
              <w:rPr>
                <w:rFonts w:cs="Times New Roman"/>
                <w:color w:val="auto"/>
                <w:sz w:val="21"/>
                <w:szCs w:val="21"/>
              </w:rPr>
            </w:pPr>
            <w:r>
              <w:rPr>
                <w:rFonts w:hint="eastAsia" w:cs="Times New Roman"/>
                <w:color w:val="auto"/>
                <w:sz w:val="21"/>
                <w:szCs w:val="21"/>
              </w:rPr>
              <w:t>0.2</w:t>
            </w:r>
            <w:r>
              <w:rPr>
                <w:rFonts w:cs="Times New Roman"/>
                <w:color w:val="auto"/>
                <w:sz w:val="21"/>
                <w:szCs w:val="21"/>
              </w:rPr>
              <w:t>t/a</w:t>
            </w:r>
          </w:p>
        </w:tc>
        <w:tc>
          <w:tcPr>
            <w:tcW w:w="2263" w:type="dxa"/>
            <w:vMerge w:val="restart"/>
            <w:vAlign w:val="center"/>
          </w:tcPr>
          <w:p>
            <w:pPr>
              <w:jc w:val="center"/>
              <w:rPr>
                <w:rFonts w:cs="Times New Roman"/>
                <w:color w:val="auto"/>
                <w:sz w:val="21"/>
                <w:szCs w:val="21"/>
              </w:rPr>
            </w:pPr>
            <w:r>
              <w:rPr>
                <w:rFonts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Merge w:val="continue"/>
            <w:vAlign w:val="center"/>
          </w:tcPr>
          <w:p>
            <w:pPr>
              <w:jc w:val="center"/>
              <w:rPr>
                <w:rFonts w:cs="Times New Roman"/>
                <w:color w:val="auto"/>
                <w:sz w:val="21"/>
                <w:szCs w:val="21"/>
              </w:rPr>
            </w:pPr>
          </w:p>
        </w:tc>
        <w:tc>
          <w:tcPr>
            <w:tcW w:w="1701" w:type="dxa"/>
            <w:vAlign w:val="center"/>
          </w:tcPr>
          <w:p>
            <w:pPr>
              <w:jc w:val="center"/>
              <w:rPr>
                <w:rFonts w:cs="Times New Roman"/>
                <w:color w:val="auto"/>
                <w:sz w:val="21"/>
                <w:szCs w:val="21"/>
              </w:rPr>
            </w:pPr>
            <w:r>
              <w:rPr>
                <w:rFonts w:hint="eastAsia" w:cs="Times New Roman"/>
                <w:color w:val="auto"/>
                <w:sz w:val="21"/>
                <w:szCs w:val="21"/>
              </w:rPr>
              <w:t>废玻璃容器（硝酸、贵金属容器）</w:t>
            </w:r>
          </w:p>
        </w:tc>
        <w:tc>
          <w:tcPr>
            <w:tcW w:w="2268" w:type="dxa"/>
            <w:vAlign w:val="center"/>
          </w:tcPr>
          <w:p>
            <w:pPr>
              <w:jc w:val="center"/>
              <w:rPr>
                <w:rFonts w:cs="Times New Roman"/>
                <w:color w:val="auto"/>
                <w:sz w:val="21"/>
                <w:szCs w:val="21"/>
              </w:rPr>
            </w:pPr>
            <w:r>
              <w:rPr>
                <w:rFonts w:hint="eastAsia" w:cs="Times New Roman"/>
                <w:color w:val="auto"/>
                <w:sz w:val="21"/>
                <w:szCs w:val="21"/>
              </w:rPr>
              <w:t>0.2t/a</w:t>
            </w:r>
          </w:p>
        </w:tc>
        <w:tc>
          <w:tcPr>
            <w:tcW w:w="2263"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Align w:val="center"/>
          </w:tcPr>
          <w:p>
            <w:pPr>
              <w:jc w:val="center"/>
              <w:rPr>
                <w:rFonts w:cs="Times New Roman"/>
                <w:color w:val="auto"/>
                <w:sz w:val="21"/>
                <w:szCs w:val="21"/>
              </w:rPr>
            </w:pPr>
            <w:r>
              <w:rPr>
                <w:rFonts w:hint="eastAsia" w:cs="Times New Roman"/>
                <w:color w:val="auto"/>
                <w:sz w:val="21"/>
                <w:szCs w:val="21"/>
              </w:rPr>
              <w:t>检验工序</w:t>
            </w:r>
          </w:p>
        </w:tc>
        <w:tc>
          <w:tcPr>
            <w:tcW w:w="1701" w:type="dxa"/>
            <w:vAlign w:val="center"/>
          </w:tcPr>
          <w:p>
            <w:pPr>
              <w:jc w:val="center"/>
              <w:rPr>
                <w:rFonts w:cs="Times New Roman"/>
                <w:color w:val="auto"/>
                <w:sz w:val="21"/>
                <w:szCs w:val="21"/>
              </w:rPr>
            </w:pPr>
            <w:r>
              <w:rPr>
                <w:rFonts w:hint="eastAsia" w:cs="Times New Roman"/>
                <w:color w:val="auto"/>
                <w:sz w:val="21"/>
                <w:szCs w:val="21"/>
              </w:rPr>
              <w:t>不合格产品</w:t>
            </w:r>
          </w:p>
        </w:tc>
        <w:tc>
          <w:tcPr>
            <w:tcW w:w="2268" w:type="dxa"/>
            <w:vAlign w:val="center"/>
          </w:tcPr>
          <w:p>
            <w:pPr>
              <w:jc w:val="center"/>
              <w:rPr>
                <w:rFonts w:cs="Times New Roman"/>
                <w:color w:val="auto"/>
                <w:sz w:val="21"/>
                <w:szCs w:val="21"/>
              </w:rPr>
            </w:pPr>
            <w:r>
              <w:rPr>
                <w:rFonts w:hint="eastAsia" w:cs="Times New Roman"/>
                <w:color w:val="auto"/>
                <w:sz w:val="21"/>
                <w:szCs w:val="21"/>
              </w:rPr>
              <w:t>0.3t/a</w:t>
            </w:r>
          </w:p>
        </w:tc>
        <w:tc>
          <w:tcPr>
            <w:tcW w:w="2263"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Align w:val="center"/>
          </w:tcPr>
          <w:p>
            <w:pPr>
              <w:jc w:val="center"/>
              <w:rPr>
                <w:rFonts w:cs="Times New Roman"/>
                <w:color w:val="auto"/>
                <w:sz w:val="21"/>
                <w:szCs w:val="21"/>
              </w:rPr>
            </w:pPr>
            <w:r>
              <w:rPr>
                <w:rFonts w:hint="eastAsia" w:cs="Times New Roman"/>
                <w:color w:val="auto"/>
                <w:sz w:val="21"/>
                <w:szCs w:val="21"/>
              </w:rPr>
              <w:t>纯水制备</w:t>
            </w:r>
          </w:p>
        </w:tc>
        <w:tc>
          <w:tcPr>
            <w:tcW w:w="1701" w:type="dxa"/>
            <w:vAlign w:val="center"/>
          </w:tcPr>
          <w:p>
            <w:pPr>
              <w:jc w:val="center"/>
              <w:rPr>
                <w:rFonts w:cs="Times New Roman"/>
                <w:color w:val="auto"/>
                <w:sz w:val="21"/>
                <w:szCs w:val="21"/>
              </w:rPr>
            </w:pPr>
            <w:r>
              <w:rPr>
                <w:rFonts w:hint="eastAsia" w:cs="Times New Roman"/>
                <w:color w:val="auto"/>
                <w:sz w:val="21"/>
                <w:szCs w:val="21"/>
              </w:rPr>
              <w:t>废滤芯、废反渗透膜</w:t>
            </w:r>
          </w:p>
        </w:tc>
        <w:tc>
          <w:tcPr>
            <w:tcW w:w="2268" w:type="dxa"/>
            <w:vAlign w:val="center"/>
          </w:tcPr>
          <w:p>
            <w:pPr>
              <w:jc w:val="center"/>
              <w:rPr>
                <w:rFonts w:cs="Times New Roman"/>
                <w:color w:val="auto"/>
                <w:sz w:val="21"/>
                <w:szCs w:val="21"/>
              </w:rPr>
            </w:pPr>
            <w:r>
              <w:rPr>
                <w:rFonts w:hint="eastAsia" w:cs="Times New Roman"/>
                <w:color w:val="auto"/>
                <w:sz w:val="21"/>
                <w:szCs w:val="21"/>
              </w:rPr>
              <w:t>0.1t/a</w:t>
            </w:r>
          </w:p>
        </w:tc>
        <w:tc>
          <w:tcPr>
            <w:tcW w:w="2263"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絮凝沉淀池</w:t>
            </w:r>
          </w:p>
        </w:tc>
        <w:tc>
          <w:tcPr>
            <w:tcW w:w="1701" w:type="dxa"/>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污泥</w:t>
            </w:r>
          </w:p>
        </w:tc>
        <w:tc>
          <w:tcPr>
            <w:tcW w:w="2268" w:type="dxa"/>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0.3t/a</w:t>
            </w:r>
          </w:p>
        </w:tc>
        <w:tc>
          <w:tcPr>
            <w:tcW w:w="2263"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Merge w:val="continue"/>
            <w:vAlign w:val="center"/>
          </w:tcPr>
          <w:p>
            <w:pPr>
              <w:jc w:val="center"/>
              <w:rPr>
                <w:rFonts w:cs="Times New Roman"/>
                <w:b/>
                <w:bCs/>
                <w:color w:val="auto"/>
                <w:sz w:val="21"/>
                <w:szCs w:val="21"/>
              </w:rPr>
            </w:pPr>
          </w:p>
        </w:tc>
        <w:tc>
          <w:tcPr>
            <w:tcW w:w="2055" w:type="dxa"/>
            <w:vAlign w:val="center"/>
          </w:tcPr>
          <w:p>
            <w:pPr>
              <w:jc w:val="center"/>
              <w:rPr>
                <w:rFonts w:cs="Times New Roman"/>
                <w:color w:val="auto"/>
                <w:sz w:val="21"/>
                <w:szCs w:val="21"/>
              </w:rPr>
            </w:pPr>
            <w:r>
              <w:rPr>
                <w:rFonts w:cs="Times New Roman"/>
                <w:color w:val="auto"/>
                <w:sz w:val="21"/>
                <w:szCs w:val="21"/>
              </w:rPr>
              <w:t>职工生活</w:t>
            </w:r>
          </w:p>
        </w:tc>
        <w:tc>
          <w:tcPr>
            <w:tcW w:w="1701" w:type="dxa"/>
            <w:vAlign w:val="center"/>
          </w:tcPr>
          <w:p>
            <w:pPr>
              <w:jc w:val="center"/>
              <w:rPr>
                <w:rFonts w:cs="Times New Roman"/>
                <w:color w:val="auto"/>
                <w:sz w:val="21"/>
                <w:szCs w:val="21"/>
              </w:rPr>
            </w:pPr>
            <w:r>
              <w:rPr>
                <w:rFonts w:cs="Times New Roman"/>
                <w:color w:val="auto"/>
                <w:sz w:val="21"/>
                <w:szCs w:val="21"/>
              </w:rPr>
              <w:t>生活垃圾</w:t>
            </w:r>
          </w:p>
        </w:tc>
        <w:tc>
          <w:tcPr>
            <w:tcW w:w="2268" w:type="dxa"/>
            <w:vAlign w:val="center"/>
          </w:tcPr>
          <w:p>
            <w:pPr>
              <w:jc w:val="center"/>
              <w:rPr>
                <w:rFonts w:cs="Times New Roman"/>
                <w:color w:val="auto"/>
                <w:sz w:val="21"/>
                <w:szCs w:val="21"/>
              </w:rPr>
            </w:pPr>
            <w:r>
              <w:rPr>
                <w:rFonts w:hint="eastAsia" w:cs="Times New Roman"/>
                <w:color w:val="auto"/>
                <w:sz w:val="21"/>
                <w:szCs w:val="21"/>
              </w:rPr>
              <w:t>1.5</w:t>
            </w:r>
            <w:r>
              <w:rPr>
                <w:rFonts w:cs="Times New Roman"/>
                <w:color w:val="auto"/>
                <w:sz w:val="21"/>
                <w:szCs w:val="21"/>
              </w:rPr>
              <w:t>t/a</w:t>
            </w:r>
          </w:p>
        </w:tc>
        <w:tc>
          <w:tcPr>
            <w:tcW w:w="2263"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51" w:type="dxa"/>
            <w:vAlign w:val="center"/>
          </w:tcPr>
          <w:p>
            <w:pPr>
              <w:jc w:val="center"/>
              <w:rPr>
                <w:rFonts w:cs="Times New Roman"/>
                <w:b/>
                <w:bCs/>
                <w:color w:val="auto"/>
                <w:sz w:val="21"/>
                <w:szCs w:val="21"/>
              </w:rPr>
            </w:pPr>
            <w:r>
              <w:rPr>
                <w:rFonts w:cs="Times New Roman"/>
                <w:b/>
                <w:bCs/>
                <w:color w:val="auto"/>
                <w:sz w:val="21"/>
                <w:szCs w:val="21"/>
              </w:rPr>
              <w:t>噪</w:t>
            </w:r>
          </w:p>
          <w:p>
            <w:pPr>
              <w:jc w:val="center"/>
              <w:rPr>
                <w:rFonts w:cs="Times New Roman"/>
                <w:b/>
                <w:bCs/>
                <w:color w:val="auto"/>
                <w:sz w:val="21"/>
                <w:szCs w:val="21"/>
              </w:rPr>
            </w:pPr>
            <w:r>
              <w:rPr>
                <w:rFonts w:cs="Times New Roman"/>
                <w:b/>
                <w:bCs/>
                <w:color w:val="auto"/>
                <w:sz w:val="21"/>
                <w:szCs w:val="21"/>
              </w:rPr>
              <w:t>声</w:t>
            </w:r>
          </w:p>
        </w:tc>
        <w:tc>
          <w:tcPr>
            <w:tcW w:w="8287" w:type="dxa"/>
            <w:gridSpan w:val="4"/>
            <w:vAlign w:val="center"/>
          </w:tcPr>
          <w:p>
            <w:pPr>
              <w:jc w:val="left"/>
              <w:rPr>
                <w:rFonts w:cs="Times New Roman"/>
                <w:color w:val="auto"/>
                <w:sz w:val="21"/>
                <w:szCs w:val="21"/>
              </w:rPr>
            </w:pPr>
            <w:r>
              <w:rPr>
                <w:rFonts w:cs="Times New Roman"/>
                <w:color w:val="auto"/>
                <w:sz w:val="21"/>
                <w:szCs w:val="21"/>
              </w:rPr>
              <w:t>项目噪声主要为气动升降乳化机、半自动涂覆机、纯净水机等设备运行产生的机械噪声及风机运行产生的空气动力性噪声，噪声源强约为65~90dB（A）。经基础减振、厂房隔声等措施后能够满足《工业企业厂界环境噪声排放标准》（GB12348-2008）中2类区标准要求，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51" w:type="dxa"/>
            <w:vAlign w:val="center"/>
          </w:tcPr>
          <w:p>
            <w:pPr>
              <w:jc w:val="center"/>
              <w:rPr>
                <w:rFonts w:cs="Times New Roman"/>
                <w:b/>
                <w:bCs/>
                <w:color w:val="auto"/>
                <w:sz w:val="21"/>
                <w:szCs w:val="21"/>
              </w:rPr>
            </w:pPr>
            <w:r>
              <w:rPr>
                <w:rFonts w:cs="Times New Roman"/>
                <w:b/>
                <w:bCs/>
                <w:color w:val="auto"/>
                <w:sz w:val="21"/>
                <w:szCs w:val="21"/>
              </w:rPr>
              <w:t>其他</w:t>
            </w:r>
          </w:p>
        </w:tc>
        <w:tc>
          <w:tcPr>
            <w:tcW w:w="8287" w:type="dxa"/>
            <w:gridSpan w:val="4"/>
            <w:vAlign w:val="center"/>
          </w:tcPr>
          <w:p>
            <w:pPr>
              <w:jc w:val="center"/>
              <w:rPr>
                <w:rFonts w:cs="Times New Roman"/>
                <w:color w:val="auto"/>
                <w:sz w:val="21"/>
                <w:szCs w:val="21"/>
              </w:rPr>
            </w:pPr>
            <w:r>
              <w:rPr>
                <w:rFonts w:cs="Times New Roman"/>
                <w:color w:val="auto"/>
                <w:sz w:val="21"/>
                <w:szCs w:val="21"/>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138" w:type="dxa"/>
            <w:gridSpan w:val="5"/>
            <w:vAlign w:val="center"/>
          </w:tcPr>
          <w:p>
            <w:pPr>
              <w:jc w:val="left"/>
              <w:rPr>
                <w:rFonts w:cs="Times New Roman"/>
                <w:color w:val="auto"/>
                <w:sz w:val="21"/>
                <w:szCs w:val="21"/>
              </w:rPr>
            </w:pPr>
            <w:r>
              <w:rPr>
                <w:rFonts w:cs="Times New Roman"/>
                <w:color w:val="auto"/>
                <w:sz w:val="21"/>
                <w:szCs w:val="21"/>
              </w:rPr>
              <w:t>主要生态影响：</w:t>
            </w:r>
          </w:p>
          <w:p>
            <w:pPr>
              <w:ind w:firstLine="420" w:firstLineChars="200"/>
              <w:rPr>
                <w:rFonts w:cs="Times New Roman"/>
                <w:color w:val="auto"/>
                <w:sz w:val="21"/>
                <w:szCs w:val="21"/>
              </w:rPr>
            </w:pPr>
            <w:r>
              <w:rPr>
                <w:rFonts w:cs="Times New Roman"/>
                <w:color w:val="auto"/>
                <w:sz w:val="21"/>
                <w:szCs w:val="21"/>
              </w:rPr>
              <w:t>项目施工期主要为设备安装过程，不需进行土建施工，不会对周边生态环境产生较大影响。</w:t>
            </w:r>
          </w:p>
          <w:p>
            <w:pPr>
              <w:ind w:firstLine="420" w:firstLineChars="200"/>
              <w:rPr>
                <w:rFonts w:cs="Times New Roman"/>
                <w:color w:val="auto"/>
                <w:sz w:val="21"/>
                <w:szCs w:val="21"/>
              </w:rPr>
            </w:pPr>
            <w:r>
              <w:rPr>
                <w:rFonts w:cs="Times New Roman"/>
                <w:color w:val="auto"/>
                <w:sz w:val="21"/>
                <w:szCs w:val="21"/>
              </w:rPr>
              <w:t>项目建成运行后产生的废气、废水、固废及噪声在采取评价要求的治理措施能够得到有效的治理和控制，不会对周围生态环境产生明显影响。</w:t>
            </w:r>
          </w:p>
          <w:p>
            <w:pPr>
              <w:rPr>
                <w:rFonts w:cs="Times New Roman"/>
                <w:color w:val="auto"/>
                <w:sz w:val="21"/>
                <w:szCs w:val="21"/>
              </w:rPr>
            </w:pPr>
          </w:p>
        </w:tc>
      </w:tr>
    </w:tbl>
    <w:p>
      <w:pPr>
        <w:spacing w:line="440" w:lineRule="exact"/>
        <w:rPr>
          <w:rFonts w:eastAsia="黑体" w:cs="Times New Roman"/>
          <w:color w:val="auto"/>
          <w:sz w:val="30"/>
        </w:rPr>
      </w:pPr>
      <w:r>
        <w:rPr>
          <w:rFonts w:cs="Times New Roman"/>
          <w:b/>
          <w:color w:val="auto"/>
          <w:sz w:val="30"/>
        </w:rPr>
        <w:br w:type="page"/>
      </w:r>
      <w:r>
        <w:rPr>
          <w:rFonts w:eastAsia="黑体" w:cs="Times New Roman"/>
          <w:color w:val="auto"/>
          <w:sz w:val="30"/>
        </w:rPr>
        <w:t>环境影响分析</w:t>
      </w:r>
      <w:r>
        <w:rPr>
          <w:rFonts w:hint="eastAsia" w:eastAsia="黑体" w:cs="Times New Roman"/>
          <w:color w:val="auto"/>
          <w:sz w:val="30"/>
        </w:rPr>
        <w:t xml:space="preserve"> </w:t>
      </w:r>
    </w:p>
    <w:tbl>
      <w:tblPr>
        <w:tblStyle w:val="26"/>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8802" w:type="dxa"/>
          </w:tcPr>
          <w:p>
            <w:pPr>
              <w:spacing w:line="460" w:lineRule="exact"/>
              <w:jc w:val="left"/>
              <w:rPr>
                <w:rFonts w:cs="Times New Roman"/>
                <w:b/>
                <w:color w:val="auto"/>
                <w:sz w:val="24"/>
                <w:szCs w:val="24"/>
              </w:rPr>
            </w:pPr>
            <w:r>
              <w:rPr>
                <w:rFonts w:eastAsia="黑体" w:cs="Times New Roman"/>
                <w:color w:val="auto"/>
                <w:szCs w:val="28"/>
              </w:rPr>
              <w:t>一、施工期环境影响分析</w:t>
            </w:r>
            <w:r>
              <w:rPr>
                <w:rFonts w:cs="Times New Roman"/>
                <w:b/>
                <w:color w:val="auto"/>
                <w:sz w:val="24"/>
                <w:szCs w:val="24"/>
              </w:rPr>
              <w:t>：</w:t>
            </w:r>
          </w:p>
          <w:p>
            <w:pPr>
              <w:spacing w:line="460" w:lineRule="exact"/>
              <w:jc w:val="left"/>
              <w:rPr>
                <w:rFonts w:cs="Times New Roman"/>
                <w:b/>
                <w:color w:val="auto"/>
                <w:sz w:val="24"/>
                <w:szCs w:val="24"/>
              </w:rPr>
            </w:pPr>
            <w:r>
              <w:rPr>
                <w:rFonts w:cs="Times New Roman"/>
                <w:b/>
                <w:color w:val="auto"/>
                <w:sz w:val="24"/>
                <w:szCs w:val="24"/>
              </w:rPr>
              <w:t xml:space="preserve">   </w:t>
            </w:r>
            <w:r>
              <w:rPr>
                <w:rFonts w:cs="Times New Roman"/>
                <w:color w:val="auto"/>
                <w:sz w:val="24"/>
              </w:rPr>
              <w:t>本项目租用现有厂房进行建设，后续</w:t>
            </w:r>
            <w:r>
              <w:rPr>
                <w:rFonts w:hint="eastAsia" w:cs="Times New Roman"/>
                <w:color w:val="auto"/>
                <w:sz w:val="24"/>
              </w:rPr>
              <w:t>无</w:t>
            </w:r>
            <w:r>
              <w:rPr>
                <w:rFonts w:cs="Times New Roman"/>
                <w:color w:val="auto"/>
                <w:sz w:val="24"/>
              </w:rPr>
              <w:t>土建施工工程，</w:t>
            </w:r>
            <w:r>
              <w:rPr>
                <w:rFonts w:cs="Times New Roman"/>
                <w:color w:val="auto"/>
                <w:sz w:val="24"/>
                <w:szCs w:val="24"/>
              </w:rPr>
              <w:t>主要为设备的安装，基本在车间内进行，其对周围环境的不利影响</w:t>
            </w:r>
            <w:r>
              <w:rPr>
                <w:rFonts w:hint="eastAsia" w:cs="Times New Roman"/>
                <w:color w:val="auto"/>
                <w:sz w:val="24"/>
                <w:szCs w:val="24"/>
              </w:rPr>
              <w:t>主要为噪声影响，影响</w:t>
            </w:r>
            <w:r>
              <w:rPr>
                <w:rFonts w:cs="Times New Roman"/>
                <w:color w:val="auto"/>
                <w:sz w:val="24"/>
                <w:szCs w:val="24"/>
              </w:rPr>
              <w:t>将随施工期的结束而终止，</w:t>
            </w:r>
            <w:r>
              <w:rPr>
                <w:rFonts w:hint="eastAsia" w:cs="Times New Roman"/>
                <w:color w:val="auto"/>
                <w:sz w:val="24"/>
                <w:szCs w:val="24"/>
              </w:rPr>
              <w:t>本次评价</w:t>
            </w:r>
            <w:r>
              <w:rPr>
                <w:rFonts w:cs="Times New Roman"/>
                <w:color w:val="auto"/>
                <w:sz w:val="24"/>
                <w:szCs w:val="24"/>
              </w:rPr>
              <w:t>不再进行施工期环境影响分析。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8" w:hRule="atLeast"/>
          <w:jc w:val="center"/>
        </w:trPr>
        <w:tc>
          <w:tcPr>
            <w:tcW w:w="8802" w:type="dxa"/>
          </w:tcPr>
          <w:p>
            <w:pPr>
              <w:spacing w:line="360" w:lineRule="auto"/>
              <w:jc w:val="left"/>
              <w:rPr>
                <w:rFonts w:eastAsia="黑体" w:cs="Times New Roman"/>
                <w:color w:val="auto"/>
                <w:szCs w:val="28"/>
              </w:rPr>
            </w:pPr>
            <w:r>
              <w:rPr>
                <w:rFonts w:eastAsia="黑体" w:cs="Times New Roman"/>
                <w:color w:val="auto"/>
                <w:szCs w:val="28"/>
              </w:rPr>
              <w:t>二、营运期环境影响分析：</w:t>
            </w:r>
          </w:p>
          <w:p>
            <w:pPr>
              <w:spacing w:line="360" w:lineRule="auto"/>
              <w:ind w:firstLine="480" w:firstLineChars="200"/>
              <w:jc w:val="left"/>
              <w:rPr>
                <w:color w:val="auto"/>
                <w:sz w:val="24"/>
                <w:szCs w:val="24"/>
              </w:rPr>
            </w:pPr>
            <w:r>
              <w:rPr>
                <w:color w:val="auto"/>
                <w:sz w:val="24"/>
                <w:szCs w:val="24"/>
              </w:rPr>
              <w:t>营运期污染因素主要有废气、废水、噪声、固废，具体内容详见以下分析。</w:t>
            </w:r>
          </w:p>
          <w:p>
            <w:pPr>
              <w:spacing w:line="360" w:lineRule="auto"/>
              <w:ind w:firstLine="480" w:firstLineChars="200"/>
              <w:jc w:val="left"/>
              <w:rPr>
                <w:rFonts w:eastAsia="黑体" w:cs="Times New Roman"/>
                <w:color w:val="auto"/>
                <w:sz w:val="24"/>
                <w:szCs w:val="24"/>
              </w:rPr>
            </w:pPr>
            <w:r>
              <w:rPr>
                <w:rFonts w:eastAsia="黑体" w:cs="Times New Roman"/>
                <w:color w:val="auto"/>
                <w:sz w:val="24"/>
                <w:szCs w:val="24"/>
              </w:rPr>
              <w:t>1、大气环境</w:t>
            </w:r>
          </w:p>
          <w:p>
            <w:pPr>
              <w:widowControl/>
              <w:spacing w:line="360" w:lineRule="auto"/>
              <w:ind w:firstLine="480" w:firstLineChars="200"/>
              <w:rPr>
                <w:rFonts w:cs="Times New Roman"/>
                <w:color w:val="auto"/>
                <w:kern w:val="0"/>
                <w:sz w:val="24"/>
                <w:szCs w:val="24"/>
              </w:rPr>
            </w:pPr>
            <w:r>
              <w:rPr>
                <w:rFonts w:cs="Times New Roman"/>
                <w:color w:val="auto"/>
                <w:kern w:val="0"/>
                <w:sz w:val="24"/>
                <w:szCs w:val="24"/>
              </w:rPr>
              <w:t>根据《环境影响评价技术导则 大气环境》(HJ2.2-2018)相关要求，对本项目大气环境影响进行预测分析。</w:t>
            </w:r>
          </w:p>
          <w:p>
            <w:pPr>
              <w:widowControl/>
              <w:spacing w:line="360" w:lineRule="auto"/>
              <w:ind w:firstLine="480" w:firstLineChars="200"/>
              <w:rPr>
                <w:rFonts w:cs="Times New Roman"/>
                <w:color w:val="auto"/>
                <w:kern w:val="0"/>
                <w:sz w:val="24"/>
                <w:szCs w:val="24"/>
              </w:rPr>
            </w:pPr>
            <w:r>
              <w:rPr>
                <w:rFonts w:cs="Times New Roman"/>
                <w:color w:val="auto"/>
                <w:kern w:val="0"/>
                <w:sz w:val="24"/>
                <w:szCs w:val="24"/>
              </w:rPr>
              <w:t>（1）评价因子和评价标准筛选</w:t>
            </w:r>
          </w:p>
          <w:p>
            <w:pPr>
              <w:pStyle w:val="21"/>
              <w:ind w:firstLine="420"/>
              <w:rPr>
                <w:color w:val="auto"/>
              </w:rPr>
            </w:pPr>
            <w:r>
              <w:rPr>
                <w:rFonts w:hint="eastAsia"/>
                <w:color w:val="auto"/>
              </w:rPr>
              <w:t xml:space="preserve">          </w:t>
            </w:r>
            <w:r>
              <w:rPr>
                <w:color w:val="auto"/>
              </w:rPr>
              <w:t>评价因子和评价标准表</w:t>
            </w:r>
          </w:p>
          <w:tbl>
            <w:tblPr>
              <w:tblStyle w:val="26"/>
              <w:tblW w:w="8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511"/>
              <w:gridCol w:w="2446"/>
              <w:gridCol w:w="33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autoSpaceDE w:val="0"/>
                    <w:autoSpaceDN w:val="0"/>
                    <w:adjustRightInd w:val="0"/>
                    <w:jc w:val="center"/>
                    <w:rPr>
                      <w:rFonts w:cs="Times New Roman"/>
                      <w:color w:val="auto"/>
                      <w:kern w:val="0"/>
                      <w:sz w:val="18"/>
                      <w:szCs w:val="18"/>
                    </w:rPr>
                  </w:pPr>
                  <w:r>
                    <w:rPr>
                      <w:rFonts w:cs="Times New Roman"/>
                      <w:color w:val="auto"/>
                      <w:kern w:val="0"/>
                      <w:sz w:val="18"/>
                      <w:szCs w:val="18"/>
                    </w:rPr>
                    <w:t>评价因子</w:t>
                  </w:r>
                </w:p>
              </w:tc>
              <w:tc>
                <w:tcPr>
                  <w:tcW w:w="1511" w:type="dxa"/>
                </w:tcPr>
                <w:p>
                  <w:pPr>
                    <w:autoSpaceDE w:val="0"/>
                    <w:autoSpaceDN w:val="0"/>
                    <w:adjustRightInd w:val="0"/>
                    <w:jc w:val="center"/>
                    <w:rPr>
                      <w:rFonts w:cs="Times New Roman"/>
                      <w:color w:val="auto"/>
                      <w:kern w:val="0"/>
                      <w:sz w:val="18"/>
                      <w:szCs w:val="18"/>
                    </w:rPr>
                  </w:pPr>
                  <w:r>
                    <w:rPr>
                      <w:rFonts w:cs="Times New Roman"/>
                      <w:color w:val="auto"/>
                      <w:kern w:val="0"/>
                      <w:sz w:val="18"/>
                      <w:szCs w:val="18"/>
                    </w:rPr>
                    <w:t>平均时段</w:t>
                  </w:r>
                </w:p>
              </w:tc>
              <w:tc>
                <w:tcPr>
                  <w:tcW w:w="2446" w:type="dxa"/>
                </w:tcPr>
                <w:p>
                  <w:pPr>
                    <w:autoSpaceDE w:val="0"/>
                    <w:autoSpaceDN w:val="0"/>
                    <w:adjustRightInd w:val="0"/>
                    <w:jc w:val="center"/>
                    <w:rPr>
                      <w:rFonts w:cs="Times New Roman"/>
                      <w:color w:val="auto"/>
                      <w:kern w:val="0"/>
                      <w:sz w:val="18"/>
                      <w:szCs w:val="18"/>
                    </w:rPr>
                  </w:pPr>
                  <w:r>
                    <w:rPr>
                      <w:rFonts w:cs="Times New Roman"/>
                      <w:color w:val="auto"/>
                      <w:kern w:val="0"/>
                      <w:sz w:val="18"/>
                      <w:szCs w:val="18"/>
                    </w:rPr>
                    <w:t>标准值（mg/m</w:t>
                  </w:r>
                  <w:r>
                    <w:rPr>
                      <w:rFonts w:cs="Times New Roman"/>
                      <w:color w:val="auto"/>
                      <w:kern w:val="0"/>
                      <w:sz w:val="18"/>
                      <w:szCs w:val="18"/>
                      <w:vertAlign w:val="superscript"/>
                    </w:rPr>
                    <w:t>3</w:t>
                  </w:r>
                  <w:r>
                    <w:rPr>
                      <w:rFonts w:cs="Times New Roman"/>
                      <w:color w:val="auto"/>
                      <w:kern w:val="0"/>
                      <w:sz w:val="18"/>
                      <w:szCs w:val="18"/>
                    </w:rPr>
                    <w:t>）</w:t>
                  </w:r>
                </w:p>
              </w:tc>
              <w:tc>
                <w:tcPr>
                  <w:tcW w:w="3349" w:type="dxa"/>
                </w:tcPr>
                <w:p>
                  <w:pPr>
                    <w:autoSpaceDE w:val="0"/>
                    <w:autoSpaceDN w:val="0"/>
                    <w:adjustRightInd w:val="0"/>
                    <w:jc w:val="center"/>
                    <w:rPr>
                      <w:rFonts w:cs="Times New Roman"/>
                      <w:color w:val="auto"/>
                      <w:kern w:val="0"/>
                      <w:sz w:val="18"/>
                      <w:szCs w:val="18"/>
                    </w:rPr>
                  </w:pPr>
                  <w:r>
                    <w:rPr>
                      <w:rFonts w:cs="Times New Roman"/>
                      <w:color w:val="auto"/>
                      <w:kern w:val="0"/>
                      <w:sz w:val="18"/>
                      <w:szCs w:val="18"/>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80" w:type="dxa"/>
                  <w:vAlign w:val="center"/>
                </w:tcPr>
                <w:p>
                  <w:pPr>
                    <w:pStyle w:val="33"/>
                    <w:snapToGrid w:val="0"/>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颗粒物</w:t>
                  </w:r>
                </w:p>
              </w:tc>
              <w:tc>
                <w:tcPr>
                  <w:tcW w:w="1511" w:type="dxa"/>
                  <w:vAlign w:val="center"/>
                </w:tcPr>
                <w:p>
                  <w:pPr>
                    <w:pStyle w:val="33"/>
                    <w:snapToGrid w:val="0"/>
                    <w:spacing w:line="240" w:lineRule="auto"/>
                    <w:rPr>
                      <w:rFonts w:ascii="Times New Roman" w:hAnsi="Times New Roman" w:cs="Times New Roman"/>
                      <w:color w:val="auto"/>
                      <w:sz w:val="18"/>
                      <w:szCs w:val="18"/>
                    </w:rPr>
                  </w:pPr>
                  <w:r>
                    <w:rPr>
                      <w:rFonts w:ascii="Times New Roman" w:hAnsi="Times New Roman" w:eastAsia="宋体" w:cs="Times New Roman"/>
                      <w:color w:val="auto"/>
                      <w:sz w:val="18"/>
                      <w:szCs w:val="18"/>
                    </w:rPr>
                    <w:t>1小时均值</w:t>
                  </w:r>
                </w:p>
              </w:tc>
              <w:tc>
                <w:tcPr>
                  <w:tcW w:w="2446" w:type="dxa"/>
                  <w:vAlign w:val="center"/>
                </w:tcPr>
                <w:p>
                  <w:pPr>
                    <w:pStyle w:val="33"/>
                    <w:snapToGrid w:val="0"/>
                    <w:spacing w:line="240" w:lineRule="auto"/>
                    <w:rPr>
                      <w:rFonts w:ascii="Times New Roman" w:hAnsi="Times New Roman" w:cs="Times New Roman"/>
                      <w:color w:val="auto"/>
                      <w:sz w:val="18"/>
                      <w:szCs w:val="18"/>
                    </w:rPr>
                  </w:pPr>
                  <w:r>
                    <w:rPr>
                      <w:rFonts w:ascii="Times New Roman" w:hAnsi="Times New Roman" w:eastAsia="宋体" w:cs="Times New Roman"/>
                      <w:color w:val="auto"/>
                      <w:sz w:val="18"/>
                      <w:szCs w:val="18"/>
                    </w:rPr>
                    <w:t>0.45（日均值的3倍）</w:t>
                  </w:r>
                </w:p>
              </w:tc>
              <w:tc>
                <w:tcPr>
                  <w:tcW w:w="3349" w:type="dxa"/>
                  <w:vMerge w:val="restart"/>
                  <w:vAlign w:val="center"/>
                </w:tcPr>
                <w:p>
                  <w:pPr>
                    <w:pStyle w:val="33"/>
                    <w:snapToGrid w:val="0"/>
                    <w:spacing w:line="240" w:lineRule="auto"/>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rPr>
                    <w:t>《环境空气质量标准》</w:t>
                  </w:r>
                </w:p>
                <w:p>
                  <w:pPr>
                    <w:pStyle w:val="33"/>
                    <w:snapToGrid w:val="0"/>
                    <w:spacing w:line="240" w:lineRule="auto"/>
                    <w:rPr>
                      <w:rFonts w:ascii="Times New Roman" w:hAnsi="Times New Roman" w:cs="Times New Roman"/>
                      <w:color w:val="auto"/>
                      <w:sz w:val="18"/>
                      <w:szCs w:val="18"/>
                    </w:rPr>
                  </w:pPr>
                  <w:r>
                    <w:rPr>
                      <w:rFonts w:ascii="Times New Roman" w:hAnsi="Times New Roman" w:cs="Times New Roman" w:eastAsiaTheme="minorEastAsia"/>
                      <w:color w:val="auto"/>
                      <w:sz w:val="18"/>
                      <w:szCs w:val="18"/>
                    </w:rPr>
                    <w:t>（GB3095-2012）二级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80" w:type="dxa"/>
                  <w:vAlign w:val="center"/>
                </w:tcPr>
                <w:p>
                  <w:pPr>
                    <w:pStyle w:val="33"/>
                    <w:snapToGrid w:val="0"/>
                    <w:spacing w:line="240" w:lineRule="auto"/>
                    <w:rPr>
                      <w:rFonts w:ascii="Times New Roman" w:hAnsi="Times New Roman" w:eastAsia="宋体" w:cs="Times New Roman"/>
                      <w:color w:val="auto"/>
                      <w:sz w:val="18"/>
                      <w:szCs w:val="18"/>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2</w:t>
                  </w:r>
                </w:p>
              </w:tc>
              <w:tc>
                <w:tcPr>
                  <w:tcW w:w="1511" w:type="dxa"/>
                  <w:vAlign w:val="center"/>
                </w:tcPr>
                <w:p>
                  <w:pPr>
                    <w:pStyle w:val="33"/>
                    <w:snapToGrid w:val="0"/>
                    <w:spacing w:line="240" w:lineRule="auto"/>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1小时均值</w:t>
                  </w:r>
                </w:p>
              </w:tc>
              <w:tc>
                <w:tcPr>
                  <w:tcW w:w="2446" w:type="dxa"/>
                  <w:vAlign w:val="center"/>
                </w:tcPr>
                <w:p>
                  <w:pPr>
                    <w:pStyle w:val="33"/>
                    <w:snapToGrid w:val="0"/>
                    <w:spacing w:line="240" w:lineRule="auto"/>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0.2</w:t>
                  </w:r>
                </w:p>
              </w:tc>
              <w:tc>
                <w:tcPr>
                  <w:tcW w:w="3349" w:type="dxa"/>
                  <w:vMerge w:val="continue"/>
                  <w:vAlign w:val="center"/>
                </w:tcPr>
                <w:p>
                  <w:pPr>
                    <w:pStyle w:val="33"/>
                    <w:snapToGrid w:val="0"/>
                    <w:spacing w:line="240" w:lineRule="auto"/>
                    <w:rPr>
                      <w:rFonts w:ascii="Times New Roman" w:hAnsi="Times New Roman" w:eastAsia="宋体" w:cs="Times New Roman"/>
                      <w:color w:val="auto"/>
                      <w:sz w:val="18"/>
                      <w:szCs w:val="18"/>
                    </w:rPr>
                  </w:pPr>
                </w:p>
              </w:tc>
            </w:tr>
          </w:tbl>
          <w:p>
            <w:pPr>
              <w:widowControl/>
              <w:adjustRightInd w:val="0"/>
              <w:snapToGrid w:val="0"/>
              <w:spacing w:line="360" w:lineRule="auto"/>
              <w:ind w:firstLine="480" w:firstLineChars="200"/>
              <w:rPr>
                <w:rFonts w:cs="Times New Roman"/>
                <w:color w:val="auto"/>
                <w:kern w:val="0"/>
                <w:sz w:val="24"/>
                <w:szCs w:val="24"/>
              </w:rPr>
            </w:pPr>
            <w:r>
              <w:rPr>
                <w:rFonts w:cs="Times New Roman"/>
                <w:color w:val="auto"/>
                <w:kern w:val="0"/>
                <w:sz w:val="24"/>
                <w:szCs w:val="24"/>
              </w:rPr>
              <w:t>（2）污染源排放清单</w:t>
            </w:r>
          </w:p>
          <w:p>
            <w:pPr>
              <w:widowControl/>
              <w:autoSpaceDE w:val="0"/>
              <w:autoSpaceDN w:val="0"/>
              <w:adjustRightInd w:val="0"/>
              <w:snapToGrid w:val="0"/>
              <w:spacing w:line="360" w:lineRule="auto"/>
              <w:ind w:firstLine="480" w:firstLineChars="200"/>
              <w:jc w:val="left"/>
              <w:rPr>
                <w:rFonts w:cs="Times New Roman"/>
                <w:color w:val="auto"/>
                <w:kern w:val="0"/>
                <w:sz w:val="24"/>
                <w:szCs w:val="24"/>
              </w:rPr>
            </w:pPr>
            <w:r>
              <w:rPr>
                <w:rFonts w:cs="Times New Roman"/>
                <w:color w:val="auto"/>
                <w:kern w:val="0"/>
                <w:sz w:val="24"/>
                <w:szCs w:val="24"/>
              </w:rPr>
              <w:t>项目废气各污染因子排放参数见表2</w:t>
            </w:r>
            <w:r>
              <w:rPr>
                <w:rFonts w:hint="eastAsia" w:cs="Times New Roman"/>
                <w:color w:val="auto"/>
                <w:kern w:val="0"/>
                <w:sz w:val="24"/>
                <w:szCs w:val="24"/>
              </w:rPr>
              <w:t>4</w:t>
            </w:r>
            <w:r>
              <w:rPr>
                <w:rFonts w:cs="Times New Roman"/>
                <w:color w:val="auto"/>
                <w:kern w:val="0"/>
                <w:sz w:val="24"/>
                <w:szCs w:val="24"/>
              </w:rPr>
              <w:t>和2</w:t>
            </w:r>
            <w:r>
              <w:rPr>
                <w:rFonts w:hint="eastAsia" w:cs="Times New Roman"/>
                <w:color w:val="auto"/>
                <w:kern w:val="0"/>
                <w:sz w:val="24"/>
                <w:szCs w:val="24"/>
              </w:rPr>
              <w:t>5</w:t>
            </w:r>
            <w:r>
              <w:rPr>
                <w:rFonts w:cs="Times New Roman"/>
                <w:color w:val="auto"/>
                <w:kern w:val="0"/>
                <w:sz w:val="24"/>
                <w:szCs w:val="24"/>
              </w:rPr>
              <w:t>。</w:t>
            </w:r>
          </w:p>
          <w:p>
            <w:pPr>
              <w:pStyle w:val="21"/>
              <w:ind w:firstLine="420"/>
              <w:rPr>
                <w:color w:val="auto"/>
              </w:rPr>
            </w:pPr>
            <w:r>
              <w:rPr>
                <w:rFonts w:hint="eastAsia"/>
                <w:color w:val="auto"/>
              </w:rPr>
              <w:t xml:space="preserve">             </w:t>
            </w:r>
            <w:r>
              <w:rPr>
                <w:color w:val="auto"/>
              </w:rPr>
              <w:t>点源参数调查清单</w:t>
            </w:r>
          </w:p>
          <w:tbl>
            <w:tblPr>
              <w:tblStyle w:val="26"/>
              <w:tblW w:w="8586"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96"/>
              <w:gridCol w:w="652"/>
              <w:gridCol w:w="1071"/>
              <w:gridCol w:w="981"/>
              <w:gridCol w:w="462"/>
              <w:gridCol w:w="599"/>
              <w:gridCol w:w="617"/>
              <w:gridCol w:w="797"/>
              <w:gridCol w:w="638"/>
              <w:gridCol w:w="604"/>
              <w:gridCol w:w="437"/>
              <w:gridCol w:w="621"/>
              <w:gridCol w:w="711"/>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6" w:type="dxa"/>
                  <w:vMerge w:val="restart"/>
                  <w:tcBorders>
                    <w:right w:val="single" w:color="auto" w:sz="4" w:space="0"/>
                  </w:tcBorders>
                  <w:vAlign w:val="center"/>
                </w:tcPr>
                <w:p>
                  <w:pPr>
                    <w:widowControl/>
                    <w:adjustRightInd w:val="0"/>
                    <w:snapToGrid w:val="0"/>
                    <w:jc w:val="center"/>
                    <w:rPr>
                      <w:rFonts w:cs="Times New Roman"/>
                      <w:color w:val="auto"/>
                      <w:sz w:val="18"/>
                      <w:szCs w:val="18"/>
                    </w:rPr>
                  </w:pPr>
                  <w:r>
                    <w:rPr>
                      <w:rFonts w:cs="Times New Roman"/>
                      <w:color w:val="auto"/>
                      <w:sz w:val="18"/>
                      <w:szCs w:val="18"/>
                    </w:rPr>
                    <w:t>编号</w:t>
                  </w:r>
                </w:p>
              </w:tc>
              <w:tc>
                <w:tcPr>
                  <w:tcW w:w="1090" w:type="dxa"/>
                  <w:vMerge w:val="restart"/>
                  <w:tcBorders>
                    <w:left w:val="single" w:color="auto" w:sz="4" w:space="0"/>
                  </w:tcBorders>
                  <w:vAlign w:val="center"/>
                </w:tcPr>
                <w:p>
                  <w:pPr>
                    <w:widowControl/>
                    <w:adjustRightInd w:val="0"/>
                    <w:snapToGrid w:val="0"/>
                    <w:jc w:val="center"/>
                    <w:rPr>
                      <w:rFonts w:cs="Times New Roman"/>
                      <w:color w:val="auto"/>
                      <w:sz w:val="18"/>
                      <w:szCs w:val="18"/>
                    </w:rPr>
                  </w:pPr>
                  <w:r>
                    <w:rPr>
                      <w:rFonts w:cs="Times New Roman"/>
                      <w:color w:val="auto"/>
                      <w:kern w:val="0"/>
                      <w:sz w:val="18"/>
                      <w:szCs w:val="18"/>
                    </w:rPr>
                    <w:t>名称</w:t>
                  </w:r>
                </w:p>
              </w:tc>
              <w:tc>
                <w:tcPr>
                  <w:tcW w:w="1148" w:type="dxa"/>
                  <w:gridSpan w:val="2"/>
                  <w:tcBorders>
                    <w:bottom w:val="single" w:color="auto" w:sz="4" w:space="0"/>
                  </w:tcBorders>
                  <w:vAlign w:val="center"/>
                </w:tcPr>
                <w:p>
                  <w:pPr>
                    <w:adjustRightInd w:val="0"/>
                    <w:snapToGrid w:val="0"/>
                    <w:jc w:val="center"/>
                    <w:rPr>
                      <w:rFonts w:cs="Times New Roman"/>
                      <w:color w:val="auto"/>
                      <w:kern w:val="0"/>
                      <w:sz w:val="18"/>
                      <w:szCs w:val="18"/>
                    </w:rPr>
                  </w:pPr>
                  <w:r>
                    <w:rPr>
                      <w:rFonts w:cs="Times New Roman"/>
                      <w:color w:val="auto"/>
                      <w:kern w:val="0"/>
                      <w:sz w:val="18"/>
                      <w:szCs w:val="18"/>
                    </w:rPr>
                    <w:t>排气筒底部中心坐标</w:t>
                  </w:r>
                </w:p>
              </w:tc>
              <w:tc>
                <w:tcPr>
                  <w:tcW w:w="780" w:type="dxa"/>
                  <w:vMerge w:val="restart"/>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排气筒底部海拔高度/m</w:t>
                  </w:r>
                </w:p>
              </w:tc>
              <w:tc>
                <w:tcPr>
                  <w:tcW w:w="589" w:type="dxa"/>
                  <w:vMerge w:val="restart"/>
                  <w:vAlign w:val="center"/>
                </w:tcPr>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排气筒</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高度</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bCs/>
                      <w:color w:val="auto"/>
                      <w:kern w:val="0"/>
                      <w:sz w:val="18"/>
                      <w:szCs w:val="18"/>
                    </w:rPr>
                    <w:t>（m）</w:t>
                  </w:r>
                </w:p>
              </w:tc>
              <w:tc>
                <w:tcPr>
                  <w:tcW w:w="721" w:type="dxa"/>
                  <w:vMerge w:val="restart"/>
                  <w:vAlign w:val="center"/>
                </w:tcPr>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排气筒</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内径</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bCs/>
                      <w:color w:val="auto"/>
                      <w:kern w:val="0"/>
                      <w:sz w:val="18"/>
                      <w:szCs w:val="18"/>
                    </w:rPr>
                    <w:t>（m）</w:t>
                  </w:r>
                </w:p>
              </w:tc>
              <w:tc>
                <w:tcPr>
                  <w:tcW w:w="707" w:type="dxa"/>
                  <w:vMerge w:val="restart"/>
                  <w:vAlign w:val="center"/>
                </w:tcPr>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烟气</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流量</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（m</w:t>
                  </w:r>
                  <w:r>
                    <w:rPr>
                      <w:rFonts w:cs="Times New Roman"/>
                      <w:color w:val="auto"/>
                      <w:kern w:val="0"/>
                      <w:sz w:val="18"/>
                      <w:szCs w:val="18"/>
                      <w:vertAlign w:val="superscript"/>
                    </w:rPr>
                    <w:t>3</w:t>
                  </w:r>
                  <w:r>
                    <w:rPr>
                      <w:rFonts w:cs="Times New Roman"/>
                      <w:color w:val="auto"/>
                      <w:kern w:val="0"/>
                      <w:sz w:val="18"/>
                      <w:szCs w:val="18"/>
                    </w:rPr>
                    <w:t>/h）</w:t>
                  </w:r>
                </w:p>
              </w:tc>
              <w:tc>
                <w:tcPr>
                  <w:tcW w:w="574" w:type="dxa"/>
                  <w:vMerge w:val="restart"/>
                  <w:vAlign w:val="center"/>
                </w:tcPr>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烟气</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出口</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温度</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w:t>
                  </w:r>
                </w:p>
              </w:tc>
              <w:tc>
                <w:tcPr>
                  <w:tcW w:w="763" w:type="dxa"/>
                  <w:vMerge w:val="restart"/>
                  <w:vAlign w:val="center"/>
                </w:tcPr>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年排放</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小时数</w:t>
                  </w:r>
                </w:p>
                <w:p>
                  <w:pPr>
                    <w:widowControl/>
                    <w:adjustRightInd w:val="0"/>
                    <w:snapToGrid w:val="0"/>
                    <w:ind w:leftChars="-27" w:right="-42" w:rightChars="-15" w:hanging="75" w:hangingChars="42"/>
                    <w:jc w:val="center"/>
                    <w:rPr>
                      <w:rFonts w:cs="Times New Roman"/>
                      <w:color w:val="auto"/>
                      <w:kern w:val="0"/>
                      <w:sz w:val="18"/>
                      <w:szCs w:val="18"/>
                    </w:rPr>
                  </w:pPr>
                  <w:r>
                    <w:rPr>
                      <w:rFonts w:cs="Times New Roman"/>
                      <w:color w:val="auto"/>
                      <w:kern w:val="0"/>
                      <w:sz w:val="18"/>
                      <w:szCs w:val="18"/>
                    </w:rPr>
                    <w:t>（h）</w:t>
                  </w:r>
                </w:p>
              </w:tc>
              <w:tc>
                <w:tcPr>
                  <w:tcW w:w="675" w:type="dxa"/>
                  <w:vMerge w:val="restart"/>
                  <w:vAlign w:val="center"/>
                </w:tcPr>
                <w:p>
                  <w:pPr>
                    <w:widowControl/>
                    <w:adjustRightInd w:val="0"/>
                    <w:snapToGrid w:val="0"/>
                    <w:ind w:leftChars="-27" w:right="-42" w:rightChars="-15" w:hanging="75" w:hangingChars="42"/>
                    <w:jc w:val="center"/>
                    <w:rPr>
                      <w:rFonts w:cs="Times New Roman"/>
                      <w:color w:val="auto"/>
                      <w:sz w:val="18"/>
                      <w:szCs w:val="18"/>
                    </w:rPr>
                  </w:pPr>
                  <w:r>
                    <w:rPr>
                      <w:rFonts w:cs="Times New Roman"/>
                      <w:color w:val="auto"/>
                      <w:sz w:val="18"/>
                      <w:szCs w:val="18"/>
                    </w:rPr>
                    <w:t>排放</w:t>
                  </w:r>
                </w:p>
                <w:p>
                  <w:pPr>
                    <w:widowControl/>
                    <w:adjustRightInd w:val="0"/>
                    <w:snapToGrid w:val="0"/>
                    <w:ind w:leftChars="-27" w:right="-42" w:rightChars="-15" w:hanging="75" w:hangingChars="42"/>
                    <w:jc w:val="center"/>
                    <w:rPr>
                      <w:rFonts w:cs="Times New Roman"/>
                      <w:color w:val="auto"/>
                      <w:sz w:val="18"/>
                      <w:szCs w:val="18"/>
                    </w:rPr>
                  </w:pPr>
                  <w:r>
                    <w:rPr>
                      <w:rFonts w:cs="Times New Roman"/>
                      <w:color w:val="auto"/>
                      <w:sz w:val="18"/>
                      <w:szCs w:val="18"/>
                    </w:rPr>
                    <w:t>工况</w:t>
                  </w:r>
                </w:p>
              </w:tc>
              <w:tc>
                <w:tcPr>
                  <w:tcW w:w="1233" w:type="dxa"/>
                  <w:gridSpan w:val="2"/>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污染物排放速率源强kg/h</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6" w:type="dxa"/>
                  <w:vMerge w:val="continue"/>
                  <w:tcBorders>
                    <w:right w:val="single" w:color="auto" w:sz="4" w:space="0"/>
                  </w:tcBorders>
                  <w:vAlign w:val="center"/>
                </w:tcPr>
                <w:p>
                  <w:pPr>
                    <w:widowControl/>
                    <w:adjustRightInd w:val="0"/>
                    <w:snapToGrid w:val="0"/>
                    <w:jc w:val="center"/>
                    <w:rPr>
                      <w:rFonts w:cs="Times New Roman"/>
                      <w:color w:val="auto"/>
                      <w:kern w:val="0"/>
                      <w:sz w:val="18"/>
                      <w:szCs w:val="18"/>
                    </w:rPr>
                  </w:pPr>
                </w:p>
              </w:tc>
              <w:tc>
                <w:tcPr>
                  <w:tcW w:w="1090" w:type="dxa"/>
                  <w:vMerge w:val="continue"/>
                  <w:tcBorders>
                    <w:left w:val="single" w:color="auto" w:sz="4" w:space="0"/>
                  </w:tcBorders>
                  <w:vAlign w:val="center"/>
                </w:tcPr>
                <w:p>
                  <w:pPr>
                    <w:widowControl/>
                    <w:adjustRightInd w:val="0"/>
                    <w:snapToGrid w:val="0"/>
                    <w:jc w:val="center"/>
                    <w:rPr>
                      <w:rFonts w:cs="Times New Roman"/>
                      <w:color w:val="auto"/>
                      <w:kern w:val="0"/>
                      <w:sz w:val="18"/>
                      <w:szCs w:val="18"/>
                    </w:rPr>
                  </w:pPr>
                </w:p>
              </w:tc>
              <w:tc>
                <w:tcPr>
                  <w:tcW w:w="604" w:type="dxa"/>
                  <w:tcBorders>
                    <w:top w:val="single" w:color="auto" w:sz="4" w:space="0"/>
                    <w:right w:val="single" w:color="auto" w:sz="4" w:space="0"/>
                  </w:tcBorders>
                  <w:vAlign w:val="center"/>
                </w:tcPr>
                <w:p>
                  <w:pPr>
                    <w:adjustRightInd w:val="0"/>
                    <w:snapToGrid w:val="0"/>
                    <w:jc w:val="center"/>
                    <w:rPr>
                      <w:rFonts w:cs="Times New Roman"/>
                      <w:color w:val="auto"/>
                      <w:kern w:val="0"/>
                      <w:sz w:val="18"/>
                      <w:szCs w:val="18"/>
                    </w:rPr>
                  </w:pPr>
                  <w:r>
                    <w:rPr>
                      <w:rFonts w:cs="Times New Roman"/>
                      <w:color w:val="auto"/>
                      <w:kern w:val="0"/>
                      <w:sz w:val="18"/>
                      <w:szCs w:val="18"/>
                    </w:rPr>
                    <w:t>X</w:t>
                  </w:r>
                </w:p>
              </w:tc>
              <w:tc>
                <w:tcPr>
                  <w:tcW w:w="544" w:type="dxa"/>
                  <w:tcBorders>
                    <w:top w:val="single" w:color="auto" w:sz="4" w:space="0"/>
                    <w:left w:val="single" w:color="auto" w:sz="4" w:space="0"/>
                  </w:tcBorders>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Y</w:t>
                  </w:r>
                </w:p>
              </w:tc>
              <w:tc>
                <w:tcPr>
                  <w:tcW w:w="780" w:type="dxa"/>
                  <w:vMerge w:val="continue"/>
                  <w:vAlign w:val="center"/>
                </w:tcPr>
                <w:p>
                  <w:pPr>
                    <w:widowControl/>
                    <w:adjustRightInd w:val="0"/>
                    <w:snapToGrid w:val="0"/>
                    <w:jc w:val="center"/>
                    <w:rPr>
                      <w:rFonts w:cs="Times New Roman"/>
                      <w:color w:val="auto"/>
                      <w:kern w:val="0"/>
                      <w:sz w:val="18"/>
                      <w:szCs w:val="18"/>
                    </w:rPr>
                  </w:pPr>
                </w:p>
              </w:tc>
              <w:tc>
                <w:tcPr>
                  <w:tcW w:w="589" w:type="dxa"/>
                  <w:vMerge w:val="continue"/>
                  <w:vAlign w:val="center"/>
                </w:tcPr>
                <w:p>
                  <w:pPr>
                    <w:widowControl/>
                    <w:adjustRightInd w:val="0"/>
                    <w:snapToGrid w:val="0"/>
                    <w:jc w:val="center"/>
                    <w:rPr>
                      <w:rFonts w:cs="Times New Roman"/>
                      <w:color w:val="auto"/>
                      <w:kern w:val="0"/>
                      <w:sz w:val="18"/>
                      <w:szCs w:val="18"/>
                    </w:rPr>
                  </w:pPr>
                </w:p>
              </w:tc>
              <w:tc>
                <w:tcPr>
                  <w:tcW w:w="721" w:type="dxa"/>
                  <w:vMerge w:val="continue"/>
                  <w:vAlign w:val="center"/>
                </w:tcPr>
                <w:p>
                  <w:pPr>
                    <w:widowControl/>
                    <w:adjustRightInd w:val="0"/>
                    <w:snapToGrid w:val="0"/>
                    <w:jc w:val="center"/>
                    <w:rPr>
                      <w:rFonts w:cs="Times New Roman"/>
                      <w:color w:val="auto"/>
                      <w:kern w:val="0"/>
                      <w:sz w:val="18"/>
                      <w:szCs w:val="18"/>
                    </w:rPr>
                  </w:pPr>
                </w:p>
              </w:tc>
              <w:tc>
                <w:tcPr>
                  <w:tcW w:w="707" w:type="dxa"/>
                  <w:vMerge w:val="continue"/>
                  <w:vAlign w:val="center"/>
                </w:tcPr>
                <w:p>
                  <w:pPr>
                    <w:widowControl/>
                    <w:adjustRightInd w:val="0"/>
                    <w:snapToGrid w:val="0"/>
                    <w:jc w:val="center"/>
                    <w:rPr>
                      <w:rFonts w:cs="Times New Roman"/>
                      <w:color w:val="auto"/>
                      <w:kern w:val="0"/>
                      <w:sz w:val="18"/>
                      <w:szCs w:val="18"/>
                    </w:rPr>
                  </w:pPr>
                </w:p>
              </w:tc>
              <w:tc>
                <w:tcPr>
                  <w:tcW w:w="574" w:type="dxa"/>
                  <w:vMerge w:val="continue"/>
                  <w:vAlign w:val="center"/>
                </w:tcPr>
                <w:p>
                  <w:pPr>
                    <w:widowControl/>
                    <w:adjustRightInd w:val="0"/>
                    <w:snapToGrid w:val="0"/>
                    <w:jc w:val="center"/>
                    <w:rPr>
                      <w:rFonts w:cs="Times New Roman"/>
                      <w:color w:val="auto"/>
                      <w:kern w:val="0"/>
                      <w:sz w:val="18"/>
                      <w:szCs w:val="18"/>
                    </w:rPr>
                  </w:pPr>
                </w:p>
              </w:tc>
              <w:tc>
                <w:tcPr>
                  <w:tcW w:w="763" w:type="dxa"/>
                  <w:vMerge w:val="continue"/>
                  <w:vAlign w:val="center"/>
                </w:tcPr>
                <w:p>
                  <w:pPr>
                    <w:widowControl/>
                    <w:adjustRightInd w:val="0"/>
                    <w:snapToGrid w:val="0"/>
                    <w:jc w:val="center"/>
                    <w:rPr>
                      <w:rFonts w:cs="Times New Roman"/>
                      <w:color w:val="auto"/>
                      <w:kern w:val="0"/>
                      <w:sz w:val="18"/>
                      <w:szCs w:val="18"/>
                    </w:rPr>
                  </w:pPr>
                </w:p>
              </w:tc>
              <w:tc>
                <w:tcPr>
                  <w:tcW w:w="675" w:type="dxa"/>
                  <w:vMerge w:val="continue"/>
                  <w:vAlign w:val="center"/>
                </w:tcPr>
                <w:p>
                  <w:pPr>
                    <w:widowControl/>
                    <w:adjustRightInd w:val="0"/>
                    <w:snapToGrid w:val="0"/>
                    <w:jc w:val="center"/>
                    <w:rPr>
                      <w:rFonts w:cs="Times New Roman"/>
                      <w:color w:val="auto"/>
                      <w:sz w:val="18"/>
                      <w:szCs w:val="18"/>
                    </w:rPr>
                  </w:pPr>
                </w:p>
              </w:tc>
              <w:tc>
                <w:tcPr>
                  <w:tcW w:w="616" w:type="dxa"/>
                  <w:vAlign w:val="center"/>
                </w:tcPr>
                <w:p>
                  <w:pPr>
                    <w:widowControl/>
                    <w:adjustRightInd w:val="0"/>
                    <w:snapToGrid w:val="0"/>
                    <w:ind w:left="1" w:leftChars="-61" w:right="-120" w:rightChars="-43" w:hanging="172" w:hangingChars="96"/>
                    <w:jc w:val="center"/>
                    <w:rPr>
                      <w:rFonts w:cs="Times New Roman"/>
                      <w:color w:val="auto"/>
                      <w:kern w:val="0"/>
                      <w:sz w:val="18"/>
                      <w:szCs w:val="18"/>
                    </w:rPr>
                  </w:pPr>
                  <w:r>
                    <w:rPr>
                      <w:rFonts w:hint="eastAsia" w:cs="Times New Roman"/>
                      <w:color w:val="auto"/>
                      <w:kern w:val="0"/>
                      <w:sz w:val="18"/>
                      <w:szCs w:val="18"/>
                    </w:rPr>
                    <w:t>颗粒物</w:t>
                  </w:r>
                </w:p>
              </w:tc>
              <w:tc>
                <w:tcPr>
                  <w:tcW w:w="617" w:type="dxa"/>
                  <w:vAlign w:val="center"/>
                </w:tcPr>
                <w:p>
                  <w:pPr>
                    <w:widowControl/>
                    <w:adjustRightInd w:val="0"/>
                    <w:snapToGrid w:val="0"/>
                    <w:ind w:left="1" w:leftChars="-61" w:right="-120" w:rightChars="-43" w:hanging="172" w:hangingChars="96"/>
                    <w:jc w:val="center"/>
                    <w:rPr>
                      <w:rFonts w:cs="Times New Roman"/>
                      <w:color w:val="auto"/>
                      <w:sz w:val="18"/>
                      <w:szCs w:val="18"/>
                    </w:rPr>
                  </w:pPr>
                  <w:r>
                    <w:rPr>
                      <w:rFonts w:cs="Times New Roman"/>
                      <w:color w:val="auto"/>
                      <w:sz w:val="18"/>
                      <w:szCs w:val="18"/>
                    </w:rPr>
                    <w:t>NO</w:t>
                  </w:r>
                  <w:r>
                    <w:rPr>
                      <w:rFonts w:cs="Times New Roman"/>
                      <w:color w:val="auto"/>
                      <w:sz w:val="18"/>
                      <w:szCs w:val="18"/>
                      <w:vertAlign w:val="subscript"/>
                    </w:rPr>
                    <w:t>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6" w:type="dxa"/>
                  <w:tcBorders>
                    <w:right w:val="single" w:color="auto" w:sz="4" w:space="0"/>
                  </w:tcBorders>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1</w:t>
                  </w:r>
                </w:p>
              </w:tc>
              <w:tc>
                <w:tcPr>
                  <w:tcW w:w="1090" w:type="dxa"/>
                  <w:tcBorders>
                    <w:left w:val="single" w:color="auto" w:sz="4" w:space="0"/>
                  </w:tcBorders>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配料工序</w:t>
                  </w:r>
                </w:p>
              </w:tc>
              <w:tc>
                <w:tcPr>
                  <w:tcW w:w="604" w:type="dxa"/>
                  <w:tcBorders>
                    <w:right w:val="single" w:color="auto" w:sz="4" w:space="0"/>
                  </w:tcBorders>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113.845106</w:t>
                  </w:r>
                </w:p>
              </w:tc>
              <w:tc>
                <w:tcPr>
                  <w:tcW w:w="544" w:type="dxa"/>
                  <w:tcBorders>
                    <w:left w:val="single" w:color="auto" w:sz="4" w:space="0"/>
                  </w:tcBorders>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35.364864</w:t>
                  </w:r>
                </w:p>
              </w:tc>
              <w:tc>
                <w:tcPr>
                  <w:tcW w:w="780"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7</w:t>
                  </w:r>
                  <w:r>
                    <w:rPr>
                      <w:rFonts w:hint="eastAsia" w:cs="Times New Roman"/>
                      <w:color w:val="auto"/>
                      <w:kern w:val="0"/>
                      <w:sz w:val="18"/>
                      <w:szCs w:val="18"/>
                    </w:rPr>
                    <w:t>2</w:t>
                  </w:r>
                </w:p>
              </w:tc>
              <w:tc>
                <w:tcPr>
                  <w:tcW w:w="589"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15</w:t>
                  </w:r>
                </w:p>
              </w:tc>
              <w:tc>
                <w:tcPr>
                  <w:tcW w:w="721"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0</w:t>
                  </w:r>
                  <w:r>
                    <w:rPr>
                      <w:rFonts w:hint="eastAsia" w:cs="Times New Roman"/>
                      <w:color w:val="auto"/>
                      <w:kern w:val="0"/>
                      <w:sz w:val="18"/>
                      <w:szCs w:val="18"/>
                    </w:rPr>
                    <w:t>.4</w:t>
                  </w:r>
                </w:p>
              </w:tc>
              <w:tc>
                <w:tcPr>
                  <w:tcW w:w="707"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5</w:t>
                  </w:r>
                  <w:r>
                    <w:rPr>
                      <w:rFonts w:cs="Times New Roman"/>
                      <w:color w:val="auto"/>
                      <w:kern w:val="0"/>
                      <w:sz w:val="18"/>
                      <w:szCs w:val="18"/>
                    </w:rPr>
                    <w:t>000</w:t>
                  </w:r>
                </w:p>
              </w:tc>
              <w:tc>
                <w:tcPr>
                  <w:tcW w:w="574"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2</w:t>
                  </w:r>
                  <w:r>
                    <w:rPr>
                      <w:rFonts w:hint="eastAsia" w:cs="Times New Roman"/>
                      <w:color w:val="auto"/>
                      <w:kern w:val="0"/>
                      <w:sz w:val="18"/>
                      <w:szCs w:val="18"/>
                    </w:rPr>
                    <w:t>5</w:t>
                  </w:r>
                </w:p>
              </w:tc>
              <w:tc>
                <w:tcPr>
                  <w:tcW w:w="763" w:type="dxa"/>
                  <w:vAlign w:val="center"/>
                </w:tcPr>
                <w:p>
                  <w:pPr>
                    <w:widowControl/>
                    <w:adjustRightInd w:val="0"/>
                    <w:snapToGrid w:val="0"/>
                    <w:jc w:val="center"/>
                    <w:rPr>
                      <w:rFonts w:cs="Times New Roman"/>
                      <w:color w:val="auto"/>
                      <w:sz w:val="18"/>
                      <w:szCs w:val="18"/>
                    </w:rPr>
                  </w:pPr>
                  <w:r>
                    <w:rPr>
                      <w:rFonts w:hint="eastAsia" w:cs="Times New Roman"/>
                      <w:color w:val="auto"/>
                      <w:sz w:val="18"/>
                      <w:szCs w:val="18"/>
                    </w:rPr>
                    <w:t>600</w:t>
                  </w:r>
                </w:p>
              </w:tc>
              <w:tc>
                <w:tcPr>
                  <w:tcW w:w="675" w:type="dxa"/>
                  <w:tcMar>
                    <w:top w:w="0" w:type="dxa"/>
                    <w:left w:w="57" w:type="dxa"/>
                    <w:bottom w:w="0" w:type="dxa"/>
                    <w:right w:w="57" w:type="dxa"/>
                  </w:tcMar>
                  <w:vAlign w:val="center"/>
                </w:tcPr>
                <w:p>
                  <w:pPr>
                    <w:widowControl/>
                    <w:adjustRightInd w:val="0"/>
                    <w:snapToGrid w:val="0"/>
                    <w:jc w:val="center"/>
                    <w:rPr>
                      <w:rFonts w:cs="Times New Roman"/>
                      <w:color w:val="auto"/>
                      <w:sz w:val="18"/>
                      <w:szCs w:val="18"/>
                    </w:rPr>
                  </w:pPr>
                  <w:r>
                    <w:rPr>
                      <w:rFonts w:cs="Times New Roman"/>
                      <w:color w:val="auto"/>
                      <w:sz w:val="18"/>
                      <w:szCs w:val="18"/>
                    </w:rPr>
                    <w:t>正常</w:t>
                  </w:r>
                </w:p>
              </w:tc>
              <w:tc>
                <w:tcPr>
                  <w:tcW w:w="616" w:type="dxa"/>
                  <w:vAlign w:val="center"/>
                </w:tcPr>
                <w:p>
                  <w:pPr>
                    <w:adjustRightInd w:val="0"/>
                    <w:snapToGrid w:val="0"/>
                    <w:jc w:val="center"/>
                    <w:rPr>
                      <w:rFonts w:cs="Times New Roman"/>
                      <w:color w:val="auto"/>
                      <w:sz w:val="18"/>
                      <w:szCs w:val="18"/>
                    </w:rPr>
                  </w:pPr>
                  <w:r>
                    <w:rPr>
                      <w:rFonts w:hint="eastAsia" w:cs="Times New Roman"/>
                      <w:color w:val="auto"/>
                      <w:sz w:val="18"/>
                      <w:szCs w:val="18"/>
                    </w:rPr>
                    <w:t>0.007</w:t>
                  </w:r>
                </w:p>
              </w:tc>
              <w:tc>
                <w:tcPr>
                  <w:tcW w:w="617" w:type="dxa"/>
                  <w:vAlign w:val="center"/>
                </w:tcPr>
                <w:p>
                  <w:pPr>
                    <w:adjustRightInd w:val="0"/>
                    <w:snapToGrid w:val="0"/>
                    <w:jc w:val="center"/>
                    <w:rPr>
                      <w:rFonts w:cs="Times New Roman"/>
                      <w:color w:val="auto"/>
                      <w:sz w:val="18"/>
                      <w:szCs w:val="18"/>
                    </w:rPr>
                  </w:pPr>
                  <w:r>
                    <w:rPr>
                      <w:rFonts w:hint="eastAsia" w:cs="Times New Roman"/>
                      <w:color w:val="auto"/>
                      <w:sz w:val="18"/>
                      <w:szCs w:val="18"/>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jc w:val="center"/>
              </w:trPr>
              <w:tc>
                <w:tcPr>
                  <w:tcW w:w="306" w:type="dxa"/>
                  <w:tcBorders>
                    <w:bottom w:val="single" w:color="auto" w:sz="4" w:space="0"/>
                    <w:right w:val="single" w:color="auto" w:sz="4" w:space="0"/>
                  </w:tcBorders>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2</w:t>
                  </w:r>
                </w:p>
              </w:tc>
              <w:tc>
                <w:tcPr>
                  <w:tcW w:w="1090" w:type="dxa"/>
                  <w:tcBorders>
                    <w:left w:val="single" w:color="auto" w:sz="4" w:space="0"/>
                  </w:tcBorders>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烘干、烘焙工序</w:t>
                  </w:r>
                </w:p>
              </w:tc>
              <w:tc>
                <w:tcPr>
                  <w:tcW w:w="604" w:type="dxa"/>
                  <w:tcBorders>
                    <w:right w:val="single" w:color="auto" w:sz="4" w:space="0"/>
                  </w:tcBorders>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113.845286</w:t>
                  </w:r>
                </w:p>
              </w:tc>
              <w:tc>
                <w:tcPr>
                  <w:tcW w:w="544" w:type="dxa"/>
                  <w:tcBorders>
                    <w:left w:val="single" w:color="auto" w:sz="4" w:space="0"/>
                  </w:tcBorders>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35.364851</w:t>
                  </w:r>
                </w:p>
              </w:tc>
              <w:tc>
                <w:tcPr>
                  <w:tcW w:w="780"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72</w:t>
                  </w:r>
                </w:p>
              </w:tc>
              <w:tc>
                <w:tcPr>
                  <w:tcW w:w="589"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15</w:t>
                  </w:r>
                </w:p>
              </w:tc>
              <w:tc>
                <w:tcPr>
                  <w:tcW w:w="721"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02</w:t>
                  </w:r>
                </w:p>
              </w:tc>
              <w:tc>
                <w:tcPr>
                  <w:tcW w:w="707"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2000</w:t>
                  </w:r>
                </w:p>
              </w:tc>
              <w:tc>
                <w:tcPr>
                  <w:tcW w:w="574"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25</w:t>
                  </w:r>
                </w:p>
              </w:tc>
              <w:tc>
                <w:tcPr>
                  <w:tcW w:w="763" w:type="dxa"/>
                  <w:vAlign w:val="center"/>
                </w:tcPr>
                <w:p>
                  <w:pPr>
                    <w:widowControl/>
                    <w:adjustRightInd w:val="0"/>
                    <w:snapToGrid w:val="0"/>
                    <w:jc w:val="center"/>
                    <w:rPr>
                      <w:rFonts w:cs="Times New Roman"/>
                      <w:color w:val="auto"/>
                      <w:sz w:val="18"/>
                      <w:szCs w:val="18"/>
                    </w:rPr>
                  </w:pPr>
                  <w:r>
                    <w:rPr>
                      <w:rFonts w:hint="eastAsia" w:cs="Times New Roman"/>
                      <w:color w:val="auto"/>
                      <w:sz w:val="18"/>
                      <w:szCs w:val="18"/>
                    </w:rPr>
                    <w:t>2400</w:t>
                  </w:r>
                </w:p>
              </w:tc>
              <w:tc>
                <w:tcPr>
                  <w:tcW w:w="675" w:type="dxa"/>
                  <w:tcMar>
                    <w:top w:w="0" w:type="dxa"/>
                    <w:left w:w="57" w:type="dxa"/>
                    <w:bottom w:w="0" w:type="dxa"/>
                    <w:right w:w="57" w:type="dxa"/>
                  </w:tcMar>
                  <w:vAlign w:val="center"/>
                </w:tcPr>
                <w:p>
                  <w:pPr>
                    <w:widowControl/>
                    <w:adjustRightInd w:val="0"/>
                    <w:snapToGrid w:val="0"/>
                    <w:jc w:val="center"/>
                    <w:rPr>
                      <w:rFonts w:cs="Times New Roman"/>
                      <w:color w:val="auto"/>
                      <w:sz w:val="18"/>
                      <w:szCs w:val="18"/>
                    </w:rPr>
                  </w:pPr>
                  <w:r>
                    <w:rPr>
                      <w:rFonts w:hint="eastAsia" w:cs="Times New Roman"/>
                      <w:color w:val="auto"/>
                      <w:sz w:val="18"/>
                      <w:szCs w:val="18"/>
                    </w:rPr>
                    <w:t>正常</w:t>
                  </w:r>
                </w:p>
              </w:tc>
              <w:tc>
                <w:tcPr>
                  <w:tcW w:w="616" w:type="dxa"/>
                  <w:vAlign w:val="center"/>
                </w:tcPr>
                <w:p>
                  <w:pPr>
                    <w:adjustRightInd w:val="0"/>
                    <w:snapToGrid w:val="0"/>
                    <w:jc w:val="center"/>
                    <w:rPr>
                      <w:rFonts w:cs="Times New Roman"/>
                      <w:color w:val="auto"/>
                      <w:sz w:val="18"/>
                      <w:szCs w:val="18"/>
                    </w:rPr>
                  </w:pPr>
                  <w:r>
                    <w:rPr>
                      <w:rFonts w:hint="eastAsia" w:cs="Times New Roman"/>
                      <w:color w:val="auto"/>
                      <w:sz w:val="18"/>
                      <w:szCs w:val="18"/>
                    </w:rPr>
                    <w:t>-</w:t>
                  </w:r>
                </w:p>
              </w:tc>
              <w:tc>
                <w:tcPr>
                  <w:tcW w:w="617" w:type="dxa"/>
                  <w:vAlign w:val="center"/>
                </w:tcPr>
                <w:p>
                  <w:pPr>
                    <w:adjustRightInd w:val="0"/>
                    <w:snapToGrid w:val="0"/>
                    <w:jc w:val="center"/>
                    <w:rPr>
                      <w:rFonts w:cs="Times New Roman"/>
                      <w:color w:val="auto"/>
                      <w:sz w:val="18"/>
                      <w:szCs w:val="18"/>
                    </w:rPr>
                  </w:pPr>
                  <w:r>
                    <w:rPr>
                      <w:rFonts w:hint="eastAsia" w:cs="Times New Roman"/>
                      <w:color w:val="auto"/>
                      <w:sz w:val="18"/>
                      <w:szCs w:val="18"/>
                    </w:rPr>
                    <w:t>0.0098</w:t>
                  </w:r>
                </w:p>
              </w:tc>
            </w:tr>
          </w:tbl>
          <w:p>
            <w:pPr>
              <w:pStyle w:val="80"/>
              <w:spacing w:line="360" w:lineRule="auto"/>
              <w:ind w:firstLine="360" w:firstLineChars="150"/>
              <w:rPr>
                <w:rFonts w:hint="default" w:ascii="Times New Roman" w:hAnsi="Times New Roman"/>
                <w:b w:val="0"/>
                <w:bCs/>
                <w:color w:val="auto"/>
                <w:sz w:val="24"/>
                <w:szCs w:val="24"/>
                <w:lang w:eastAsia="zh-CN"/>
              </w:rPr>
            </w:pPr>
            <w:r>
              <w:rPr>
                <w:rFonts w:hint="default" w:ascii="Times New Roman" w:hAnsi="Times New Roman"/>
                <w:b w:val="0"/>
                <w:bCs/>
                <w:color w:val="auto"/>
                <w:sz w:val="24"/>
                <w:szCs w:val="24"/>
                <w:lang w:eastAsia="zh-CN"/>
              </w:rPr>
              <w:t>（3）估算模型参数</w:t>
            </w:r>
          </w:p>
          <w:p>
            <w:pPr>
              <w:spacing w:line="360" w:lineRule="auto"/>
              <w:ind w:firstLine="436" w:firstLineChars="182"/>
              <w:rPr>
                <w:rFonts w:cs="Times New Roman"/>
                <w:color w:val="auto"/>
                <w:sz w:val="24"/>
                <w:szCs w:val="24"/>
              </w:rPr>
            </w:pPr>
            <w:r>
              <w:rPr>
                <w:rFonts w:cs="Times New Roman"/>
                <w:color w:val="auto"/>
                <w:sz w:val="24"/>
                <w:szCs w:val="24"/>
              </w:rPr>
              <w:t>采用</w:t>
            </w:r>
            <w:r>
              <w:rPr>
                <w:rFonts w:cs="Times New Roman"/>
                <w:bCs/>
                <w:color w:val="auto"/>
                <w:sz w:val="24"/>
                <w:szCs w:val="24"/>
              </w:rPr>
              <w:t>《环境影响评价技术导则  大气环境》(HJ2.2-2018)推荐的估算模式AERSCREEN</w:t>
            </w:r>
            <w:r>
              <w:rPr>
                <w:rFonts w:cs="Times New Roman"/>
                <w:color w:val="auto"/>
                <w:sz w:val="24"/>
                <w:szCs w:val="24"/>
              </w:rPr>
              <w:t>计算工程主要污染源污染物的最大落地浓度及其出现距离，估算模型参数见下表。</w:t>
            </w:r>
          </w:p>
          <w:p>
            <w:pPr>
              <w:pStyle w:val="21"/>
              <w:ind w:firstLine="420"/>
              <w:rPr>
                <w:color w:val="auto"/>
              </w:rPr>
            </w:pPr>
            <w:r>
              <w:rPr>
                <w:rFonts w:hint="eastAsia"/>
                <w:color w:val="auto"/>
              </w:rPr>
              <w:t xml:space="preserve">                    </w:t>
            </w:r>
            <w:r>
              <w:rPr>
                <w:color w:val="auto"/>
              </w:rPr>
              <w:t>估算模型参数表</w:t>
            </w:r>
          </w:p>
          <w:tbl>
            <w:tblPr>
              <w:tblStyle w:val="26"/>
              <w:tblW w:w="87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288"/>
              <w:gridCol w:w="3531"/>
              <w:gridCol w:w="28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19" w:type="dxa"/>
                  <w:gridSpan w:val="2"/>
                  <w:vAlign w:val="center"/>
                </w:tcPr>
                <w:p>
                  <w:pPr>
                    <w:pStyle w:val="97"/>
                    <w:spacing w:line="240" w:lineRule="auto"/>
                    <w:rPr>
                      <w:rFonts w:cs="Times New Roman"/>
                      <w:bCs/>
                      <w:color w:val="auto"/>
                      <w:sz w:val="18"/>
                      <w:szCs w:val="18"/>
                    </w:rPr>
                  </w:pPr>
                  <w:r>
                    <w:rPr>
                      <w:rFonts w:cs="Times New Roman"/>
                      <w:bCs/>
                      <w:color w:val="auto"/>
                      <w:sz w:val="18"/>
                      <w:szCs w:val="18"/>
                    </w:rPr>
                    <w:t>参数</w:t>
                  </w:r>
                </w:p>
              </w:tc>
              <w:tc>
                <w:tcPr>
                  <w:tcW w:w="2896" w:type="dxa"/>
                  <w:vAlign w:val="center"/>
                </w:tcPr>
                <w:p>
                  <w:pPr>
                    <w:pStyle w:val="97"/>
                    <w:spacing w:line="240" w:lineRule="auto"/>
                    <w:rPr>
                      <w:rFonts w:cs="Times New Roman"/>
                      <w:bCs/>
                      <w:color w:val="auto"/>
                      <w:sz w:val="18"/>
                      <w:szCs w:val="18"/>
                    </w:rPr>
                  </w:pPr>
                  <w:r>
                    <w:rPr>
                      <w:rFonts w:cs="Times New Roman"/>
                      <w:bCs/>
                      <w:color w:val="auto"/>
                      <w:sz w:val="18"/>
                      <w:szCs w:val="18"/>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88" w:type="dxa"/>
                  <w:vMerge w:val="restart"/>
                  <w:vAlign w:val="center"/>
                </w:tcPr>
                <w:p>
                  <w:pPr>
                    <w:pStyle w:val="97"/>
                    <w:spacing w:line="240" w:lineRule="auto"/>
                    <w:rPr>
                      <w:rFonts w:cs="Times New Roman"/>
                      <w:bCs/>
                      <w:color w:val="auto"/>
                      <w:sz w:val="18"/>
                      <w:szCs w:val="18"/>
                    </w:rPr>
                  </w:pPr>
                  <w:r>
                    <w:rPr>
                      <w:rFonts w:cs="Times New Roman"/>
                      <w:bCs/>
                      <w:color w:val="auto"/>
                      <w:sz w:val="18"/>
                      <w:szCs w:val="18"/>
                    </w:rPr>
                    <w:t>城市/农村选项</w:t>
                  </w:r>
                </w:p>
              </w:tc>
              <w:tc>
                <w:tcPr>
                  <w:tcW w:w="3531" w:type="dxa"/>
                  <w:vAlign w:val="center"/>
                </w:tcPr>
                <w:p>
                  <w:pPr>
                    <w:pStyle w:val="97"/>
                    <w:spacing w:line="240" w:lineRule="auto"/>
                    <w:rPr>
                      <w:rFonts w:cs="Times New Roman"/>
                      <w:bCs/>
                      <w:color w:val="auto"/>
                      <w:sz w:val="18"/>
                      <w:szCs w:val="18"/>
                    </w:rPr>
                  </w:pPr>
                  <w:r>
                    <w:rPr>
                      <w:rFonts w:cs="Times New Roman"/>
                      <w:bCs/>
                      <w:color w:val="auto"/>
                      <w:sz w:val="18"/>
                      <w:szCs w:val="18"/>
                    </w:rPr>
                    <w:t>城市/农村</w:t>
                  </w:r>
                </w:p>
              </w:tc>
              <w:tc>
                <w:tcPr>
                  <w:tcW w:w="2896" w:type="dxa"/>
                  <w:vAlign w:val="center"/>
                </w:tcPr>
                <w:p>
                  <w:pPr>
                    <w:pStyle w:val="97"/>
                    <w:spacing w:line="240" w:lineRule="auto"/>
                    <w:rPr>
                      <w:rFonts w:cs="Times New Roman"/>
                      <w:bCs/>
                      <w:color w:val="auto"/>
                      <w:spacing w:val="-4"/>
                      <w:sz w:val="18"/>
                      <w:szCs w:val="18"/>
                    </w:rPr>
                  </w:pPr>
                  <w:r>
                    <w:rPr>
                      <w:rFonts w:hint="eastAsia" w:cs="Times New Roman"/>
                      <w:bCs/>
                      <w:color w:val="auto"/>
                      <w:spacing w:val="-4"/>
                      <w:sz w:val="18"/>
                      <w:szCs w:val="18"/>
                    </w:rPr>
                    <w:t>城市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88" w:type="dxa"/>
                  <w:vMerge w:val="continue"/>
                  <w:vAlign w:val="center"/>
                </w:tcPr>
                <w:p>
                  <w:pPr>
                    <w:rPr>
                      <w:rFonts w:cs="Times New Roman"/>
                      <w:bCs/>
                      <w:color w:val="auto"/>
                      <w:sz w:val="18"/>
                      <w:szCs w:val="18"/>
                    </w:rPr>
                  </w:pPr>
                </w:p>
              </w:tc>
              <w:tc>
                <w:tcPr>
                  <w:tcW w:w="3531" w:type="dxa"/>
                  <w:vAlign w:val="center"/>
                </w:tcPr>
                <w:p>
                  <w:pPr>
                    <w:pStyle w:val="97"/>
                    <w:spacing w:line="240" w:lineRule="auto"/>
                    <w:rPr>
                      <w:rFonts w:cs="Times New Roman"/>
                      <w:bCs/>
                      <w:color w:val="auto"/>
                      <w:sz w:val="18"/>
                      <w:szCs w:val="18"/>
                    </w:rPr>
                  </w:pPr>
                  <w:r>
                    <w:rPr>
                      <w:rFonts w:cs="Times New Roman"/>
                      <w:bCs/>
                      <w:color w:val="auto"/>
                      <w:sz w:val="18"/>
                      <w:szCs w:val="18"/>
                    </w:rPr>
                    <w:t>人口数（城市选项时）</w:t>
                  </w:r>
                </w:p>
              </w:tc>
              <w:tc>
                <w:tcPr>
                  <w:tcW w:w="2896" w:type="dxa"/>
                  <w:vAlign w:val="center"/>
                </w:tcPr>
                <w:p>
                  <w:pPr>
                    <w:pStyle w:val="97"/>
                    <w:spacing w:line="240" w:lineRule="auto"/>
                    <w:rPr>
                      <w:rFonts w:cs="Times New Roman"/>
                      <w:bCs/>
                      <w:color w:val="auto"/>
                      <w:sz w:val="18"/>
                      <w:szCs w:val="18"/>
                    </w:rPr>
                  </w:pPr>
                  <w:r>
                    <w:rPr>
                      <w:rFonts w:hint="eastAsia" w:cs="Times New Roman"/>
                      <w:bCs/>
                      <w:color w:val="auto"/>
                      <w:sz w:val="18"/>
                      <w:szCs w:val="18"/>
                    </w:rPr>
                    <w:t>155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19" w:type="dxa"/>
                  <w:gridSpan w:val="2"/>
                  <w:vAlign w:val="center"/>
                </w:tcPr>
                <w:p>
                  <w:pPr>
                    <w:pStyle w:val="97"/>
                    <w:spacing w:line="240" w:lineRule="auto"/>
                    <w:rPr>
                      <w:rFonts w:cs="Times New Roman"/>
                      <w:bCs/>
                      <w:color w:val="auto"/>
                      <w:sz w:val="18"/>
                      <w:szCs w:val="18"/>
                    </w:rPr>
                  </w:pPr>
                  <w:r>
                    <w:rPr>
                      <w:rFonts w:cs="Times New Roman"/>
                      <w:bCs/>
                      <w:color w:val="auto"/>
                      <w:sz w:val="18"/>
                      <w:szCs w:val="18"/>
                    </w:rPr>
                    <w:t>最高环境温度/℃</w:t>
                  </w:r>
                </w:p>
              </w:tc>
              <w:tc>
                <w:tcPr>
                  <w:tcW w:w="2896" w:type="dxa"/>
                  <w:vAlign w:val="center"/>
                </w:tcPr>
                <w:p>
                  <w:pPr>
                    <w:pStyle w:val="97"/>
                    <w:spacing w:line="240" w:lineRule="auto"/>
                    <w:rPr>
                      <w:rFonts w:cs="Times New Roman"/>
                      <w:bCs/>
                      <w:color w:val="auto"/>
                      <w:spacing w:val="-4"/>
                      <w:sz w:val="18"/>
                      <w:szCs w:val="18"/>
                    </w:rPr>
                  </w:pPr>
                  <w:r>
                    <w:rPr>
                      <w:rFonts w:hint="eastAsia" w:cs="Times New Roman"/>
                      <w:bCs/>
                      <w:color w:val="auto"/>
                      <w:spacing w:val="-4"/>
                      <w:sz w:val="18"/>
                      <w:szCs w:val="18"/>
                    </w:rPr>
                    <w:t>40.9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19" w:type="dxa"/>
                  <w:gridSpan w:val="2"/>
                  <w:vAlign w:val="center"/>
                </w:tcPr>
                <w:p>
                  <w:pPr>
                    <w:pStyle w:val="97"/>
                    <w:spacing w:line="240" w:lineRule="auto"/>
                    <w:rPr>
                      <w:rFonts w:cs="Times New Roman"/>
                      <w:bCs/>
                      <w:color w:val="auto"/>
                      <w:sz w:val="18"/>
                      <w:szCs w:val="18"/>
                    </w:rPr>
                  </w:pPr>
                  <w:r>
                    <w:rPr>
                      <w:rFonts w:cs="Times New Roman"/>
                      <w:bCs/>
                      <w:color w:val="auto"/>
                      <w:sz w:val="18"/>
                      <w:szCs w:val="18"/>
                    </w:rPr>
                    <w:t>最低环境温度/℃</w:t>
                  </w:r>
                </w:p>
              </w:tc>
              <w:tc>
                <w:tcPr>
                  <w:tcW w:w="2896" w:type="dxa"/>
                  <w:vAlign w:val="center"/>
                </w:tcPr>
                <w:p>
                  <w:pPr>
                    <w:pStyle w:val="97"/>
                    <w:spacing w:line="240" w:lineRule="auto"/>
                    <w:rPr>
                      <w:rFonts w:cs="Times New Roman"/>
                      <w:bCs/>
                      <w:color w:val="auto"/>
                      <w:spacing w:val="-4"/>
                      <w:sz w:val="18"/>
                      <w:szCs w:val="18"/>
                    </w:rPr>
                  </w:pPr>
                  <w:r>
                    <w:rPr>
                      <w:rFonts w:hint="eastAsia" w:cs="Times New Roman"/>
                      <w:bCs/>
                      <w:color w:val="auto"/>
                      <w:spacing w:val="-4"/>
                      <w:sz w:val="18"/>
                      <w:szCs w:val="18"/>
                    </w:rPr>
                    <w:t>-13.1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19" w:type="dxa"/>
                  <w:gridSpan w:val="2"/>
                  <w:vAlign w:val="center"/>
                </w:tcPr>
                <w:p>
                  <w:pPr>
                    <w:pStyle w:val="97"/>
                    <w:spacing w:line="240" w:lineRule="auto"/>
                    <w:rPr>
                      <w:rFonts w:cs="Times New Roman"/>
                      <w:bCs/>
                      <w:color w:val="auto"/>
                      <w:sz w:val="18"/>
                      <w:szCs w:val="18"/>
                    </w:rPr>
                  </w:pPr>
                  <w:r>
                    <w:rPr>
                      <w:rFonts w:cs="Times New Roman"/>
                      <w:bCs/>
                      <w:color w:val="auto"/>
                      <w:sz w:val="18"/>
                      <w:szCs w:val="18"/>
                    </w:rPr>
                    <w:t>土地利用类型</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城市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19" w:type="dxa"/>
                  <w:gridSpan w:val="2"/>
                  <w:vAlign w:val="center"/>
                </w:tcPr>
                <w:p>
                  <w:pPr>
                    <w:pStyle w:val="97"/>
                    <w:spacing w:line="240" w:lineRule="auto"/>
                    <w:rPr>
                      <w:rFonts w:cs="Times New Roman"/>
                      <w:bCs/>
                      <w:color w:val="auto"/>
                      <w:sz w:val="18"/>
                      <w:szCs w:val="18"/>
                    </w:rPr>
                  </w:pPr>
                  <w:r>
                    <w:rPr>
                      <w:rFonts w:cs="Times New Roman"/>
                      <w:bCs/>
                      <w:color w:val="auto"/>
                      <w:sz w:val="18"/>
                      <w:szCs w:val="18"/>
                    </w:rPr>
                    <w:t>区域湿度条件</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中等湿度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288" w:type="dxa"/>
                  <w:vMerge w:val="restart"/>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是否考虑地形</w:t>
                  </w:r>
                </w:p>
              </w:tc>
              <w:tc>
                <w:tcPr>
                  <w:tcW w:w="3531" w:type="dxa"/>
                  <w:vAlign w:val="center"/>
                </w:tcPr>
                <w:p>
                  <w:pPr>
                    <w:pStyle w:val="97"/>
                    <w:spacing w:line="240" w:lineRule="auto"/>
                    <w:rPr>
                      <w:rFonts w:cs="Times New Roman"/>
                      <w:bCs/>
                      <w:color w:val="auto"/>
                      <w:sz w:val="18"/>
                      <w:szCs w:val="18"/>
                    </w:rPr>
                  </w:pPr>
                  <w:r>
                    <w:rPr>
                      <w:rFonts w:cs="Times New Roman"/>
                      <w:bCs/>
                      <w:color w:val="auto"/>
                      <w:sz w:val="18"/>
                      <w:szCs w:val="18"/>
                    </w:rPr>
                    <w:t>考虑地形</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288" w:type="dxa"/>
                  <w:vMerge w:val="continue"/>
                  <w:vAlign w:val="center"/>
                </w:tcPr>
                <w:p>
                  <w:pPr>
                    <w:rPr>
                      <w:rFonts w:cs="Times New Roman"/>
                      <w:bCs/>
                      <w:color w:val="auto"/>
                      <w:spacing w:val="-4"/>
                      <w:sz w:val="18"/>
                      <w:szCs w:val="18"/>
                    </w:rPr>
                  </w:pPr>
                </w:p>
              </w:tc>
              <w:tc>
                <w:tcPr>
                  <w:tcW w:w="3531" w:type="dxa"/>
                  <w:vAlign w:val="center"/>
                </w:tcPr>
                <w:p>
                  <w:pPr>
                    <w:pStyle w:val="97"/>
                    <w:spacing w:line="240" w:lineRule="auto"/>
                    <w:rPr>
                      <w:rFonts w:cs="Times New Roman"/>
                      <w:bCs/>
                      <w:color w:val="auto"/>
                      <w:sz w:val="18"/>
                      <w:szCs w:val="18"/>
                    </w:rPr>
                  </w:pPr>
                  <w:r>
                    <w:rPr>
                      <w:rFonts w:cs="Times New Roman"/>
                      <w:bCs/>
                      <w:color w:val="auto"/>
                      <w:sz w:val="18"/>
                      <w:szCs w:val="18"/>
                    </w:rPr>
                    <w:t>地形数据分辨率/m</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88" w:type="dxa"/>
                  <w:vMerge w:val="restart"/>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是否考虑岸线熏烟</w:t>
                  </w:r>
                </w:p>
              </w:tc>
              <w:tc>
                <w:tcPr>
                  <w:tcW w:w="3531" w:type="dxa"/>
                  <w:vAlign w:val="center"/>
                </w:tcPr>
                <w:p>
                  <w:pPr>
                    <w:pStyle w:val="97"/>
                    <w:spacing w:line="240" w:lineRule="auto"/>
                    <w:rPr>
                      <w:rFonts w:cs="Times New Roman"/>
                      <w:bCs/>
                      <w:color w:val="auto"/>
                      <w:sz w:val="18"/>
                      <w:szCs w:val="18"/>
                    </w:rPr>
                  </w:pPr>
                  <w:r>
                    <w:rPr>
                      <w:rFonts w:cs="Times New Roman"/>
                      <w:bCs/>
                      <w:color w:val="auto"/>
                      <w:spacing w:val="-4"/>
                      <w:sz w:val="18"/>
                      <w:szCs w:val="18"/>
                    </w:rPr>
                    <w:t>考虑岸线熏烟</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88" w:type="dxa"/>
                  <w:vMerge w:val="continue"/>
                  <w:vAlign w:val="center"/>
                </w:tcPr>
                <w:p>
                  <w:pPr>
                    <w:rPr>
                      <w:rFonts w:cs="Times New Roman"/>
                      <w:bCs/>
                      <w:color w:val="auto"/>
                      <w:spacing w:val="-4"/>
                      <w:sz w:val="18"/>
                      <w:szCs w:val="18"/>
                    </w:rPr>
                  </w:pPr>
                </w:p>
              </w:tc>
              <w:tc>
                <w:tcPr>
                  <w:tcW w:w="3531" w:type="dxa"/>
                  <w:vAlign w:val="center"/>
                </w:tcPr>
                <w:p>
                  <w:pPr>
                    <w:pStyle w:val="97"/>
                    <w:spacing w:line="240" w:lineRule="auto"/>
                    <w:rPr>
                      <w:rFonts w:cs="Times New Roman"/>
                      <w:bCs/>
                      <w:color w:val="auto"/>
                      <w:sz w:val="18"/>
                      <w:szCs w:val="18"/>
                    </w:rPr>
                  </w:pPr>
                  <w:r>
                    <w:rPr>
                      <w:rFonts w:cs="Times New Roman"/>
                      <w:bCs/>
                      <w:color w:val="auto"/>
                      <w:spacing w:val="-4"/>
                      <w:sz w:val="18"/>
                      <w:szCs w:val="18"/>
                    </w:rPr>
                    <w:t>岸线距离/km</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88" w:type="dxa"/>
                  <w:vMerge w:val="continue"/>
                  <w:vAlign w:val="center"/>
                </w:tcPr>
                <w:p>
                  <w:pPr>
                    <w:rPr>
                      <w:rFonts w:cs="Times New Roman"/>
                      <w:bCs/>
                      <w:color w:val="auto"/>
                      <w:spacing w:val="-4"/>
                      <w:sz w:val="18"/>
                      <w:szCs w:val="18"/>
                    </w:rPr>
                  </w:pPr>
                </w:p>
              </w:tc>
              <w:tc>
                <w:tcPr>
                  <w:tcW w:w="3531" w:type="dxa"/>
                  <w:vAlign w:val="center"/>
                </w:tcPr>
                <w:p>
                  <w:pPr>
                    <w:pStyle w:val="97"/>
                    <w:spacing w:line="240" w:lineRule="auto"/>
                    <w:rPr>
                      <w:rFonts w:cs="Times New Roman"/>
                      <w:bCs/>
                      <w:color w:val="auto"/>
                      <w:sz w:val="18"/>
                      <w:szCs w:val="18"/>
                    </w:rPr>
                  </w:pPr>
                  <w:r>
                    <w:rPr>
                      <w:rFonts w:cs="Times New Roman"/>
                      <w:bCs/>
                      <w:color w:val="auto"/>
                      <w:spacing w:val="-4"/>
                      <w:sz w:val="18"/>
                      <w:szCs w:val="18"/>
                    </w:rPr>
                    <w:t>岸线方向/ º</w:t>
                  </w:r>
                </w:p>
              </w:tc>
              <w:tc>
                <w:tcPr>
                  <w:tcW w:w="2896" w:type="dxa"/>
                  <w:vAlign w:val="center"/>
                </w:tcPr>
                <w:p>
                  <w:pPr>
                    <w:pStyle w:val="97"/>
                    <w:spacing w:line="240" w:lineRule="auto"/>
                    <w:rPr>
                      <w:rFonts w:cs="Times New Roman"/>
                      <w:bCs/>
                      <w:color w:val="auto"/>
                      <w:spacing w:val="-4"/>
                      <w:sz w:val="18"/>
                      <w:szCs w:val="18"/>
                    </w:rPr>
                  </w:pPr>
                  <w:r>
                    <w:rPr>
                      <w:rFonts w:cs="Times New Roman"/>
                      <w:bCs/>
                      <w:color w:val="auto"/>
                      <w:spacing w:val="-4"/>
                      <w:sz w:val="18"/>
                      <w:szCs w:val="18"/>
                    </w:rPr>
                    <w:t>/</w:t>
                  </w:r>
                </w:p>
              </w:tc>
            </w:tr>
          </w:tbl>
          <w:p>
            <w:pPr>
              <w:widowControl/>
              <w:autoSpaceDE w:val="0"/>
              <w:autoSpaceDN w:val="0"/>
              <w:adjustRightInd w:val="0"/>
              <w:snapToGrid w:val="0"/>
              <w:spacing w:line="360" w:lineRule="auto"/>
              <w:ind w:firstLine="480" w:firstLineChars="200"/>
              <w:rPr>
                <w:rFonts w:cs="Times New Roman"/>
                <w:color w:val="auto"/>
                <w:kern w:val="0"/>
                <w:sz w:val="24"/>
                <w:szCs w:val="24"/>
              </w:rPr>
            </w:pPr>
            <w:r>
              <w:rPr>
                <w:rFonts w:cs="Times New Roman"/>
                <w:color w:val="auto"/>
                <w:kern w:val="0"/>
                <w:sz w:val="24"/>
                <w:szCs w:val="24"/>
              </w:rPr>
              <w:t>（4）评价等级及评价范围确定</w:t>
            </w:r>
          </w:p>
          <w:p>
            <w:pPr>
              <w:widowControl/>
              <w:adjustRightInd w:val="0"/>
              <w:snapToGrid w:val="0"/>
              <w:spacing w:line="360" w:lineRule="auto"/>
              <w:ind w:firstLine="480"/>
              <w:jc w:val="left"/>
              <w:rPr>
                <w:rFonts w:cs="Times New Roman"/>
                <w:color w:val="auto"/>
                <w:kern w:val="0"/>
                <w:sz w:val="24"/>
                <w:szCs w:val="24"/>
              </w:rPr>
            </w:pPr>
            <w:r>
              <w:rPr>
                <w:rFonts w:cs="Times New Roman"/>
                <w:color w:val="auto"/>
                <w:kern w:val="0"/>
                <w:sz w:val="24"/>
                <w:szCs w:val="24"/>
              </w:rPr>
              <w:t>采用《环境影响评价技术导则 大气环境》(HJ2.2-2018)推荐的估算模式对各污染源最大落地浓度及占标率进行预测，详见表2</w:t>
            </w:r>
            <w:r>
              <w:rPr>
                <w:rFonts w:hint="eastAsia" w:cs="Times New Roman"/>
                <w:color w:val="auto"/>
                <w:kern w:val="0"/>
                <w:sz w:val="24"/>
                <w:szCs w:val="24"/>
              </w:rPr>
              <w:t>7</w:t>
            </w:r>
            <w:r>
              <w:rPr>
                <w:rFonts w:cs="Times New Roman"/>
                <w:color w:val="auto"/>
                <w:kern w:val="0"/>
                <w:sz w:val="24"/>
                <w:szCs w:val="24"/>
              </w:rPr>
              <w:t>。</w:t>
            </w:r>
          </w:p>
          <w:p>
            <w:pPr>
              <w:pStyle w:val="21"/>
              <w:ind w:firstLine="420"/>
              <w:rPr>
                <w:color w:val="auto"/>
              </w:rPr>
            </w:pPr>
            <w:r>
              <w:rPr>
                <w:rFonts w:hint="eastAsia"/>
                <w:color w:val="auto"/>
              </w:rPr>
              <w:t xml:space="preserve">   </w:t>
            </w:r>
            <w:r>
              <w:rPr>
                <w:color w:val="auto"/>
              </w:rPr>
              <w:t>下风向最大落地浓度及占标率估算结果一览表</w:t>
            </w:r>
          </w:p>
          <w:tbl>
            <w:tblPr>
              <w:tblStyle w:val="26"/>
              <w:tblW w:w="8715"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01"/>
              <w:gridCol w:w="1877"/>
              <w:gridCol w:w="1264"/>
              <w:gridCol w:w="1438"/>
              <w:gridCol w:w="1150"/>
              <w:gridCol w:w="912"/>
              <w:gridCol w:w="1473"/>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601" w:type="dxa"/>
                  <w:vAlign w:val="center"/>
                </w:tcPr>
                <w:p>
                  <w:pPr>
                    <w:adjustRightInd w:val="0"/>
                    <w:snapToGrid w:val="0"/>
                    <w:jc w:val="center"/>
                    <w:rPr>
                      <w:rFonts w:cs="Times New Roman"/>
                      <w:color w:val="auto"/>
                      <w:sz w:val="18"/>
                      <w:szCs w:val="18"/>
                    </w:rPr>
                  </w:pPr>
                  <w:r>
                    <w:rPr>
                      <w:rFonts w:cs="Times New Roman"/>
                      <w:color w:val="auto"/>
                      <w:kern w:val="0"/>
                      <w:sz w:val="18"/>
                      <w:szCs w:val="18"/>
                    </w:rPr>
                    <w:t>类型</w:t>
                  </w:r>
                </w:p>
              </w:tc>
              <w:tc>
                <w:tcPr>
                  <w:tcW w:w="1877" w:type="dxa"/>
                  <w:vAlign w:val="center"/>
                </w:tcPr>
                <w:p>
                  <w:pPr>
                    <w:adjustRightInd w:val="0"/>
                    <w:snapToGrid w:val="0"/>
                    <w:jc w:val="center"/>
                    <w:rPr>
                      <w:rFonts w:cs="Times New Roman"/>
                      <w:color w:val="auto"/>
                      <w:sz w:val="18"/>
                      <w:szCs w:val="18"/>
                    </w:rPr>
                  </w:pPr>
                  <w:r>
                    <w:rPr>
                      <w:rFonts w:cs="Times New Roman"/>
                      <w:color w:val="auto"/>
                      <w:kern w:val="0"/>
                      <w:sz w:val="18"/>
                      <w:szCs w:val="18"/>
                    </w:rPr>
                    <w:t>排放源</w:t>
                  </w:r>
                </w:p>
              </w:tc>
              <w:tc>
                <w:tcPr>
                  <w:tcW w:w="1264" w:type="dxa"/>
                  <w:vAlign w:val="center"/>
                </w:tcPr>
                <w:p>
                  <w:pPr>
                    <w:adjustRightInd w:val="0"/>
                    <w:snapToGrid w:val="0"/>
                    <w:jc w:val="center"/>
                    <w:rPr>
                      <w:rFonts w:cs="Times New Roman"/>
                      <w:color w:val="auto"/>
                      <w:sz w:val="18"/>
                      <w:szCs w:val="18"/>
                    </w:rPr>
                  </w:pPr>
                  <w:r>
                    <w:rPr>
                      <w:rFonts w:cs="Times New Roman"/>
                      <w:color w:val="auto"/>
                      <w:kern w:val="0"/>
                      <w:sz w:val="18"/>
                      <w:szCs w:val="18"/>
                    </w:rPr>
                    <w:t>污染因子</w:t>
                  </w:r>
                </w:p>
              </w:tc>
              <w:tc>
                <w:tcPr>
                  <w:tcW w:w="1438"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最大落地浓度</w:t>
                  </w:r>
                </w:p>
                <w:p>
                  <w:pPr>
                    <w:adjustRightInd w:val="0"/>
                    <w:snapToGrid w:val="0"/>
                    <w:jc w:val="center"/>
                    <w:rPr>
                      <w:rFonts w:cs="Times New Roman"/>
                      <w:color w:val="auto"/>
                      <w:sz w:val="18"/>
                      <w:szCs w:val="18"/>
                    </w:rPr>
                  </w:pPr>
                  <w:r>
                    <w:rPr>
                      <w:rFonts w:cs="Times New Roman"/>
                      <w:color w:val="auto"/>
                      <w:kern w:val="0"/>
                      <w:sz w:val="18"/>
                      <w:szCs w:val="18"/>
                    </w:rPr>
                    <w:t>（mg/m</w:t>
                  </w:r>
                  <w:r>
                    <w:rPr>
                      <w:rFonts w:cs="Times New Roman"/>
                      <w:color w:val="auto"/>
                      <w:kern w:val="0"/>
                      <w:sz w:val="18"/>
                      <w:szCs w:val="18"/>
                      <w:vertAlign w:val="superscript"/>
                    </w:rPr>
                    <w:t>3</w:t>
                  </w:r>
                  <w:r>
                    <w:rPr>
                      <w:rFonts w:cs="Times New Roman"/>
                      <w:color w:val="auto"/>
                      <w:kern w:val="0"/>
                      <w:sz w:val="18"/>
                      <w:szCs w:val="18"/>
                    </w:rPr>
                    <w:t>）</w:t>
                  </w:r>
                </w:p>
              </w:tc>
              <w:tc>
                <w:tcPr>
                  <w:tcW w:w="1150"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评价标准</w:t>
                  </w:r>
                </w:p>
                <w:p>
                  <w:pPr>
                    <w:adjustRightInd w:val="0"/>
                    <w:snapToGrid w:val="0"/>
                    <w:jc w:val="center"/>
                    <w:rPr>
                      <w:rFonts w:cs="Times New Roman"/>
                      <w:color w:val="auto"/>
                      <w:sz w:val="18"/>
                      <w:szCs w:val="18"/>
                    </w:rPr>
                  </w:pPr>
                  <w:r>
                    <w:rPr>
                      <w:rFonts w:cs="Times New Roman"/>
                      <w:color w:val="auto"/>
                      <w:kern w:val="0"/>
                      <w:sz w:val="18"/>
                      <w:szCs w:val="18"/>
                    </w:rPr>
                    <w:t>（mg/m</w:t>
                  </w:r>
                  <w:r>
                    <w:rPr>
                      <w:rFonts w:cs="Times New Roman"/>
                      <w:color w:val="auto"/>
                      <w:kern w:val="0"/>
                      <w:sz w:val="18"/>
                      <w:szCs w:val="18"/>
                      <w:vertAlign w:val="superscript"/>
                    </w:rPr>
                    <w:t>3</w:t>
                  </w:r>
                  <w:r>
                    <w:rPr>
                      <w:rFonts w:cs="Times New Roman"/>
                      <w:color w:val="auto"/>
                      <w:kern w:val="0"/>
                      <w:sz w:val="18"/>
                      <w:szCs w:val="18"/>
                    </w:rPr>
                    <w:t>）</w:t>
                  </w:r>
                </w:p>
              </w:tc>
              <w:tc>
                <w:tcPr>
                  <w:tcW w:w="912"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占标率</w:t>
                  </w:r>
                </w:p>
                <w:p>
                  <w:pPr>
                    <w:adjustRightInd w:val="0"/>
                    <w:snapToGrid w:val="0"/>
                    <w:jc w:val="center"/>
                    <w:rPr>
                      <w:rFonts w:cs="Times New Roman"/>
                      <w:color w:val="auto"/>
                      <w:sz w:val="18"/>
                      <w:szCs w:val="18"/>
                    </w:rPr>
                  </w:pPr>
                  <w:r>
                    <w:rPr>
                      <w:rFonts w:cs="Times New Roman"/>
                      <w:color w:val="auto"/>
                      <w:kern w:val="0"/>
                      <w:sz w:val="18"/>
                      <w:szCs w:val="18"/>
                    </w:rPr>
                    <w:t>（%）</w:t>
                  </w:r>
                </w:p>
              </w:tc>
              <w:tc>
                <w:tcPr>
                  <w:tcW w:w="1473" w:type="dxa"/>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最大落地位置</w:t>
                  </w:r>
                </w:p>
                <w:p>
                  <w:pPr>
                    <w:adjustRightInd w:val="0"/>
                    <w:snapToGrid w:val="0"/>
                    <w:jc w:val="center"/>
                    <w:rPr>
                      <w:rFonts w:cs="Times New Roman"/>
                      <w:color w:val="auto"/>
                      <w:sz w:val="18"/>
                      <w:szCs w:val="18"/>
                    </w:rPr>
                  </w:pPr>
                  <w:r>
                    <w:rPr>
                      <w:rFonts w:cs="Times New Roman"/>
                      <w:color w:val="auto"/>
                      <w:kern w:val="0"/>
                      <w:sz w:val="18"/>
                      <w:szCs w:val="18"/>
                    </w:rPr>
                    <w:t>（m）</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4" w:hRule="atLeast"/>
                <w:jc w:val="center"/>
              </w:trPr>
              <w:tc>
                <w:tcPr>
                  <w:tcW w:w="601" w:type="dxa"/>
                  <w:vMerge w:val="restart"/>
                  <w:vAlign w:val="center"/>
                </w:tcPr>
                <w:p>
                  <w:pPr>
                    <w:adjustRightInd w:val="0"/>
                    <w:snapToGrid w:val="0"/>
                    <w:jc w:val="center"/>
                    <w:rPr>
                      <w:rFonts w:cs="Times New Roman"/>
                      <w:color w:val="auto"/>
                      <w:sz w:val="18"/>
                      <w:szCs w:val="18"/>
                    </w:rPr>
                  </w:pPr>
                  <w:r>
                    <w:rPr>
                      <w:rFonts w:cs="Times New Roman"/>
                      <w:color w:val="auto"/>
                      <w:kern w:val="0"/>
                      <w:sz w:val="18"/>
                      <w:szCs w:val="18"/>
                    </w:rPr>
                    <w:t>点源</w:t>
                  </w:r>
                </w:p>
              </w:tc>
              <w:tc>
                <w:tcPr>
                  <w:tcW w:w="1877"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配料工序</w:t>
                  </w:r>
                </w:p>
              </w:tc>
              <w:tc>
                <w:tcPr>
                  <w:tcW w:w="1264"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颗粒物</w:t>
                  </w:r>
                </w:p>
              </w:tc>
              <w:tc>
                <w:tcPr>
                  <w:tcW w:w="1438" w:type="dxa"/>
                  <w:vAlign w:val="center"/>
                </w:tcPr>
                <w:p>
                  <w:pPr>
                    <w:adjustRightInd w:val="0"/>
                    <w:snapToGrid w:val="0"/>
                    <w:jc w:val="center"/>
                    <w:rPr>
                      <w:rFonts w:cs="Times New Roman"/>
                      <w:color w:val="auto"/>
                      <w:kern w:val="0"/>
                      <w:sz w:val="18"/>
                      <w:szCs w:val="18"/>
                    </w:rPr>
                  </w:pPr>
                  <w:r>
                    <w:rPr>
                      <w:rFonts w:cs="Times New Roman"/>
                      <w:color w:val="auto"/>
                      <w:kern w:val="0"/>
                      <w:sz w:val="18"/>
                      <w:szCs w:val="18"/>
                    </w:rPr>
                    <w:t>1.10E-03</w:t>
                  </w:r>
                </w:p>
              </w:tc>
              <w:tc>
                <w:tcPr>
                  <w:tcW w:w="1150" w:type="dxa"/>
                  <w:vAlign w:val="center"/>
                </w:tcPr>
                <w:p>
                  <w:pPr>
                    <w:adjustRightInd w:val="0"/>
                    <w:snapToGrid w:val="0"/>
                    <w:jc w:val="center"/>
                    <w:rPr>
                      <w:rFonts w:cs="Times New Roman"/>
                      <w:color w:val="auto"/>
                      <w:sz w:val="18"/>
                      <w:szCs w:val="18"/>
                    </w:rPr>
                  </w:pPr>
                  <w:r>
                    <w:rPr>
                      <w:rFonts w:hint="eastAsia" w:cs="Times New Roman"/>
                      <w:color w:val="auto"/>
                      <w:sz w:val="18"/>
                      <w:szCs w:val="18"/>
                    </w:rPr>
                    <w:t>0.45</w:t>
                  </w:r>
                </w:p>
              </w:tc>
              <w:tc>
                <w:tcPr>
                  <w:tcW w:w="912" w:type="dxa"/>
                  <w:vAlign w:val="center"/>
                </w:tcPr>
                <w:p>
                  <w:pPr>
                    <w:adjustRightInd w:val="0"/>
                    <w:snapToGrid w:val="0"/>
                    <w:jc w:val="center"/>
                    <w:rPr>
                      <w:rFonts w:cs="Times New Roman"/>
                      <w:color w:val="auto"/>
                      <w:sz w:val="18"/>
                      <w:szCs w:val="18"/>
                    </w:rPr>
                  </w:pPr>
                  <w:r>
                    <w:rPr>
                      <w:rFonts w:hint="eastAsia" w:cs="Times New Roman"/>
                      <w:color w:val="auto"/>
                      <w:sz w:val="18"/>
                      <w:szCs w:val="18"/>
                    </w:rPr>
                    <w:t>0.24</w:t>
                  </w:r>
                </w:p>
              </w:tc>
              <w:tc>
                <w:tcPr>
                  <w:tcW w:w="1473" w:type="dxa"/>
                  <w:vAlign w:val="center"/>
                </w:tcPr>
                <w:p>
                  <w:pPr>
                    <w:adjustRightInd w:val="0"/>
                    <w:snapToGrid w:val="0"/>
                    <w:jc w:val="center"/>
                    <w:rPr>
                      <w:rFonts w:cs="Times New Roman"/>
                      <w:color w:val="auto"/>
                      <w:sz w:val="18"/>
                      <w:szCs w:val="18"/>
                    </w:rPr>
                  </w:pPr>
                  <w:r>
                    <w:rPr>
                      <w:rFonts w:hint="eastAsia" w:cs="Times New Roman"/>
                      <w:color w:val="auto"/>
                      <w:sz w:val="18"/>
                      <w:szCs w:val="18"/>
                    </w:rPr>
                    <w:t>102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601" w:type="dxa"/>
                  <w:vMerge w:val="continue"/>
                  <w:vAlign w:val="center"/>
                </w:tcPr>
                <w:p>
                  <w:pPr>
                    <w:adjustRightInd w:val="0"/>
                    <w:snapToGrid w:val="0"/>
                    <w:jc w:val="center"/>
                    <w:rPr>
                      <w:rFonts w:cs="Times New Roman"/>
                      <w:color w:val="auto"/>
                      <w:kern w:val="0"/>
                      <w:sz w:val="18"/>
                      <w:szCs w:val="18"/>
                    </w:rPr>
                  </w:pPr>
                </w:p>
              </w:tc>
              <w:tc>
                <w:tcPr>
                  <w:tcW w:w="1877" w:type="dxa"/>
                  <w:vAlign w:val="center"/>
                </w:tcPr>
                <w:p>
                  <w:pPr>
                    <w:autoSpaceDE w:val="0"/>
                    <w:autoSpaceDN w:val="0"/>
                    <w:adjustRightInd w:val="0"/>
                    <w:snapToGrid w:val="0"/>
                    <w:jc w:val="center"/>
                    <w:rPr>
                      <w:rFonts w:cs="Times New Roman"/>
                      <w:color w:val="auto"/>
                      <w:sz w:val="18"/>
                      <w:szCs w:val="18"/>
                    </w:rPr>
                  </w:pPr>
                  <w:r>
                    <w:rPr>
                      <w:rFonts w:hint="eastAsia" w:cs="Times New Roman"/>
                      <w:color w:val="auto"/>
                      <w:sz w:val="18"/>
                      <w:szCs w:val="18"/>
                    </w:rPr>
                    <w:t>烘干、烘焙工序</w:t>
                  </w:r>
                </w:p>
              </w:tc>
              <w:tc>
                <w:tcPr>
                  <w:tcW w:w="1264" w:type="dxa"/>
                  <w:vAlign w:val="center"/>
                </w:tcPr>
                <w:p>
                  <w:pPr>
                    <w:widowControl/>
                    <w:adjustRightInd w:val="0"/>
                    <w:snapToGrid w:val="0"/>
                    <w:jc w:val="center"/>
                    <w:rPr>
                      <w:rFonts w:cs="Times New Roman"/>
                      <w:color w:val="auto"/>
                      <w:sz w:val="18"/>
                      <w:szCs w:val="18"/>
                    </w:rPr>
                  </w:pPr>
                  <w:r>
                    <w:rPr>
                      <w:rFonts w:cs="Times New Roman"/>
                      <w:color w:val="auto"/>
                      <w:sz w:val="18"/>
                      <w:szCs w:val="18"/>
                    </w:rPr>
                    <w:t>NO</w:t>
                  </w:r>
                  <w:r>
                    <w:rPr>
                      <w:rFonts w:cs="Times New Roman"/>
                      <w:color w:val="auto"/>
                      <w:sz w:val="18"/>
                      <w:szCs w:val="18"/>
                      <w:vertAlign w:val="subscript"/>
                    </w:rPr>
                    <w:t>2</w:t>
                  </w:r>
                </w:p>
              </w:tc>
              <w:tc>
                <w:tcPr>
                  <w:tcW w:w="1438" w:type="dxa"/>
                  <w:vAlign w:val="center"/>
                </w:tcPr>
                <w:p>
                  <w:pPr>
                    <w:widowControl/>
                    <w:adjustRightInd w:val="0"/>
                    <w:snapToGrid w:val="0"/>
                    <w:jc w:val="center"/>
                    <w:rPr>
                      <w:rFonts w:cs="Times New Roman"/>
                      <w:color w:val="auto"/>
                      <w:sz w:val="18"/>
                      <w:szCs w:val="18"/>
                    </w:rPr>
                  </w:pPr>
                  <w:r>
                    <w:rPr>
                      <w:rFonts w:cs="Times New Roman"/>
                      <w:color w:val="auto"/>
                      <w:kern w:val="0"/>
                      <w:sz w:val="18"/>
                      <w:szCs w:val="18"/>
                    </w:rPr>
                    <w:t>1.</w:t>
                  </w:r>
                  <w:r>
                    <w:rPr>
                      <w:rFonts w:hint="eastAsia" w:cs="Times New Roman"/>
                      <w:color w:val="auto"/>
                      <w:kern w:val="0"/>
                      <w:sz w:val="18"/>
                      <w:szCs w:val="18"/>
                    </w:rPr>
                    <w:t>54</w:t>
                  </w:r>
                  <w:r>
                    <w:rPr>
                      <w:rFonts w:cs="Times New Roman"/>
                      <w:color w:val="auto"/>
                      <w:kern w:val="0"/>
                      <w:sz w:val="18"/>
                      <w:szCs w:val="18"/>
                    </w:rPr>
                    <w:t>E-03</w:t>
                  </w:r>
                </w:p>
              </w:tc>
              <w:tc>
                <w:tcPr>
                  <w:tcW w:w="1150" w:type="dxa"/>
                  <w:vAlign w:val="center"/>
                </w:tcPr>
                <w:p>
                  <w:pPr>
                    <w:adjustRightInd w:val="0"/>
                    <w:snapToGrid w:val="0"/>
                    <w:jc w:val="center"/>
                    <w:rPr>
                      <w:rFonts w:cs="Times New Roman"/>
                      <w:color w:val="auto"/>
                      <w:kern w:val="0"/>
                      <w:sz w:val="18"/>
                      <w:szCs w:val="18"/>
                    </w:rPr>
                  </w:pPr>
                  <w:r>
                    <w:rPr>
                      <w:rFonts w:hint="eastAsia" w:cs="Times New Roman"/>
                      <w:color w:val="auto"/>
                      <w:kern w:val="0"/>
                      <w:sz w:val="18"/>
                      <w:szCs w:val="18"/>
                    </w:rPr>
                    <w:t>0.2</w:t>
                  </w:r>
                </w:p>
              </w:tc>
              <w:tc>
                <w:tcPr>
                  <w:tcW w:w="912" w:type="dxa"/>
                  <w:vAlign w:val="center"/>
                </w:tcPr>
                <w:p>
                  <w:pPr>
                    <w:adjustRightInd w:val="0"/>
                    <w:snapToGrid w:val="0"/>
                    <w:jc w:val="center"/>
                    <w:rPr>
                      <w:rFonts w:cs="Times New Roman"/>
                      <w:color w:val="auto"/>
                      <w:sz w:val="18"/>
                      <w:szCs w:val="18"/>
                    </w:rPr>
                  </w:pPr>
                  <w:r>
                    <w:rPr>
                      <w:rFonts w:hint="eastAsia" w:cs="Times New Roman"/>
                      <w:color w:val="auto"/>
                      <w:sz w:val="18"/>
                      <w:szCs w:val="18"/>
                    </w:rPr>
                    <w:t>0.77</w:t>
                  </w:r>
                </w:p>
              </w:tc>
              <w:tc>
                <w:tcPr>
                  <w:tcW w:w="1473" w:type="dxa"/>
                  <w:vAlign w:val="center"/>
                </w:tcPr>
                <w:p>
                  <w:pPr>
                    <w:adjustRightInd w:val="0"/>
                    <w:snapToGrid w:val="0"/>
                    <w:jc w:val="center"/>
                    <w:rPr>
                      <w:rFonts w:cs="Times New Roman"/>
                      <w:color w:val="auto"/>
                      <w:sz w:val="18"/>
                      <w:szCs w:val="18"/>
                    </w:rPr>
                  </w:pPr>
                  <w:r>
                    <w:rPr>
                      <w:rFonts w:hint="eastAsia" w:cs="Times New Roman"/>
                      <w:color w:val="auto"/>
                      <w:sz w:val="18"/>
                      <w:szCs w:val="18"/>
                    </w:rPr>
                    <w:t>102</w:t>
                  </w:r>
                </w:p>
              </w:tc>
            </w:tr>
          </w:tbl>
          <w:p>
            <w:pPr>
              <w:widowControl/>
              <w:adjustRightInd w:val="0"/>
              <w:snapToGrid w:val="0"/>
              <w:spacing w:line="360" w:lineRule="auto"/>
              <w:ind w:firstLine="464" w:firstLineChars="200"/>
              <w:rPr>
                <w:rFonts w:cs="Times New Roman"/>
                <w:color w:val="auto"/>
                <w:spacing w:val="-4"/>
                <w:kern w:val="0"/>
                <w:sz w:val="24"/>
                <w:szCs w:val="24"/>
              </w:rPr>
            </w:pPr>
            <w:r>
              <w:rPr>
                <w:rFonts w:cs="Times New Roman"/>
                <w:color w:val="auto"/>
                <w:spacing w:val="-4"/>
                <w:kern w:val="0"/>
                <w:sz w:val="24"/>
                <w:szCs w:val="24"/>
              </w:rPr>
              <w:t>项目污染源最大地面浓度占标率为</w:t>
            </w:r>
            <w:r>
              <w:rPr>
                <w:rFonts w:hint="eastAsia" w:cs="Times New Roman"/>
                <w:color w:val="auto"/>
                <w:spacing w:val="-4"/>
                <w:kern w:val="0"/>
                <w:sz w:val="24"/>
                <w:szCs w:val="24"/>
              </w:rPr>
              <w:t>0.77</w:t>
            </w:r>
            <w:r>
              <w:rPr>
                <w:rFonts w:cs="Times New Roman"/>
                <w:color w:val="auto"/>
                <w:spacing w:val="-4"/>
                <w:kern w:val="0"/>
                <w:sz w:val="24"/>
                <w:szCs w:val="24"/>
              </w:rPr>
              <w:t>%，根据《环境影响评价技术导则——大气环境》（HJ2.2-2018），项目评价等级为三级，无需进行进一步预测与评价，本项目仅根据工程分析对污染物达标排放进行分析。</w:t>
            </w:r>
          </w:p>
          <w:p>
            <w:pPr>
              <w:pStyle w:val="99"/>
              <w:ind w:firstLine="464"/>
              <w:rPr>
                <w:rFonts w:cs="Times New Roman"/>
                <w:color w:val="auto"/>
                <w:spacing w:val="-4"/>
                <w:kern w:val="0"/>
                <w:szCs w:val="24"/>
              </w:rPr>
            </w:pPr>
            <w:r>
              <w:rPr>
                <w:rFonts w:cs="Times New Roman"/>
                <w:color w:val="auto"/>
                <w:spacing w:val="-4"/>
                <w:kern w:val="0"/>
                <w:szCs w:val="24"/>
              </w:rPr>
              <w:t>根据项目工程分析，</w:t>
            </w:r>
            <w:r>
              <w:rPr>
                <w:rFonts w:hint="eastAsia" w:cs="Times New Roman"/>
                <w:color w:val="auto"/>
                <w:spacing w:val="-4"/>
                <w:kern w:val="0"/>
                <w:szCs w:val="24"/>
              </w:rPr>
              <w:t>配料工序颗粒物排放</w:t>
            </w:r>
            <w:r>
              <w:rPr>
                <w:rFonts w:cs="Times New Roman"/>
                <w:color w:val="auto"/>
                <w:szCs w:val="24"/>
              </w:rPr>
              <w:t>能够</w:t>
            </w:r>
            <w:r>
              <w:rPr>
                <w:rFonts w:hint="eastAsia" w:cs="Times New Roman"/>
                <w:color w:val="auto"/>
                <w:szCs w:val="24"/>
              </w:rPr>
              <w:t>满足《大气污染我综合排放标准》（GB16297-1996）表2二级标准要求；烘干、烘焙工序NO</w:t>
            </w:r>
            <w:r>
              <w:rPr>
                <w:rFonts w:hint="eastAsia" w:cs="Times New Roman"/>
                <w:color w:val="auto"/>
                <w:szCs w:val="24"/>
                <w:vertAlign w:val="subscript"/>
              </w:rPr>
              <w:t>2</w:t>
            </w:r>
            <w:r>
              <w:rPr>
                <w:rFonts w:hint="eastAsia" w:cs="Times New Roman"/>
                <w:color w:val="auto"/>
                <w:szCs w:val="24"/>
              </w:rPr>
              <w:t>排放满足</w:t>
            </w:r>
            <w:r>
              <w:rPr>
                <w:rFonts w:hint="eastAsia" w:cs="Times New Roman"/>
                <w:color w:val="auto"/>
                <w:szCs w:val="24"/>
                <w:lang w:val="en-US" w:eastAsia="zh-CN"/>
              </w:rPr>
              <w:t>河南省</w:t>
            </w:r>
            <w:r>
              <w:rPr>
                <w:rFonts w:hint="eastAsia" w:cs="Times New Roman"/>
                <w:color w:val="auto"/>
                <w:szCs w:val="24"/>
                <w:lang w:eastAsia="zh-CN"/>
              </w:rPr>
              <w:t>《</w:t>
            </w:r>
            <w:r>
              <w:rPr>
                <w:rFonts w:hint="eastAsia" w:cs="Times New Roman"/>
                <w:color w:val="auto"/>
                <w:szCs w:val="24"/>
                <w:lang w:val="en-US" w:eastAsia="zh-CN"/>
              </w:rPr>
              <w:t>工业炉窑大气污染物排放标准</w:t>
            </w:r>
            <w:r>
              <w:rPr>
                <w:rFonts w:hint="eastAsia" w:cs="Times New Roman"/>
                <w:color w:val="auto"/>
                <w:szCs w:val="24"/>
                <w:lang w:eastAsia="zh-CN"/>
              </w:rPr>
              <w:t>》（</w:t>
            </w:r>
            <w:r>
              <w:rPr>
                <w:rFonts w:hint="eastAsia" w:cs="Times New Roman"/>
                <w:color w:val="auto"/>
                <w:szCs w:val="24"/>
                <w:lang w:val="en-US" w:eastAsia="zh-CN"/>
              </w:rPr>
              <w:t>DB41/1066-2015</w:t>
            </w:r>
            <w:r>
              <w:rPr>
                <w:rFonts w:hint="eastAsia" w:cs="Times New Roman"/>
                <w:color w:val="auto"/>
                <w:szCs w:val="24"/>
                <w:lang w:eastAsia="zh-CN"/>
              </w:rPr>
              <w:t>）</w:t>
            </w:r>
            <w:r>
              <w:rPr>
                <w:rFonts w:hint="eastAsia" w:cs="Times New Roman"/>
                <w:color w:val="auto"/>
                <w:szCs w:val="24"/>
                <w:lang w:val="en-US" w:eastAsia="zh-CN"/>
              </w:rPr>
              <w:t>及</w:t>
            </w:r>
            <w:r>
              <w:rPr>
                <w:rFonts w:hint="eastAsia" w:cs="Times New Roman"/>
                <w:color w:val="auto"/>
                <w:szCs w:val="24"/>
              </w:rPr>
              <w:t>《新乡市环境污染攻坚战三年行动实施方案》（2018-2020）要求颗粒物、二氧化硫、氮氧化物排放限值分别不高于 30 毫克/立方米、200 毫克/立方米、300 毫克/立方米。</w:t>
            </w:r>
            <w:r>
              <w:rPr>
                <w:rFonts w:cs="Times New Roman"/>
                <w:color w:val="auto"/>
                <w:szCs w:val="24"/>
              </w:rPr>
              <w:t>本项目废气污染物</w:t>
            </w:r>
            <w:r>
              <w:rPr>
                <w:rFonts w:cs="Times New Roman"/>
                <w:color w:val="auto"/>
                <w:spacing w:val="-4"/>
                <w:kern w:val="0"/>
                <w:szCs w:val="24"/>
              </w:rPr>
              <w:t>对周围环境影响可接受。</w:t>
            </w:r>
          </w:p>
          <w:p>
            <w:pPr>
              <w:widowControl/>
              <w:adjustRightInd w:val="0"/>
              <w:snapToGrid w:val="0"/>
              <w:spacing w:line="360" w:lineRule="auto"/>
              <w:ind w:firstLine="482"/>
              <w:rPr>
                <w:rFonts w:cs="Times New Roman"/>
                <w:color w:val="auto"/>
                <w:sz w:val="24"/>
                <w:szCs w:val="24"/>
              </w:rPr>
            </w:pPr>
            <w:r>
              <w:rPr>
                <w:rFonts w:eastAsia="黑体" w:cs="Times New Roman"/>
                <w:bCs/>
                <w:color w:val="auto"/>
                <w:sz w:val="24"/>
                <w:szCs w:val="24"/>
              </w:rPr>
              <w:t>（</w:t>
            </w:r>
            <w:r>
              <w:rPr>
                <w:rFonts w:hint="eastAsia" w:eastAsia="黑体" w:cs="Times New Roman"/>
                <w:bCs/>
                <w:color w:val="auto"/>
                <w:sz w:val="24"/>
                <w:szCs w:val="24"/>
              </w:rPr>
              <w:t>5</w:t>
            </w:r>
            <w:r>
              <w:rPr>
                <w:rFonts w:eastAsia="黑体" w:cs="Times New Roman"/>
                <w:bCs/>
                <w:color w:val="auto"/>
                <w:sz w:val="24"/>
                <w:szCs w:val="24"/>
              </w:rPr>
              <w:t>）</w:t>
            </w:r>
            <w:r>
              <w:rPr>
                <w:rFonts w:cs="Times New Roman"/>
                <w:color w:val="auto"/>
                <w:sz w:val="24"/>
                <w:szCs w:val="24"/>
              </w:rPr>
              <w:t>废气污染物排放量核算</w:t>
            </w:r>
          </w:p>
          <w:p>
            <w:pPr>
              <w:widowControl/>
              <w:adjustRightInd w:val="0"/>
              <w:snapToGrid w:val="0"/>
              <w:spacing w:line="360" w:lineRule="auto"/>
              <w:ind w:firstLine="482"/>
              <w:rPr>
                <w:rFonts w:cs="Times New Roman"/>
                <w:color w:val="auto"/>
                <w:sz w:val="24"/>
                <w:szCs w:val="24"/>
              </w:rPr>
            </w:pPr>
            <w:r>
              <w:rPr>
                <w:rFonts w:cs="Times New Roman"/>
                <w:color w:val="auto"/>
                <w:sz w:val="24"/>
                <w:szCs w:val="24"/>
              </w:rPr>
              <w:t>①有组织排放量核算</w:t>
            </w:r>
          </w:p>
          <w:p>
            <w:pPr>
              <w:pStyle w:val="21"/>
              <w:ind w:firstLine="420"/>
              <w:rPr>
                <w:color w:val="auto"/>
              </w:rPr>
            </w:pPr>
            <w:r>
              <w:rPr>
                <w:rFonts w:hint="eastAsia"/>
                <w:color w:val="auto"/>
              </w:rPr>
              <w:t xml:space="preserve">            </w:t>
            </w:r>
            <w:r>
              <w:rPr>
                <w:color w:val="auto"/>
              </w:rPr>
              <w:t>大气污染物有组织排放量核算表</w:t>
            </w:r>
          </w:p>
          <w:tbl>
            <w:tblPr>
              <w:tblStyle w:val="26"/>
              <w:tblW w:w="87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1"/>
              <w:gridCol w:w="1695"/>
              <w:gridCol w:w="1120"/>
              <w:gridCol w:w="2070"/>
              <w:gridCol w:w="1713"/>
              <w:gridCol w:w="15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1" w:type="dxa"/>
                  <w:vAlign w:val="center"/>
                </w:tcPr>
                <w:p>
                  <w:pPr>
                    <w:adjustRightInd w:val="0"/>
                    <w:snapToGrid w:val="0"/>
                    <w:jc w:val="center"/>
                    <w:rPr>
                      <w:rFonts w:cs="Times New Roman"/>
                      <w:color w:val="auto"/>
                      <w:sz w:val="18"/>
                      <w:szCs w:val="18"/>
                    </w:rPr>
                  </w:pPr>
                  <w:r>
                    <w:rPr>
                      <w:rFonts w:cs="Times New Roman"/>
                      <w:color w:val="auto"/>
                      <w:sz w:val="18"/>
                      <w:szCs w:val="18"/>
                    </w:rPr>
                    <w:t>序号</w:t>
                  </w:r>
                </w:p>
              </w:tc>
              <w:tc>
                <w:tcPr>
                  <w:tcW w:w="1695" w:type="dxa"/>
                  <w:vAlign w:val="center"/>
                </w:tcPr>
                <w:p>
                  <w:pPr>
                    <w:adjustRightInd w:val="0"/>
                    <w:snapToGrid w:val="0"/>
                    <w:jc w:val="center"/>
                    <w:rPr>
                      <w:rFonts w:cs="Times New Roman"/>
                      <w:color w:val="auto"/>
                      <w:sz w:val="18"/>
                      <w:szCs w:val="18"/>
                    </w:rPr>
                  </w:pPr>
                  <w:r>
                    <w:rPr>
                      <w:rFonts w:cs="Times New Roman"/>
                      <w:color w:val="auto"/>
                      <w:sz w:val="18"/>
                      <w:szCs w:val="18"/>
                    </w:rPr>
                    <w:t>排放口编号</w:t>
                  </w:r>
                </w:p>
              </w:tc>
              <w:tc>
                <w:tcPr>
                  <w:tcW w:w="1120" w:type="dxa"/>
                  <w:vAlign w:val="center"/>
                </w:tcPr>
                <w:p>
                  <w:pPr>
                    <w:adjustRightInd w:val="0"/>
                    <w:snapToGrid w:val="0"/>
                    <w:jc w:val="center"/>
                    <w:rPr>
                      <w:rFonts w:cs="Times New Roman"/>
                      <w:color w:val="auto"/>
                      <w:sz w:val="18"/>
                      <w:szCs w:val="18"/>
                    </w:rPr>
                  </w:pPr>
                  <w:r>
                    <w:rPr>
                      <w:rFonts w:cs="Times New Roman"/>
                      <w:color w:val="auto"/>
                      <w:sz w:val="18"/>
                      <w:szCs w:val="18"/>
                    </w:rPr>
                    <w:t>污染物</w:t>
                  </w:r>
                </w:p>
              </w:tc>
              <w:tc>
                <w:tcPr>
                  <w:tcW w:w="2070" w:type="dxa"/>
                  <w:vAlign w:val="center"/>
                </w:tcPr>
                <w:p>
                  <w:pPr>
                    <w:adjustRightInd w:val="0"/>
                    <w:snapToGrid w:val="0"/>
                    <w:jc w:val="center"/>
                    <w:rPr>
                      <w:rFonts w:cs="Times New Roman"/>
                      <w:color w:val="auto"/>
                      <w:sz w:val="18"/>
                      <w:szCs w:val="18"/>
                    </w:rPr>
                  </w:pPr>
                  <w:r>
                    <w:rPr>
                      <w:rFonts w:cs="Times New Roman"/>
                      <w:color w:val="auto"/>
                      <w:sz w:val="18"/>
                      <w:szCs w:val="18"/>
                    </w:rPr>
                    <w:t>核算排放浓度/（mg/m</w:t>
                  </w:r>
                  <w:r>
                    <w:rPr>
                      <w:rFonts w:cs="Times New Roman"/>
                      <w:color w:val="auto"/>
                      <w:sz w:val="18"/>
                      <w:szCs w:val="18"/>
                      <w:vertAlign w:val="superscript"/>
                    </w:rPr>
                    <w:t>3</w:t>
                  </w:r>
                  <w:r>
                    <w:rPr>
                      <w:rFonts w:cs="Times New Roman"/>
                      <w:color w:val="auto"/>
                      <w:sz w:val="18"/>
                      <w:szCs w:val="18"/>
                    </w:rPr>
                    <w:t>）</w:t>
                  </w:r>
                </w:p>
              </w:tc>
              <w:tc>
                <w:tcPr>
                  <w:tcW w:w="1713" w:type="dxa"/>
                  <w:vAlign w:val="center"/>
                </w:tcPr>
                <w:p>
                  <w:pPr>
                    <w:adjustRightInd w:val="0"/>
                    <w:snapToGrid w:val="0"/>
                    <w:jc w:val="center"/>
                    <w:rPr>
                      <w:rFonts w:cs="Times New Roman"/>
                      <w:color w:val="auto"/>
                      <w:sz w:val="18"/>
                      <w:szCs w:val="18"/>
                    </w:rPr>
                  </w:pPr>
                  <w:r>
                    <w:rPr>
                      <w:rFonts w:cs="Times New Roman"/>
                      <w:color w:val="auto"/>
                      <w:sz w:val="18"/>
                      <w:szCs w:val="18"/>
                    </w:rPr>
                    <w:t>核算排放速率/（kg/h）</w:t>
                  </w:r>
                </w:p>
              </w:tc>
              <w:tc>
                <w:tcPr>
                  <w:tcW w:w="1576" w:type="dxa"/>
                  <w:vAlign w:val="center"/>
                </w:tcPr>
                <w:p>
                  <w:pPr>
                    <w:adjustRightInd w:val="0"/>
                    <w:snapToGrid w:val="0"/>
                    <w:jc w:val="center"/>
                    <w:rPr>
                      <w:rFonts w:cs="Times New Roman"/>
                      <w:color w:val="auto"/>
                      <w:sz w:val="18"/>
                      <w:szCs w:val="18"/>
                    </w:rPr>
                  </w:pPr>
                  <w:r>
                    <w:rPr>
                      <w:rFonts w:cs="Times New Roman"/>
                      <w:color w:val="auto"/>
                      <w:sz w:val="18"/>
                      <w:szCs w:val="18"/>
                    </w:rPr>
                    <w:t>核算年排放量/（t/a）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15" w:type="dxa"/>
                  <w:gridSpan w:val="6"/>
                  <w:vAlign w:val="center"/>
                </w:tcPr>
                <w:p>
                  <w:pPr>
                    <w:adjustRightInd w:val="0"/>
                    <w:snapToGrid w:val="0"/>
                    <w:jc w:val="center"/>
                    <w:rPr>
                      <w:rFonts w:cs="Times New Roman"/>
                      <w:color w:val="auto"/>
                      <w:sz w:val="18"/>
                      <w:szCs w:val="18"/>
                    </w:rPr>
                  </w:pPr>
                  <w:r>
                    <w:rPr>
                      <w:rFonts w:hint="eastAsia" w:cs="Times New Roman"/>
                      <w:color w:val="auto"/>
                      <w:sz w:val="18"/>
                      <w:szCs w:val="18"/>
                    </w:rPr>
                    <w:t>主要</w:t>
                  </w:r>
                  <w:r>
                    <w:rPr>
                      <w:rFonts w:cs="Times New Roman"/>
                      <w:color w:val="auto"/>
                      <w:sz w:val="18"/>
                      <w:szCs w:val="18"/>
                    </w:rPr>
                    <w:t>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1" w:type="dxa"/>
                  <w:vAlign w:val="center"/>
                </w:tcPr>
                <w:p>
                  <w:pPr>
                    <w:widowControl/>
                    <w:adjustRightInd w:val="0"/>
                    <w:snapToGrid w:val="0"/>
                    <w:jc w:val="center"/>
                    <w:rPr>
                      <w:rFonts w:cs="Times New Roman"/>
                      <w:color w:val="auto"/>
                      <w:sz w:val="18"/>
                      <w:szCs w:val="18"/>
                    </w:rPr>
                  </w:pPr>
                  <w:r>
                    <w:rPr>
                      <w:rFonts w:hint="eastAsia" w:cs="Times New Roman"/>
                      <w:color w:val="auto"/>
                      <w:kern w:val="0"/>
                      <w:sz w:val="18"/>
                      <w:szCs w:val="18"/>
                    </w:rPr>
                    <w:t>1</w:t>
                  </w:r>
                </w:p>
              </w:tc>
              <w:tc>
                <w:tcPr>
                  <w:tcW w:w="1695" w:type="dxa"/>
                  <w:vAlign w:val="center"/>
                </w:tcPr>
                <w:p>
                  <w:pPr>
                    <w:widowControl/>
                    <w:adjustRightInd w:val="0"/>
                    <w:snapToGrid w:val="0"/>
                    <w:jc w:val="center"/>
                    <w:rPr>
                      <w:rFonts w:cs="Times New Roman"/>
                      <w:color w:val="auto"/>
                      <w:sz w:val="18"/>
                      <w:szCs w:val="18"/>
                    </w:rPr>
                  </w:pPr>
                  <w:r>
                    <w:rPr>
                      <w:rFonts w:hint="eastAsia" w:cs="Times New Roman"/>
                      <w:color w:val="auto"/>
                      <w:kern w:val="0"/>
                      <w:sz w:val="18"/>
                      <w:szCs w:val="18"/>
                    </w:rPr>
                    <w:t>烘干、烘焙工序</w:t>
                  </w:r>
                  <w:r>
                    <w:rPr>
                      <w:rFonts w:cs="Times New Roman"/>
                      <w:color w:val="auto"/>
                      <w:kern w:val="0"/>
                      <w:sz w:val="18"/>
                      <w:szCs w:val="18"/>
                    </w:rPr>
                    <w:t>DA</w:t>
                  </w:r>
                  <w:r>
                    <w:rPr>
                      <w:rFonts w:hint="eastAsia" w:cs="Times New Roman"/>
                      <w:color w:val="auto"/>
                      <w:kern w:val="0"/>
                      <w:sz w:val="18"/>
                      <w:szCs w:val="18"/>
                    </w:rPr>
                    <w:t>001</w:t>
                  </w:r>
                </w:p>
              </w:tc>
              <w:tc>
                <w:tcPr>
                  <w:tcW w:w="1120" w:type="dxa"/>
                  <w:vAlign w:val="center"/>
                </w:tcPr>
                <w:p>
                  <w:pPr>
                    <w:adjustRightInd w:val="0"/>
                    <w:snapToGrid w:val="0"/>
                    <w:jc w:val="center"/>
                    <w:rPr>
                      <w:rFonts w:cs="Times New Roman"/>
                      <w:color w:val="auto"/>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2070" w:type="dxa"/>
                  <w:vAlign w:val="center"/>
                </w:tcPr>
                <w:p>
                  <w:pPr>
                    <w:adjustRightInd w:val="0"/>
                    <w:snapToGrid w:val="0"/>
                    <w:jc w:val="center"/>
                    <w:rPr>
                      <w:rFonts w:cs="Times New Roman"/>
                      <w:color w:val="auto"/>
                      <w:sz w:val="18"/>
                      <w:szCs w:val="18"/>
                    </w:rPr>
                  </w:pPr>
                  <w:r>
                    <w:rPr>
                      <w:rFonts w:hint="eastAsia" w:cs="Times New Roman"/>
                      <w:color w:val="auto"/>
                      <w:sz w:val="18"/>
                      <w:szCs w:val="18"/>
                    </w:rPr>
                    <w:t>4.9</w:t>
                  </w:r>
                </w:p>
              </w:tc>
              <w:tc>
                <w:tcPr>
                  <w:tcW w:w="1713" w:type="dxa"/>
                  <w:vAlign w:val="center"/>
                </w:tcPr>
                <w:p>
                  <w:pPr>
                    <w:adjustRightInd w:val="0"/>
                    <w:snapToGrid w:val="0"/>
                    <w:jc w:val="center"/>
                    <w:rPr>
                      <w:rFonts w:cs="Times New Roman"/>
                      <w:color w:val="auto"/>
                      <w:sz w:val="18"/>
                      <w:szCs w:val="18"/>
                    </w:rPr>
                  </w:pPr>
                  <w:r>
                    <w:rPr>
                      <w:rFonts w:hint="eastAsia" w:cs="Times New Roman"/>
                      <w:color w:val="auto"/>
                      <w:sz w:val="18"/>
                      <w:szCs w:val="18"/>
                    </w:rPr>
                    <w:t>0.0098</w:t>
                  </w:r>
                </w:p>
              </w:tc>
              <w:tc>
                <w:tcPr>
                  <w:tcW w:w="1576" w:type="dxa"/>
                  <w:vAlign w:val="center"/>
                </w:tcPr>
                <w:p>
                  <w:pPr>
                    <w:widowControl/>
                    <w:jc w:val="center"/>
                    <w:textAlignment w:val="center"/>
                    <w:rPr>
                      <w:rFonts w:cs="Times New Roman"/>
                      <w:color w:val="auto"/>
                      <w:sz w:val="18"/>
                      <w:szCs w:val="18"/>
                    </w:rPr>
                  </w:pPr>
                  <w:r>
                    <w:rPr>
                      <w:rFonts w:hint="eastAsia" w:cs="Times New Roman"/>
                      <w:color w:val="auto"/>
                      <w:sz w:val="18"/>
                      <w:szCs w:val="18"/>
                    </w:rPr>
                    <w:t>0.0235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36" w:type="dxa"/>
                  <w:gridSpan w:val="2"/>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主要排放口合计</w:t>
                  </w:r>
                </w:p>
              </w:tc>
              <w:tc>
                <w:tcPr>
                  <w:tcW w:w="4903" w:type="dxa"/>
                  <w:gridSpan w:val="3"/>
                  <w:vAlign w:val="center"/>
                </w:tcPr>
                <w:p>
                  <w:pPr>
                    <w:adjustRightInd w:val="0"/>
                    <w:snapToGrid w:val="0"/>
                    <w:jc w:val="center"/>
                    <w:rPr>
                      <w:rFonts w:cs="Times New Roman"/>
                      <w:color w:val="auto"/>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1576" w:type="dxa"/>
                  <w:vAlign w:val="center"/>
                </w:tcPr>
                <w:p>
                  <w:pPr>
                    <w:widowControl/>
                    <w:jc w:val="center"/>
                    <w:textAlignment w:val="center"/>
                    <w:rPr>
                      <w:rFonts w:cs="Times New Roman"/>
                      <w:color w:val="auto"/>
                      <w:sz w:val="18"/>
                      <w:szCs w:val="18"/>
                    </w:rPr>
                  </w:pPr>
                  <w:r>
                    <w:rPr>
                      <w:rFonts w:hint="eastAsia" w:cs="Times New Roman"/>
                      <w:color w:val="auto"/>
                      <w:sz w:val="18"/>
                      <w:szCs w:val="18"/>
                    </w:rPr>
                    <w:t>0.0235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15" w:type="dxa"/>
                  <w:gridSpan w:val="6"/>
                  <w:vAlign w:val="center"/>
                </w:tcPr>
                <w:p>
                  <w:pPr>
                    <w:widowControl/>
                    <w:jc w:val="center"/>
                    <w:textAlignment w:val="center"/>
                    <w:rPr>
                      <w:rFonts w:cs="Times New Roman"/>
                      <w:color w:val="auto"/>
                      <w:sz w:val="18"/>
                      <w:szCs w:val="18"/>
                    </w:rPr>
                  </w:pPr>
                  <w:r>
                    <w:rPr>
                      <w:rFonts w:hint="eastAsia" w:cs="Times New Roman"/>
                      <w:color w:val="auto"/>
                      <w:sz w:val="18"/>
                      <w:szCs w:val="18"/>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1"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1</w:t>
                  </w:r>
                </w:p>
              </w:tc>
              <w:tc>
                <w:tcPr>
                  <w:tcW w:w="1695"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配料工序</w:t>
                  </w:r>
                  <w:r>
                    <w:rPr>
                      <w:rFonts w:cs="Times New Roman"/>
                      <w:color w:val="auto"/>
                      <w:kern w:val="0"/>
                      <w:sz w:val="18"/>
                      <w:szCs w:val="18"/>
                    </w:rPr>
                    <w:t>DA</w:t>
                  </w:r>
                  <w:r>
                    <w:rPr>
                      <w:rFonts w:hint="eastAsia" w:cs="Times New Roman"/>
                      <w:color w:val="auto"/>
                      <w:kern w:val="0"/>
                      <w:sz w:val="18"/>
                      <w:szCs w:val="18"/>
                    </w:rPr>
                    <w:t>002</w:t>
                  </w:r>
                </w:p>
              </w:tc>
              <w:tc>
                <w:tcPr>
                  <w:tcW w:w="1120" w:type="dxa"/>
                  <w:vAlign w:val="center"/>
                </w:tcPr>
                <w:p>
                  <w:pPr>
                    <w:adjustRightInd w:val="0"/>
                    <w:snapToGrid w:val="0"/>
                    <w:jc w:val="center"/>
                    <w:rPr>
                      <w:rFonts w:cs="Times New Roman"/>
                      <w:color w:val="auto"/>
                      <w:spacing w:val="-8"/>
                      <w:sz w:val="18"/>
                      <w:szCs w:val="18"/>
                    </w:rPr>
                  </w:pPr>
                  <w:r>
                    <w:rPr>
                      <w:rFonts w:hint="eastAsia" w:cs="Times New Roman"/>
                      <w:color w:val="auto"/>
                      <w:spacing w:val="-8"/>
                      <w:sz w:val="18"/>
                      <w:szCs w:val="18"/>
                    </w:rPr>
                    <w:t>颗粒物</w:t>
                  </w:r>
                </w:p>
              </w:tc>
              <w:tc>
                <w:tcPr>
                  <w:tcW w:w="2070" w:type="dxa"/>
                  <w:vAlign w:val="center"/>
                </w:tcPr>
                <w:p>
                  <w:pPr>
                    <w:adjustRightInd w:val="0"/>
                    <w:snapToGrid w:val="0"/>
                    <w:jc w:val="center"/>
                    <w:rPr>
                      <w:rFonts w:cs="Times New Roman"/>
                      <w:color w:val="auto"/>
                      <w:sz w:val="18"/>
                      <w:szCs w:val="18"/>
                    </w:rPr>
                  </w:pPr>
                  <w:r>
                    <w:rPr>
                      <w:rFonts w:hint="eastAsia" w:cs="Times New Roman"/>
                      <w:color w:val="auto"/>
                      <w:sz w:val="18"/>
                      <w:szCs w:val="18"/>
                    </w:rPr>
                    <w:t>1.4</w:t>
                  </w:r>
                </w:p>
              </w:tc>
              <w:tc>
                <w:tcPr>
                  <w:tcW w:w="1713" w:type="dxa"/>
                  <w:vAlign w:val="center"/>
                </w:tcPr>
                <w:p>
                  <w:pPr>
                    <w:adjustRightInd w:val="0"/>
                    <w:snapToGrid w:val="0"/>
                    <w:jc w:val="center"/>
                    <w:rPr>
                      <w:rFonts w:cs="Times New Roman"/>
                      <w:color w:val="auto"/>
                      <w:sz w:val="18"/>
                      <w:szCs w:val="18"/>
                    </w:rPr>
                  </w:pPr>
                  <w:r>
                    <w:rPr>
                      <w:rFonts w:hint="eastAsia" w:cs="Times New Roman"/>
                      <w:color w:val="auto"/>
                      <w:sz w:val="18"/>
                      <w:szCs w:val="18"/>
                    </w:rPr>
                    <w:t>0.007</w:t>
                  </w:r>
                </w:p>
              </w:tc>
              <w:tc>
                <w:tcPr>
                  <w:tcW w:w="1576" w:type="dxa"/>
                  <w:vAlign w:val="center"/>
                </w:tcPr>
                <w:p>
                  <w:pPr>
                    <w:widowControl/>
                    <w:jc w:val="center"/>
                    <w:textAlignment w:val="center"/>
                    <w:rPr>
                      <w:rFonts w:cs="Times New Roman"/>
                      <w:color w:val="auto"/>
                      <w:sz w:val="18"/>
                      <w:szCs w:val="18"/>
                    </w:rPr>
                  </w:pPr>
                  <w:r>
                    <w:rPr>
                      <w:rFonts w:hint="eastAsia" w:cs="Times New Roman"/>
                      <w:color w:val="auto"/>
                      <w:sz w:val="18"/>
                      <w:szCs w:val="18"/>
                    </w:rPr>
                    <w:t>0.0042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36" w:type="dxa"/>
                  <w:gridSpan w:val="2"/>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一般排放口合计</w:t>
                  </w:r>
                </w:p>
              </w:tc>
              <w:tc>
                <w:tcPr>
                  <w:tcW w:w="4903" w:type="dxa"/>
                  <w:gridSpan w:val="3"/>
                  <w:vAlign w:val="center"/>
                </w:tcPr>
                <w:p>
                  <w:pPr>
                    <w:adjustRightInd w:val="0"/>
                    <w:snapToGrid w:val="0"/>
                    <w:jc w:val="center"/>
                    <w:rPr>
                      <w:rFonts w:cs="Times New Roman"/>
                      <w:color w:val="auto"/>
                      <w:sz w:val="18"/>
                      <w:szCs w:val="18"/>
                    </w:rPr>
                  </w:pPr>
                  <w:r>
                    <w:rPr>
                      <w:rFonts w:hint="eastAsia" w:cs="Times New Roman"/>
                      <w:color w:val="auto"/>
                      <w:sz w:val="18"/>
                      <w:szCs w:val="18"/>
                    </w:rPr>
                    <w:t>颗粒物</w:t>
                  </w:r>
                </w:p>
              </w:tc>
              <w:tc>
                <w:tcPr>
                  <w:tcW w:w="1576" w:type="dxa"/>
                  <w:vAlign w:val="center"/>
                </w:tcPr>
                <w:p>
                  <w:pPr>
                    <w:widowControl/>
                    <w:jc w:val="center"/>
                    <w:textAlignment w:val="center"/>
                    <w:rPr>
                      <w:rFonts w:cs="Times New Roman"/>
                      <w:color w:val="auto"/>
                      <w:sz w:val="18"/>
                      <w:szCs w:val="18"/>
                    </w:rPr>
                  </w:pPr>
                  <w:r>
                    <w:rPr>
                      <w:rFonts w:hint="eastAsia" w:cs="Times New Roman"/>
                      <w:color w:val="auto"/>
                      <w:sz w:val="18"/>
                      <w:szCs w:val="18"/>
                    </w:rPr>
                    <w:t>0.0042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15" w:type="dxa"/>
                  <w:gridSpan w:val="6"/>
                  <w:vAlign w:val="center"/>
                </w:tcPr>
                <w:p>
                  <w:pPr>
                    <w:widowControl/>
                    <w:jc w:val="center"/>
                    <w:textAlignment w:val="center"/>
                    <w:rPr>
                      <w:rFonts w:cs="Times New Roman"/>
                      <w:color w:val="auto"/>
                      <w:sz w:val="18"/>
                      <w:szCs w:val="18"/>
                    </w:rPr>
                  </w:pPr>
                  <w:r>
                    <w:rPr>
                      <w:rFonts w:cs="Times New Roman"/>
                      <w:color w:val="auto"/>
                      <w:kern w:val="0"/>
                      <w:sz w:val="18"/>
                      <w:szCs w:val="18"/>
                    </w:rPr>
                    <w:t>有组织排放总计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36" w:type="dxa"/>
                  <w:gridSpan w:val="2"/>
                  <w:vMerge w:val="restart"/>
                  <w:vAlign w:val="center"/>
                </w:tcPr>
                <w:p>
                  <w:pPr>
                    <w:widowControl/>
                    <w:adjustRightInd w:val="0"/>
                    <w:snapToGrid w:val="0"/>
                    <w:jc w:val="center"/>
                    <w:rPr>
                      <w:rFonts w:cs="Times New Roman"/>
                      <w:color w:val="auto"/>
                      <w:kern w:val="0"/>
                      <w:sz w:val="18"/>
                      <w:szCs w:val="18"/>
                    </w:rPr>
                  </w:pPr>
                  <w:r>
                    <w:rPr>
                      <w:rFonts w:cs="Times New Roman"/>
                      <w:color w:val="auto"/>
                      <w:kern w:val="0"/>
                      <w:sz w:val="18"/>
                      <w:szCs w:val="18"/>
                    </w:rPr>
                    <w:t>有组织排放总计</w:t>
                  </w:r>
                </w:p>
              </w:tc>
              <w:tc>
                <w:tcPr>
                  <w:tcW w:w="4903" w:type="dxa"/>
                  <w:gridSpan w:val="3"/>
                  <w:vAlign w:val="center"/>
                </w:tcPr>
                <w:p>
                  <w:pPr>
                    <w:adjustRightInd w:val="0"/>
                    <w:snapToGrid w:val="0"/>
                    <w:jc w:val="center"/>
                    <w:rPr>
                      <w:rFonts w:cs="Times New Roman"/>
                      <w:color w:val="auto"/>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1576" w:type="dxa"/>
                  <w:vAlign w:val="center"/>
                </w:tcPr>
                <w:p>
                  <w:pPr>
                    <w:widowControl/>
                    <w:jc w:val="center"/>
                    <w:textAlignment w:val="center"/>
                    <w:rPr>
                      <w:rFonts w:cs="Times New Roman"/>
                      <w:color w:val="auto"/>
                      <w:sz w:val="18"/>
                      <w:szCs w:val="18"/>
                    </w:rPr>
                  </w:pPr>
                  <w:r>
                    <w:rPr>
                      <w:rFonts w:hint="eastAsia" w:cs="Times New Roman"/>
                      <w:color w:val="auto"/>
                      <w:sz w:val="18"/>
                      <w:szCs w:val="18"/>
                    </w:rPr>
                    <w:t>0.0235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36" w:type="dxa"/>
                  <w:gridSpan w:val="2"/>
                  <w:vMerge w:val="continue"/>
                  <w:vAlign w:val="center"/>
                </w:tcPr>
                <w:p>
                  <w:pPr>
                    <w:widowControl/>
                    <w:adjustRightInd w:val="0"/>
                    <w:snapToGrid w:val="0"/>
                    <w:jc w:val="center"/>
                    <w:rPr>
                      <w:rFonts w:cs="Times New Roman"/>
                      <w:color w:val="auto"/>
                      <w:kern w:val="0"/>
                      <w:sz w:val="18"/>
                      <w:szCs w:val="18"/>
                    </w:rPr>
                  </w:pPr>
                </w:p>
              </w:tc>
              <w:tc>
                <w:tcPr>
                  <w:tcW w:w="4903" w:type="dxa"/>
                  <w:gridSpan w:val="3"/>
                  <w:vAlign w:val="center"/>
                </w:tcPr>
                <w:p>
                  <w:pPr>
                    <w:adjustRightInd w:val="0"/>
                    <w:snapToGrid w:val="0"/>
                    <w:jc w:val="center"/>
                    <w:rPr>
                      <w:rFonts w:cs="Times New Roman"/>
                      <w:color w:val="auto"/>
                      <w:spacing w:val="-8"/>
                      <w:sz w:val="18"/>
                      <w:szCs w:val="18"/>
                    </w:rPr>
                  </w:pPr>
                  <w:r>
                    <w:rPr>
                      <w:rFonts w:hint="eastAsia" w:cs="Times New Roman"/>
                      <w:color w:val="auto"/>
                      <w:sz w:val="18"/>
                      <w:szCs w:val="18"/>
                    </w:rPr>
                    <w:t>颗粒物</w:t>
                  </w:r>
                </w:p>
              </w:tc>
              <w:tc>
                <w:tcPr>
                  <w:tcW w:w="1576" w:type="dxa"/>
                  <w:vAlign w:val="center"/>
                </w:tcPr>
                <w:p>
                  <w:pPr>
                    <w:widowControl/>
                    <w:jc w:val="center"/>
                    <w:textAlignment w:val="center"/>
                    <w:rPr>
                      <w:rFonts w:cs="Times New Roman"/>
                      <w:color w:val="auto"/>
                      <w:sz w:val="18"/>
                      <w:szCs w:val="18"/>
                    </w:rPr>
                  </w:pPr>
                  <w:r>
                    <w:rPr>
                      <w:rFonts w:hint="eastAsia" w:cs="Times New Roman"/>
                      <w:color w:val="auto"/>
                      <w:sz w:val="18"/>
                      <w:szCs w:val="18"/>
                    </w:rPr>
                    <w:t>0.0042</w:t>
                  </w:r>
                </w:p>
              </w:tc>
            </w:tr>
          </w:tbl>
          <w:p>
            <w:pPr>
              <w:spacing w:line="360" w:lineRule="auto"/>
              <w:ind w:firstLine="482"/>
              <w:contextualSpacing/>
              <w:rPr>
                <w:rFonts w:cs="Times New Roman"/>
                <w:bCs/>
                <w:snapToGrid w:val="0"/>
                <w:color w:val="auto"/>
                <w:sz w:val="24"/>
                <w:szCs w:val="24"/>
              </w:rPr>
            </w:pPr>
            <w:r>
              <w:rPr>
                <w:rFonts w:cs="Times New Roman"/>
                <w:bCs/>
                <w:snapToGrid w:val="0"/>
                <w:color w:val="auto"/>
                <w:sz w:val="24"/>
                <w:szCs w:val="24"/>
              </w:rPr>
              <w:t>③大气污染物年排放量核算</w:t>
            </w:r>
          </w:p>
          <w:p>
            <w:pPr>
              <w:pStyle w:val="21"/>
              <w:ind w:firstLine="420"/>
              <w:rPr>
                <w:color w:val="auto"/>
              </w:rPr>
            </w:pPr>
            <w:r>
              <w:rPr>
                <w:rFonts w:hint="eastAsia"/>
                <w:color w:val="auto"/>
              </w:rPr>
              <w:t xml:space="preserve">                </w:t>
            </w:r>
            <w:r>
              <w:rPr>
                <w:color w:val="auto"/>
              </w:rPr>
              <w:t>大气污染物年排放量核算表</w:t>
            </w:r>
          </w:p>
          <w:tbl>
            <w:tblPr>
              <w:tblStyle w:val="26"/>
              <w:tblW w:w="871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82"/>
              <w:gridCol w:w="4306"/>
              <w:gridCol w:w="352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882" w:type="dxa"/>
                  <w:vAlign w:val="center"/>
                </w:tcPr>
                <w:p>
                  <w:pPr>
                    <w:jc w:val="center"/>
                    <w:rPr>
                      <w:rFonts w:cs="Times New Roman"/>
                      <w:bCs/>
                      <w:color w:val="auto"/>
                      <w:sz w:val="18"/>
                      <w:szCs w:val="18"/>
                    </w:rPr>
                  </w:pPr>
                  <w:r>
                    <w:rPr>
                      <w:rFonts w:cs="Times New Roman"/>
                      <w:bCs/>
                      <w:color w:val="auto"/>
                      <w:sz w:val="18"/>
                      <w:szCs w:val="18"/>
                    </w:rPr>
                    <w:t>序号</w:t>
                  </w:r>
                </w:p>
              </w:tc>
              <w:tc>
                <w:tcPr>
                  <w:tcW w:w="4306" w:type="dxa"/>
                  <w:vAlign w:val="center"/>
                </w:tcPr>
                <w:p>
                  <w:pPr>
                    <w:jc w:val="center"/>
                    <w:rPr>
                      <w:rFonts w:cs="Times New Roman"/>
                      <w:bCs/>
                      <w:color w:val="auto"/>
                      <w:sz w:val="18"/>
                      <w:szCs w:val="18"/>
                    </w:rPr>
                  </w:pPr>
                  <w:r>
                    <w:rPr>
                      <w:rFonts w:cs="Times New Roman"/>
                      <w:bCs/>
                      <w:color w:val="auto"/>
                      <w:sz w:val="18"/>
                      <w:szCs w:val="18"/>
                    </w:rPr>
                    <w:t>污染物</w:t>
                  </w:r>
                </w:p>
              </w:tc>
              <w:tc>
                <w:tcPr>
                  <w:tcW w:w="3527" w:type="dxa"/>
                  <w:vAlign w:val="center"/>
                </w:tcPr>
                <w:p>
                  <w:pPr>
                    <w:jc w:val="center"/>
                    <w:rPr>
                      <w:rFonts w:cs="Times New Roman"/>
                      <w:bCs/>
                      <w:color w:val="auto"/>
                      <w:sz w:val="18"/>
                      <w:szCs w:val="18"/>
                    </w:rPr>
                  </w:pPr>
                  <w:r>
                    <w:rPr>
                      <w:rFonts w:cs="Times New Roman"/>
                      <w:bCs/>
                      <w:color w:val="auto"/>
                      <w:sz w:val="18"/>
                      <w:szCs w:val="18"/>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82" w:type="dxa"/>
                  <w:vAlign w:val="center"/>
                </w:tcPr>
                <w:p>
                  <w:pPr>
                    <w:widowControl/>
                    <w:jc w:val="center"/>
                    <w:rPr>
                      <w:rFonts w:cs="Times New Roman"/>
                      <w:bCs/>
                      <w:color w:val="auto"/>
                      <w:sz w:val="18"/>
                      <w:szCs w:val="18"/>
                    </w:rPr>
                  </w:pPr>
                  <w:r>
                    <w:rPr>
                      <w:rFonts w:cs="Times New Roman"/>
                      <w:bCs/>
                      <w:color w:val="auto"/>
                      <w:sz w:val="18"/>
                      <w:szCs w:val="18"/>
                    </w:rPr>
                    <w:t>1</w:t>
                  </w:r>
                </w:p>
              </w:tc>
              <w:tc>
                <w:tcPr>
                  <w:tcW w:w="4306" w:type="dxa"/>
                  <w:vAlign w:val="center"/>
                </w:tcPr>
                <w:p>
                  <w:pPr>
                    <w:adjustRightInd w:val="0"/>
                    <w:snapToGrid w:val="0"/>
                    <w:jc w:val="center"/>
                    <w:rPr>
                      <w:rFonts w:cs="Times New Roman"/>
                      <w:bCs/>
                      <w:color w:val="auto"/>
                      <w:sz w:val="18"/>
                      <w:szCs w:val="18"/>
                      <w:lang w:val="fr-FR"/>
                    </w:rPr>
                  </w:pPr>
                  <w:r>
                    <w:rPr>
                      <w:rFonts w:hint="eastAsia" w:cs="Times New Roman"/>
                      <w:color w:val="auto"/>
                      <w:sz w:val="18"/>
                      <w:szCs w:val="18"/>
                    </w:rPr>
                    <w:t>NO</w:t>
                  </w:r>
                  <w:r>
                    <w:rPr>
                      <w:rFonts w:hint="eastAsia" w:cs="Times New Roman"/>
                      <w:color w:val="auto"/>
                      <w:sz w:val="18"/>
                      <w:szCs w:val="18"/>
                      <w:vertAlign w:val="subscript"/>
                    </w:rPr>
                    <w:t>2</w:t>
                  </w:r>
                </w:p>
              </w:tc>
              <w:tc>
                <w:tcPr>
                  <w:tcW w:w="3527" w:type="dxa"/>
                  <w:vAlign w:val="center"/>
                </w:tcPr>
                <w:p>
                  <w:pPr>
                    <w:widowControl/>
                    <w:jc w:val="center"/>
                    <w:textAlignment w:val="center"/>
                    <w:rPr>
                      <w:rFonts w:cs="Times New Roman"/>
                      <w:bCs/>
                      <w:color w:val="auto"/>
                      <w:kern w:val="0"/>
                      <w:sz w:val="18"/>
                      <w:szCs w:val="18"/>
                    </w:rPr>
                  </w:pPr>
                  <w:r>
                    <w:rPr>
                      <w:rFonts w:hint="eastAsia" w:cs="Times New Roman"/>
                      <w:color w:val="auto"/>
                      <w:sz w:val="18"/>
                      <w:szCs w:val="18"/>
                    </w:rPr>
                    <w:t>0.0235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82" w:type="dxa"/>
                  <w:vAlign w:val="center"/>
                </w:tcPr>
                <w:p>
                  <w:pPr>
                    <w:widowControl/>
                    <w:jc w:val="center"/>
                    <w:rPr>
                      <w:rFonts w:cs="Times New Roman"/>
                      <w:bCs/>
                      <w:color w:val="auto"/>
                      <w:sz w:val="18"/>
                      <w:szCs w:val="18"/>
                    </w:rPr>
                  </w:pPr>
                  <w:r>
                    <w:rPr>
                      <w:rFonts w:hint="eastAsia" w:cs="Times New Roman"/>
                      <w:bCs/>
                      <w:color w:val="auto"/>
                      <w:sz w:val="18"/>
                      <w:szCs w:val="18"/>
                    </w:rPr>
                    <w:t>2</w:t>
                  </w:r>
                </w:p>
              </w:tc>
              <w:tc>
                <w:tcPr>
                  <w:tcW w:w="4306" w:type="dxa"/>
                  <w:vAlign w:val="center"/>
                </w:tcPr>
                <w:p>
                  <w:pPr>
                    <w:adjustRightInd w:val="0"/>
                    <w:snapToGrid w:val="0"/>
                    <w:jc w:val="center"/>
                    <w:rPr>
                      <w:rFonts w:cs="Times New Roman"/>
                      <w:color w:val="auto"/>
                      <w:spacing w:val="-8"/>
                      <w:sz w:val="18"/>
                      <w:szCs w:val="18"/>
                    </w:rPr>
                  </w:pPr>
                  <w:r>
                    <w:rPr>
                      <w:rFonts w:hint="eastAsia" w:cs="Times New Roman"/>
                      <w:color w:val="auto"/>
                      <w:sz w:val="18"/>
                      <w:szCs w:val="18"/>
                    </w:rPr>
                    <w:t>颗粒物</w:t>
                  </w:r>
                </w:p>
              </w:tc>
              <w:tc>
                <w:tcPr>
                  <w:tcW w:w="3527" w:type="dxa"/>
                  <w:vAlign w:val="center"/>
                </w:tcPr>
                <w:p>
                  <w:pPr>
                    <w:widowControl/>
                    <w:jc w:val="center"/>
                    <w:textAlignment w:val="center"/>
                    <w:rPr>
                      <w:rFonts w:cs="Times New Roman"/>
                      <w:bCs/>
                      <w:color w:val="auto"/>
                      <w:kern w:val="0"/>
                      <w:sz w:val="18"/>
                      <w:szCs w:val="18"/>
                    </w:rPr>
                  </w:pPr>
                  <w:r>
                    <w:rPr>
                      <w:rFonts w:hint="eastAsia" w:cs="Times New Roman"/>
                      <w:color w:val="auto"/>
                      <w:sz w:val="18"/>
                      <w:szCs w:val="18"/>
                    </w:rPr>
                    <w:t>0.0042</w:t>
                  </w:r>
                </w:p>
              </w:tc>
            </w:tr>
          </w:tbl>
          <w:p>
            <w:pPr>
              <w:pStyle w:val="7"/>
              <w:spacing w:before="0" w:after="0" w:line="360" w:lineRule="auto"/>
              <w:ind w:firstLine="480" w:firstLineChars="200"/>
              <w:rPr>
                <w:b w:val="0"/>
                <w:bCs/>
                <w:color w:val="auto"/>
                <w:sz w:val="24"/>
                <w:lang w:eastAsia="zh-CN"/>
              </w:rPr>
            </w:pPr>
            <w:r>
              <w:rPr>
                <w:b w:val="0"/>
                <w:bCs/>
                <w:color w:val="auto"/>
                <w:sz w:val="24"/>
                <w:lang w:eastAsia="zh-CN"/>
              </w:rPr>
              <w:t>（</w:t>
            </w:r>
            <w:r>
              <w:rPr>
                <w:rFonts w:eastAsia="宋体"/>
                <w:b w:val="0"/>
                <w:bCs/>
                <w:color w:val="auto"/>
                <w:sz w:val="24"/>
                <w:lang w:eastAsia="zh-CN"/>
              </w:rPr>
              <w:t>7</w:t>
            </w:r>
            <w:r>
              <w:rPr>
                <w:b w:val="0"/>
                <w:bCs/>
                <w:color w:val="auto"/>
                <w:sz w:val="24"/>
                <w:lang w:eastAsia="zh-CN"/>
              </w:rPr>
              <w:t>）自行监测计划</w:t>
            </w:r>
          </w:p>
          <w:p>
            <w:pPr>
              <w:pStyle w:val="7"/>
              <w:spacing w:before="0" w:after="0" w:line="360" w:lineRule="auto"/>
              <w:ind w:firstLine="480" w:firstLineChars="200"/>
              <w:rPr>
                <w:b w:val="0"/>
                <w:bCs/>
                <w:color w:val="auto"/>
                <w:sz w:val="24"/>
                <w:lang w:eastAsia="zh-CN"/>
              </w:rPr>
            </w:pPr>
            <w:r>
              <w:rPr>
                <w:b w:val="0"/>
                <w:bCs/>
                <w:color w:val="auto"/>
                <w:sz w:val="24"/>
                <w:lang w:eastAsia="zh-CN"/>
              </w:rPr>
              <w:t>①有组织废气监测方案</w:t>
            </w:r>
          </w:p>
          <w:p>
            <w:pPr>
              <w:pStyle w:val="21"/>
              <w:ind w:firstLine="420"/>
              <w:rPr>
                <w:color w:val="auto"/>
              </w:rPr>
            </w:pPr>
            <w:r>
              <w:rPr>
                <w:color w:val="auto"/>
              </w:rPr>
              <w:t xml:space="preserve"> </w:t>
            </w:r>
            <w:r>
              <w:rPr>
                <w:rFonts w:hint="eastAsia"/>
                <w:color w:val="auto"/>
              </w:rPr>
              <w:t xml:space="preserve">               </w:t>
            </w:r>
            <w:r>
              <w:rPr>
                <w:color w:val="auto"/>
              </w:rPr>
              <w:t>有组织废气监测方案</w:t>
            </w:r>
          </w:p>
          <w:tbl>
            <w:tblPr>
              <w:tblStyle w:val="26"/>
              <w:tblW w:w="871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855"/>
              <w:gridCol w:w="1485"/>
              <w:gridCol w:w="1290"/>
              <w:gridCol w:w="408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55" w:type="dxa"/>
                  <w:vAlign w:val="center"/>
                </w:tcPr>
                <w:p>
                  <w:pPr>
                    <w:widowControl/>
                    <w:jc w:val="center"/>
                    <w:rPr>
                      <w:rFonts w:cs="Times New Roman"/>
                      <w:bCs/>
                      <w:color w:val="auto"/>
                      <w:sz w:val="18"/>
                      <w:szCs w:val="18"/>
                    </w:rPr>
                  </w:pPr>
                  <w:r>
                    <w:rPr>
                      <w:rFonts w:cs="Times New Roman"/>
                      <w:bCs/>
                      <w:color w:val="auto"/>
                      <w:sz w:val="18"/>
                      <w:szCs w:val="18"/>
                    </w:rPr>
                    <w:t>监测点位</w:t>
                  </w:r>
                </w:p>
              </w:tc>
              <w:tc>
                <w:tcPr>
                  <w:tcW w:w="1485" w:type="dxa"/>
                  <w:vAlign w:val="center"/>
                </w:tcPr>
                <w:p>
                  <w:pPr>
                    <w:snapToGrid w:val="0"/>
                    <w:jc w:val="center"/>
                    <w:rPr>
                      <w:rFonts w:cs="Times New Roman"/>
                      <w:color w:val="auto"/>
                      <w:kern w:val="0"/>
                      <w:sz w:val="18"/>
                      <w:szCs w:val="18"/>
                    </w:rPr>
                  </w:pPr>
                  <w:r>
                    <w:rPr>
                      <w:rFonts w:cs="Times New Roman"/>
                      <w:color w:val="auto"/>
                      <w:kern w:val="0"/>
                      <w:sz w:val="18"/>
                      <w:szCs w:val="18"/>
                    </w:rPr>
                    <w:t>监测指标</w:t>
                  </w:r>
                </w:p>
              </w:tc>
              <w:tc>
                <w:tcPr>
                  <w:tcW w:w="1290" w:type="dxa"/>
                  <w:vAlign w:val="center"/>
                </w:tcPr>
                <w:p>
                  <w:pPr>
                    <w:snapToGrid w:val="0"/>
                    <w:jc w:val="center"/>
                    <w:rPr>
                      <w:rFonts w:cs="Times New Roman"/>
                      <w:color w:val="auto"/>
                      <w:kern w:val="0"/>
                      <w:sz w:val="18"/>
                      <w:szCs w:val="18"/>
                    </w:rPr>
                  </w:pPr>
                  <w:r>
                    <w:rPr>
                      <w:rFonts w:cs="Times New Roman"/>
                      <w:color w:val="auto"/>
                      <w:kern w:val="0"/>
                      <w:sz w:val="18"/>
                      <w:szCs w:val="18"/>
                    </w:rPr>
                    <w:t>监测频次</w:t>
                  </w:r>
                </w:p>
              </w:tc>
              <w:tc>
                <w:tcPr>
                  <w:tcW w:w="4085" w:type="dxa"/>
                  <w:vAlign w:val="center"/>
                </w:tcPr>
                <w:p>
                  <w:pPr>
                    <w:widowControl/>
                    <w:jc w:val="center"/>
                    <w:rPr>
                      <w:rFonts w:cs="Times New Roman"/>
                      <w:bCs/>
                      <w:color w:val="auto"/>
                      <w:kern w:val="0"/>
                      <w:sz w:val="18"/>
                      <w:szCs w:val="18"/>
                    </w:rPr>
                  </w:pPr>
                  <w:r>
                    <w:rPr>
                      <w:rFonts w:cs="Times New Roman"/>
                      <w:bCs/>
                      <w:color w:val="auto"/>
                      <w:kern w:val="0"/>
                      <w:sz w:val="18"/>
                      <w:szCs w:val="18"/>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55" w:type="dxa"/>
                  <w:vAlign w:val="center"/>
                </w:tcPr>
                <w:p>
                  <w:pPr>
                    <w:widowControl/>
                    <w:adjustRightInd w:val="0"/>
                    <w:snapToGrid w:val="0"/>
                    <w:jc w:val="center"/>
                    <w:rPr>
                      <w:rFonts w:cs="Times New Roman"/>
                      <w:bCs/>
                      <w:color w:val="auto"/>
                      <w:sz w:val="18"/>
                      <w:szCs w:val="18"/>
                    </w:rPr>
                  </w:pPr>
                  <w:r>
                    <w:rPr>
                      <w:rFonts w:hint="eastAsia" w:cs="Times New Roman"/>
                      <w:color w:val="auto"/>
                      <w:kern w:val="0"/>
                      <w:sz w:val="18"/>
                      <w:szCs w:val="18"/>
                    </w:rPr>
                    <w:t>配料工序</w:t>
                  </w:r>
                  <w:r>
                    <w:rPr>
                      <w:rFonts w:cs="Times New Roman"/>
                      <w:color w:val="auto"/>
                      <w:kern w:val="0"/>
                      <w:sz w:val="18"/>
                      <w:szCs w:val="18"/>
                    </w:rPr>
                    <w:t>DA</w:t>
                  </w:r>
                  <w:r>
                    <w:rPr>
                      <w:rFonts w:hint="eastAsia" w:cs="Times New Roman"/>
                      <w:color w:val="auto"/>
                      <w:kern w:val="0"/>
                      <w:sz w:val="18"/>
                      <w:szCs w:val="18"/>
                    </w:rPr>
                    <w:t>001</w:t>
                  </w:r>
                </w:p>
              </w:tc>
              <w:tc>
                <w:tcPr>
                  <w:tcW w:w="1485" w:type="dxa"/>
                  <w:vAlign w:val="center"/>
                </w:tcPr>
                <w:p>
                  <w:pPr>
                    <w:adjustRightInd w:val="0"/>
                    <w:snapToGrid w:val="0"/>
                    <w:jc w:val="center"/>
                    <w:rPr>
                      <w:rFonts w:cs="Times New Roman"/>
                      <w:color w:val="auto"/>
                      <w:kern w:val="0"/>
                      <w:sz w:val="18"/>
                      <w:szCs w:val="18"/>
                    </w:rPr>
                  </w:pPr>
                  <w:r>
                    <w:rPr>
                      <w:rFonts w:hint="eastAsia" w:cs="Times New Roman"/>
                      <w:color w:val="auto"/>
                      <w:spacing w:val="-8"/>
                      <w:sz w:val="18"/>
                      <w:szCs w:val="18"/>
                    </w:rPr>
                    <w:t>颗粒物</w:t>
                  </w:r>
                </w:p>
              </w:tc>
              <w:tc>
                <w:tcPr>
                  <w:tcW w:w="1290" w:type="dxa"/>
                  <w:vMerge w:val="restart"/>
                  <w:vAlign w:val="center"/>
                </w:tcPr>
                <w:p>
                  <w:pPr>
                    <w:snapToGrid w:val="0"/>
                    <w:jc w:val="center"/>
                    <w:rPr>
                      <w:rFonts w:cs="Times New Roman"/>
                      <w:color w:val="auto"/>
                      <w:kern w:val="0"/>
                      <w:sz w:val="18"/>
                      <w:szCs w:val="18"/>
                    </w:rPr>
                  </w:pPr>
                  <w:r>
                    <w:rPr>
                      <w:rFonts w:hint="eastAsia" w:cs="Times New Roman"/>
                      <w:color w:val="auto"/>
                      <w:kern w:val="0"/>
                      <w:sz w:val="18"/>
                      <w:szCs w:val="18"/>
                    </w:rPr>
                    <w:t>半年/次</w:t>
                  </w:r>
                </w:p>
              </w:tc>
              <w:tc>
                <w:tcPr>
                  <w:tcW w:w="4085" w:type="dxa"/>
                  <w:vAlign w:val="center"/>
                </w:tcPr>
                <w:p>
                  <w:pPr>
                    <w:widowControl/>
                    <w:jc w:val="center"/>
                    <w:rPr>
                      <w:rFonts w:cs="Times New Roman"/>
                      <w:bCs/>
                      <w:color w:val="auto"/>
                      <w:kern w:val="0"/>
                      <w:sz w:val="18"/>
                      <w:szCs w:val="18"/>
                    </w:rPr>
                  </w:pPr>
                  <w:r>
                    <w:rPr>
                      <w:rFonts w:cs="Times New Roman"/>
                      <w:bCs/>
                      <w:color w:val="auto"/>
                      <w:kern w:val="0"/>
                      <w:sz w:val="18"/>
                      <w:szCs w:val="18"/>
                    </w:rPr>
                    <w:t>《</w:t>
                  </w:r>
                  <w:r>
                    <w:rPr>
                      <w:rFonts w:hint="eastAsia" w:cs="Times New Roman"/>
                      <w:bCs/>
                      <w:color w:val="auto"/>
                      <w:kern w:val="0"/>
                      <w:sz w:val="18"/>
                      <w:szCs w:val="18"/>
                    </w:rPr>
                    <w:t>大气污染物综合排放标准</w:t>
                  </w:r>
                  <w:r>
                    <w:rPr>
                      <w:rFonts w:cs="Times New Roman"/>
                      <w:bCs/>
                      <w:color w:val="auto"/>
                      <w:kern w:val="0"/>
                      <w:sz w:val="18"/>
                      <w:szCs w:val="18"/>
                    </w:rPr>
                    <w:t>》（GB</w:t>
                  </w:r>
                  <w:r>
                    <w:rPr>
                      <w:rFonts w:hint="eastAsia" w:cs="Times New Roman"/>
                      <w:bCs/>
                      <w:color w:val="auto"/>
                      <w:kern w:val="0"/>
                      <w:sz w:val="18"/>
                      <w:szCs w:val="18"/>
                    </w:rPr>
                    <w:t>16297-1996</w:t>
                  </w:r>
                  <w:r>
                    <w:rPr>
                      <w:rFonts w:cs="Times New Roman"/>
                      <w:bCs/>
                      <w:color w:val="auto"/>
                      <w:kern w:val="0"/>
                      <w:sz w:val="18"/>
                      <w:szCs w:val="18"/>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855" w:type="dxa"/>
                  <w:vAlign w:val="center"/>
                </w:tcPr>
                <w:p>
                  <w:pPr>
                    <w:widowControl/>
                    <w:adjustRightInd w:val="0"/>
                    <w:snapToGrid w:val="0"/>
                    <w:jc w:val="center"/>
                    <w:rPr>
                      <w:rFonts w:cs="Times New Roman"/>
                      <w:color w:val="auto"/>
                      <w:kern w:val="0"/>
                      <w:sz w:val="18"/>
                      <w:szCs w:val="18"/>
                    </w:rPr>
                  </w:pPr>
                  <w:r>
                    <w:rPr>
                      <w:rFonts w:hint="eastAsia" w:cs="Times New Roman"/>
                      <w:color w:val="auto"/>
                      <w:kern w:val="0"/>
                      <w:sz w:val="18"/>
                      <w:szCs w:val="18"/>
                    </w:rPr>
                    <w:t>烘干、烘焙工序DA002</w:t>
                  </w:r>
                </w:p>
              </w:tc>
              <w:tc>
                <w:tcPr>
                  <w:tcW w:w="1485" w:type="dxa"/>
                  <w:vAlign w:val="center"/>
                </w:tcPr>
                <w:p>
                  <w:pPr>
                    <w:adjustRightInd w:val="0"/>
                    <w:snapToGrid w:val="0"/>
                    <w:jc w:val="center"/>
                    <w:rPr>
                      <w:rFonts w:cs="Times New Roman"/>
                      <w:color w:val="auto"/>
                      <w:spacing w:val="-8"/>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1290" w:type="dxa"/>
                  <w:vMerge w:val="continue"/>
                  <w:vAlign w:val="center"/>
                </w:tcPr>
                <w:p>
                  <w:pPr>
                    <w:snapToGrid w:val="0"/>
                    <w:jc w:val="center"/>
                    <w:rPr>
                      <w:rFonts w:cs="Times New Roman"/>
                      <w:color w:val="auto"/>
                      <w:sz w:val="18"/>
                      <w:szCs w:val="18"/>
                    </w:rPr>
                  </w:pPr>
                </w:p>
              </w:tc>
              <w:tc>
                <w:tcPr>
                  <w:tcW w:w="4085" w:type="dxa"/>
                  <w:vAlign w:val="center"/>
                </w:tcPr>
                <w:p>
                  <w:pPr>
                    <w:widowControl/>
                    <w:jc w:val="center"/>
                    <w:rPr>
                      <w:rFonts w:cs="Times New Roman"/>
                      <w:bCs/>
                      <w:color w:val="auto"/>
                      <w:kern w:val="0"/>
                      <w:sz w:val="18"/>
                      <w:szCs w:val="18"/>
                    </w:rPr>
                  </w:pPr>
                  <w:r>
                    <w:rPr>
                      <w:rFonts w:cs="Times New Roman"/>
                      <w:color w:val="auto"/>
                      <w:sz w:val="18"/>
                      <w:szCs w:val="18"/>
                    </w:rPr>
                    <w:t>《新乡市环境污染攻坚战三年行动实施方案》（2018-2020）</w:t>
                  </w:r>
                  <w:r>
                    <w:rPr>
                      <w:rFonts w:hint="eastAsia" w:cs="Times New Roman"/>
                      <w:color w:val="auto"/>
                      <w:sz w:val="18"/>
                      <w:szCs w:val="18"/>
                    </w:rPr>
                    <w:t>要求：颗粒物、二氧化硫、氮氧化物排放限值分别不高于 30 毫克/立方米、200 毫克/立方米、300 毫克/立方米</w:t>
                  </w:r>
                </w:p>
              </w:tc>
            </w:tr>
          </w:tbl>
          <w:p>
            <w:pPr>
              <w:pStyle w:val="7"/>
              <w:spacing w:before="0" w:after="0" w:line="360" w:lineRule="auto"/>
              <w:ind w:firstLine="480" w:firstLineChars="200"/>
              <w:rPr>
                <w:b w:val="0"/>
                <w:bCs/>
                <w:color w:val="auto"/>
                <w:sz w:val="24"/>
                <w:lang w:eastAsia="zh-CN"/>
              </w:rPr>
            </w:pPr>
            <w:r>
              <w:rPr>
                <w:b w:val="0"/>
                <w:bCs/>
                <w:color w:val="auto"/>
                <w:sz w:val="24"/>
                <w:lang w:eastAsia="zh-CN"/>
              </w:rPr>
              <w:t>（</w:t>
            </w:r>
            <w:r>
              <w:rPr>
                <w:rFonts w:eastAsia="宋体"/>
                <w:b w:val="0"/>
                <w:bCs/>
                <w:color w:val="auto"/>
                <w:sz w:val="24"/>
                <w:lang w:eastAsia="zh-CN"/>
              </w:rPr>
              <w:t>8</w:t>
            </w:r>
            <w:r>
              <w:rPr>
                <w:b w:val="0"/>
                <w:bCs/>
                <w:color w:val="auto"/>
                <w:sz w:val="24"/>
                <w:lang w:eastAsia="zh-CN"/>
              </w:rPr>
              <w:t>）大气环境影响评价自查表</w:t>
            </w:r>
          </w:p>
          <w:p>
            <w:pPr>
              <w:spacing w:line="360" w:lineRule="auto"/>
              <w:ind w:firstLine="480"/>
              <w:rPr>
                <w:rFonts w:cs="Times New Roman"/>
                <w:color w:val="auto"/>
              </w:rPr>
            </w:pPr>
            <w:r>
              <w:rPr>
                <w:rFonts w:cs="Times New Roman"/>
                <w:color w:val="auto"/>
                <w:sz w:val="24"/>
                <w:szCs w:val="24"/>
              </w:rPr>
              <w:t>本次大气环境影响评价完成后，对大气环境影响评价主要内容与结论进行自查，自查结果见表</w:t>
            </w:r>
            <w:r>
              <w:rPr>
                <w:rFonts w:hint="eastAsia" w:cs="Times New Roman"/>
                <w:color w:val="auto"/>
                <w:sz w:val="24"/>
                <w:szCs w:val="24"/>
              </w:rPr>
              <w:t>25</w:t>
            </w:r>
            <w:r>
              <w:rPr>
                <w:rFonts w:cs="Times New Roman"/>
                <w:color w:val="auto"/>
                <w:sz w:val="24"/>
                <w:szCs w:val="24"/>
              </w:rPr>
              <w:t>。</w:t>
            </w:r>
          </w:p>
          <w:p>
            <w:pPr>
              <w:pStyle w:val="21"/>
              <w:ind w:firstLine="420"/>
              <w:rPr>
                <w:color w:val="auto"/>
              </w:rPr>
            </w:pPr>
            <w:r>
              <w:rPr>
                <w:rFonts w:hint="eastAsia"/>
                <w:color w:val="auto"/>
              </w:rPr>
              <w:t xml:space="preserve">          </w:t>
            </w:r>
            <w:r>
              <w:rPr>
                <w:color w:val="auto"/>
              </w:rPr>
              <w:t xml:space="preserve"> 建设项目大气环境影响评价自查表</w:t>
            </w:r>
          </w:p>
          <w:tbl>
            <w:tblPr>
              <w:tblStyle w:val="26"/>
              <w:tblW w:w="8715"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689"/>
              <w:gridCol w:w="970"/>
              <w:gridCol w:w="971"/>
              <w:gridCol w:w="785"/>
              <w:gridCol w:w="371"/>
              <w:gridCol w:w="916"/>
              <w:gridCol w:w="1069"/>
              <w:gridCol w:w="1438"/>
              <w:gridCol w:w="837"/>
              <w:gridCol w:w="66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1891"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工作内容</w:t>
                  </w:r>
                </w:p>
              </w:tc>
              <w:tc>
                <w:tcPr>
                  <w:tcW w:w="6824" w:type="dxa"/>
                  <w:gridSpan w:val="8"/>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自查项目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评价等级与范围</w:t>
                  </w: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评价等级</w:t>
                  </w:r>
                </w:p>
              </w:tc>
              <w:tc>
                <w:tcPr>
                  <w:tcW w:w="2798" w:type="dxa"/>
                  <w:gridSpan w:val="4"/>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一级□</w:t>
                  </w:r>
                </w:p>
              </w:tc>
              <w:tc>
                <w:tcPr>
                  <w:tcW w:w="2321"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二级</w:t>
                  </w:r>
                  <w:r>
                    <w:rPr>
                      <w:rStyle w:val="37"/>
                      <w:rFonts w:ascii="Times New Roman" w:hAnsi="Times New Roman" w:cs="Times New Roman"/>
                      <w:color w:val="auto"/>
                      <w:sz w:val="18"/>
                      <w:szCs w:val="18"/>
                    </w:rPr>
                    <w:sym w:font="Wingdings 2" w:char="00A3"/>
                  </w:r>
                </w:p>
              </w:tc>
              <w:tc>
                <w:tcPr>
                  <w:tcW w:w="1705"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三级</w:t>
                  </w:r>
                  <w:r>
                    <w:rPr>
                      <w:rStyle w:val="37"/>
                      <w:rFonts w:ascii="Times New Roman" w:hAnsi="Times New Roman" w:cs="Times New Roman"/>
                      <w:color w:val="auto"/>
                      <w:sz w:val="18"/>
                      <w:szCs w:val="18"/>
                    </w:rPr>
                    <w:sym w:font="Wingdings 2" w:char="0052"/>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评价范围</w:t>
                  </w:r>
                </w:p>
              </w:tc>
              <w:tc>
                <w:tcPr>
                  <w:tcW w:w="2798" w:type="dxa"/>
                  <w:gridSpan w:val="4"/>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边长</w:t>
                  </w:r>
                  <w:r>
                    <w:rPr>
                      <w:rStyle w:val="62"/>
                      <w:rFonts w:hint="default" w:ascii="Times New Roman" w:hAnsi="Times New Roman" w:cs="Times New Roman"/>
                      <w:b w:val="0"/>
                      <w:bCs w:val="0"/>
                      <w:color w:val="auto"/>
                      <w:sz w:val="18"/>
                      <w:szCs w:val="18"/>
                    </w:rPr>
                    <w:t>=50km</w:t>
                  </w:r>
                  <w:r>
                    <w:rPr>
                      <w:rStyle w:val="37"/>
                      <w:rFonts w:ascii="Times New Roman" w:hAnsi="Times New Roman" w:cs="Times New Roman"/>
                      <w:color w:val="auto"/>
                      <w:sz w:val="18"/>
                      <w:szCs w:val="18"/>
                    </w:rPr>
                    <w:t>□</w:t>
                  </w: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边长</w:t>
                  </w:r>
                  <w:r>
                    <w:rPr>
                      <w:rStyle w:val="62"/>
                      <w:rFonts w:hint="default" w:ascii="Times New Roman" w:hAnsi="Times New Roman" w:cs="Times New Roman"/>
                      <w:b w:val="0"/>
                      <w:bCs w:val="0"/>
                      <w:color w:val="auto"/>
                      <w:sz w:val="18"/>
                      <w:szCs w:val="18"/>
                    </w:rPr>
                    <w:t>=5~50km</w:t>
                  </w:r>
                  <w:r>
                    <w:rPr>
                      <w:rStyle w:val="37"/>
                      <w:rFonts w:ascii="Times New Roman" w:hAnsi="Times New Roman" w:cs="Times New Roman"/>
                      <w:color w:val="auto"/>
                      <w:sz w:val="18"/>
                      <w:szCs w:val="18"/>
                    </w:rPr>
                    <w:t>□</w:t>
                  </w:r>
                </w:p>
              </w:tc>
              <w:tc>
                <w:tcPr>
                  <w:tcW w:w="1705"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边长</w:t>
                  </w:r>
                  <w:r>
                    <w:rPr>
                      <w:rStyle w:val="62"/>
                      <w:rFonts w:hint="default" w:ascii="Times New Roman" w:hAnsi="Times New Roman" w:cs="Times New Roman"/>
                      <w:b w:val="0"/>
                      <w:bCs w:val="0"/>
                      <w:color w:val="auto"/>
                      <w:sz w:val="18"/>
                      <w:szCs w:val="18"/>
                    </w:rPr>
                    <w:t>=5km</w:t>
                  </w:r>
                  <w:r>
                    <w:rPr>
                      <w:rStyle w:val="37"/>
                      <w:rFonts w:ascii="Times New Roman" w:hAnsi="Times New Roman" w:cs="Times New Roman"/>
                      <w:color w:val="auto"/>
                      <w:sz w:val="18"/>
                      <w:szCs w:val="18"/>
                    </w:rPr>
                    <w:sym w:font="Wingdings 2" w:char="0052"/>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评价因子</w:t>
                  </w:r>
                </w:p>
              </w:tc>
              <w:tc>
                <w:tcPr>
                  <w:tcW w:w="1038" w:type="dxa"/>
                  <w:vAlign w:val="center"/>
                </w:tcPr>
                <w:p>
                  <w:pPr>
                    <w:widowControl/>
                    <w:spacing w:line="240" w:lineRule="exact"/>
                    <w:jc w:val="center"/>
                    <w:textAlignment w:val="center"/>
                    <w:rPr>
                      <w:rStyle w:val="62"/>
                      <w:rFonts w:hint="default" w:ascii="Times New Roman" w:hAnsi="Times New Roman" w:cs="Times New Roman"/>
                      <w:b w:val="0"/>
                      <w:bCs w:val="0"/>
                      <w:color w:val="auto"/>
                      <w:sz w:val="18"/>
                      <w:szCs w:val="18"/>
                    </w:rPr>
                  </w:pPr>
                  <w:r>
                    <w:rPr>
                      <w:rStyle w:val="62"/>
                      <w:rFonts w:hint="default" w:ascii="Times New Roman" w:hAnsi="Times New Roman" w:cs="Times New Roman"/>
                      <w:b w:val="0"/>
                      <w:bCs w:val="0"/>
                      <w:color w:val="auto"/>
                      <w:sz w:val="18"/>
                      <w:szCs w:val="18"/>
                    </w:rPr>
                    <w:t>SO</w:t>
                  </w:r>
                  <w:r>
                    <w:rPr>
                      <w:rStyle w:val="38"/>
                      <w:rFonts w:ascii="Times New Roman" w:hAnsi="Times New Roman" w:cs="Times New Roman"/>
                      <w:b w:val="0"/>
                      <w:bCs w:val="0"/>
                      <w:color w:val="auto"/>
                      <w:sz w:val="18"/>
                      <w:szCs w:val="18"/>
                      <w:vertAlign w:val="subscript"/>
                    </w:rPr>
                    <w:t>2</w:t>
                  </w:r>
                  <w:r>
                    <w:rPr>
                      <w:rStyle w:val="62"/>
                      <w:rFonts w:hint="default" w:ascii="Times New Roman" w:hAnsi="Times New Roman" w:cs="Times New Roman"/>
                      <w:b w:val="0"/>
                      <w:bCs w:val="0"/>
                      <w:color w:val="auto"/>
                      <w:sz w:val="18"/>
                      <w:szCs w:val="18"/>
                    </w:rPr>
                    <w:t>+NOx</w:t>
                  </w:r>
                </w:p>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排放量</w:t>
                  </w:r>
                </w:p>
              </w:tc>
              <w:tc>
                <w:tcPr>
                  <w:tcW w:w="1484"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w:t>
                  </w:r>
                  <w:r>
                    <w:rPr>
                      <w:rStyle w:val="62"/>
                      <w:rFonts w:hint="default" w:ascii="Times New Roman" w:hAnsi="Times New Roman" w:cs="Times New Roman"/>
                      <w:b w:val="0"/>
                      <w:bCs w:val="0"/>
                      <w:color w:val="auto"/>
                      <w:sz w:val="18"/>
                      <w:szCs w:val="18"/>
                    </w:rPr>
                    <w:t>2000t/a</w:t>
                  </w:r>
                  <w:r>
                    <w:rPr>
                      <w:rStyle w:val="37"/>
                      <w:rFonts w:ascii="Times New Roman" w:hAnsi="Times New Roman" w:cs="Times New Roman"/>
                      <w:color w:val="auto"/>
                      <w:sz w:val="18"/>
                      <w:szCs w:val="18"/>
                    </w:rPr>
                    <w:t>□</w:t>
                  </w:r>
                </w:p>
              </w:tc>
              <w:tc>
                <w:tcPr>
                  <w:tcW w:w="2081"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500~2000t/a</w:t>
                  </w:r>
                  <w:r>
                    <w:rPr>
                      <w:rStyle w:val="37"/>
                      <w:rFonts w:ascii="Times New Roman" w:hAnsi="Times New Roman" w:cs="Times New Roman"/>
                      <w:color w:val="auto"/>
                      <w:sz w:val="18"/>
                      <w:szCs w:val="18"/>
                    </w:rPr>
                    <w:t>□</w:t>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&lt;500t/a</w:t>
                  </w:r>
                  <w:r>
                    <w:rPr>
                      <w:rStyle w:val="37"/>
                      <w:rFonts w:ascii="Times New Roman" w:hAnsi="Times New Roman" w:cs="Times New Roman"/>
                      <w:color w:val="auto"/>
                      <w:sz w:val="18"/>
                      <w:szCs w:val="18"/>
                    </w:rPr>
                    <w:sym w:font="Wingdings 2" w:char="0052"/>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评价因子</w:t>
                  </w:r>
                </w:p>
              </w:tc>
              <w:tc>
                <w:tcPr>
                  <w:tcW w:w="3565" w:type="dxa"/>
                  <w:gridSpan w:val="5"/>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基本污染物（</w:t>
                  </w:r>
                  <w:r>
                    <w:rPr>
                      <w:rStyle w:val="62"/>
                      <w:rFonts w:hint="default" w:ascii="Times New Roman" w:hAnsi="Times New Roman" w:cs="Times New Roman"/>
                      <w:b w:val="0"/>
                      <w:bCs w:val="0"/>
                      <w:color w:val="auto"/>
                      <w:sz w:val="18"/>
                      <w:szCs w:val="18"/>
                    </w:rPr>
                    <w:t>PM</w:t>
                  </w:r>
                  <w:r>
                    <w:rPr>
                      <w:rStyle w:val="62"/>
                      <w:rFonts w:hint="default" w:ascii="Times New Roman" w:hAnsi="Times New Roman" w:cs="Times New Roman"/>
                      <w:b w:val="0"/>
                      <w:bCs w:val="0"/>
                      <w:color w:val="auto"/>
                      <w:sz w:val="18"/>
                      <w:szCs w:val="18"/>
                      <w:vertAlign w:val="subscript"/>
                    </w:rPr>
                    <w:t>10</w:t>
                  </w:r>
                  <w:r>
                    <w:rPr>
                      <w:rStyle w:val="62"/>
                      <w:rFonts w:hint="default" w:eastAsia="宋体" w:cs="Times New Roman"/>
                      <w:b w:val="0"/>
                      <w:bCs w:val="0"/>
                      <w:color w:val="auto"/>
                      <w:sz w:val="18"/>
                      <w:szCs w:val="18"/>
                      <w:lang w:eastAsia="zh-CN"/>
                    </w:rPr>
                    <w:t>、</w:t>
                  </w:r>
                  <w:r>
                    <w:rPr>
                      <w:rFonts w:hint="eastAsia" w:cs="Times New Roman"/>
                      <w:color w:val="auto"/>
                      <w:sz w:val="18"/>
                      <w:szCs w:val="18"/>
                    </w:rPr>
                    <w:t>NO</w:t>
                  </w:r>
                  <w:r>
                    <w:rPr>
                      <w:rFonts w:hint="eastAsia" w:cs="Times New Roman"/>
                      <w:color w:val="auto"/>
                      <w:sz w:val="18"/>
                      <w:szCs w:val="18"/>
                      <w:vertAlign w:val="subscript"/>
                    </w:rPr>
                    <w:t>2</w:t>
                  </w:r>
                  <w:r>
                    <w:rPr>
                      <w:rStyle w:val="37"/>
                      <w:rFonts w:ascii="Times New Roman" w:hAnsi="Times New Roman" w:cs="Times New Roman"/>
                      <w:color w:val="auto"/>
                      <w:sz w:val="18"/>
                      <w:szCs w:val="18"/>
                    </w:rPr>
                    <w:t>）</w:t>
                  </w:r>
                </w:p>
              </w:tc>
              <w:tc>
                <w:tcPr>
                  <w:tcW w:w="3259" w:type="dxa"/>
                  <w:gridSpan w:val="3"/>
                  <w:vAlign w:val="bottom"/>
                </w:tcPr>
                <w:p>
                  <w:pPr>
                    <w:widowControl/>
                    <w:spacing w:line="240" w:lineRule="exact"/>
                    <w:jc w:val="center"/>
                    <w:textAlignment w:val="bottom"/>
                    <w:rPr>
                      <w:rFonts w:cs="Times New Roman"/>
                      <w:color w:val="auto"/>
                      <w:sz w:val="18"/>
                      <w:szCs w:val="18"/>
                    </w:rPr>
                  </w:pPr>
                  <w:r>
                    <w:rPr>
                      <w:rStyle w:val="37"/>
                      <w:rFonts w:ascii="Times New Roman" w:hAnsi="Times New Roman" w:cs="Times New Roman"/>
                      <w:color w:val="auto"/>
                      <w:sz w:val="18"/>
                      <w:szCs w:val="18"/>
                    </w:rPr>
                    <w:t>包括二次</w:t>
                  </w:r>
                  <w:r>
                    <w:rPr>
                      <w:rStyle w:val="62"/>
                      <w:rFonts w:hint="default" w:ascii="Times New Roman" w:hAnsi="Times New Roman" w:cs="Times New Roman"/>
                      <w:b w:val="0"/>
                      <w:bCs w:val="0"/>
                      <w:color w:val="auto"/>
                      <w:sz w:val="18"/>
                      <w:szCs w:val="18"/>
                    </w:rPr>
                    <w:t>PM</w:t>
                  </w:r>
                  <w:r>
                    <w:rPr>
                      <w:rStyle w:val="38"/>
                      <w:rFonts w:ascii="Times New Roman" w:hAnsi="Times New Roman" w:cs="Times New Roman"/>
                      <w:b w:val="0"/>
                      <w:bCs w:val="0"/>
                      <w:color w:val="auto"/>
                      <w:sz w:val="18"/>
                      <w:szCs w:val="18"/>
                      <w:vertAlign w:val="subscript"/>
                    </w:rPr>
                    <w:t>2.5</w:t>
                  </w:r>
                  <w:r>
                    <w:rPr>
                      <w:rStyle w:val="37"/>
                      <w:rFonts w:ascii="Times New Roman" w:hAnsi="Times New Roman" w:cs="Times New Roman"/>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3565" w:type="dxa"/>
                  <w:gridSpan w:val="5"/>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lang w:eastAsia="zh-CN"/>
                    </w:rPr>
                    <w:t>其他污染物（</w:t>
                  </w:r>
                  <w:r>
                    <w:rPr>
                      <w:rStyle w:val="37"/>
                      <w:rFonts w:hint="eastAsia" w:cs="Times New Roman"/>
                      <w:color w:val="auto"/>
                      <w:sz w:val="18"/>
                      <w:szCs w:val="18"/>
                      <w:lang w:eastAsia="zh-CN"/>
                    </w:rPr>
                    <w:t>-</w:t>
                  </w:r>
                  <w:r>
                    <w:rPr>
                      <w:rStyle w:val="37"/>
                      <w:rFonts w:ascii="Times New Roman" w:hAnsi="Times New Roman" w:cs="Times New Roman"/>
                      <w:color w:val="auto"/>
                      <w:sz w:val="18"/>
                      <w:szCs w:val="18"/>
                      <w:lang w:eastAsia="zh-CN"/>
                    </w:rPr>
                    <w:t>）</w:t>
                  </w:r>
                </w:p>
              </w:tc>
              <w:tc>
                <w:tcPr>
                  <w:tcW w:w="3259" w:type="dxa"/>
                  <w:gridSpan w:val="3"/>
                  <w:vAlign w:val="bottom"/>
                </w:tcPr>
                <w:p>
                  <w:pPr>
                    <w:widowControl/>
                    <w:spacing w:line="240" w:lineRule="exact"/>
                    <w:jc w:val="center"/>
                    <w:textAlignment w:val="bottom"/>
                    <w:rPr>
                      <w:rFonts w:cs="Times New Roman"/>
                      <w:color w:val="auto"/>
                      <w:sz w:val="18"/>
                      <w:szCs w:val="18"/>
                    </w:rPr>
                  </w:pPr>
                  <w:r>
                    <w:rPr>
                      <w:rStyle w:val="37"/>
                      <w:rFonts w:ascii="Times New Roman" w:hAnsi="Times New Roman" w:cs="Times New Roman"/>
                      <w:color w:val="auto"/>
                      <w:sz w:val="18"/>
                      <w:szCs w:val="18"/>
                    </w:rPr>
                    <w:t>不包括二次</w:t>
                  </w:r>
                  <w:r>
                    <w:rPr>
                      <w:rStyle w:val="62"/>
                      <w:rFonts w:hint="default" w:ascii="Times New Roman" w:hAnsi="Times New Roman" w:cs="Times New Roman"/>
                      <w:b w:val="0"/>
                      <w:bCs w:val="0"/>
                      <w:color w:val="auto"/>
                      <w:sz w:val="18"/>
                      <w:szCs w:val="18"/>
                    </w:rPr>
                    <w:t>PM</w:t>
                  </w:r>
                  <w:r>
                    <w:rPr>
                      <w:rStyle w:val="38"/>
                      <w:rFonts w:ascii="Times New Roman" w:hAnsi="Times New Roman" w:cs="Times New Roman"/>
                      <w:b w:val="0"/>
                      <w:bCs w:val="0"/>
                      <w:color w:val="auto"/>
                      <w:sz w:val="18"/>
                      <w:szCs w:val="18"/>
                      <w:vertAlign w:val="subscript"/>
                    </w:rPr>
                    <w:t>2.5</w:t>
                  </w:r>
                  <w:r>
                    <w:rPr>
                      <w:rStyle w:val="40"/>
                      <w:rFonts w:ascii="Times New Roman" w:hAnsi="Times New Roman" w:eastAsia="宋体" w:cs="Times New Roman"/>
                      <w:b w:val="0"/>
                      <w:bCs w:val="0"/>
                      <w:color w:val="auto"/>
                      <w:sz w:val="18"/>
                      <w:szCs w:val="18"/>
                    </w:rPr>
                    <w:sym w:font="Wingdings 2" w:char="0052"/>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评价标准</w:t>
                  </w: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评价标准</w:t>
                  </w:r>
                </w:p>
              </w:tc>
              <w:tc>
                <w:tcPr>
                  <w:tcW w:w="1855" w:type="dxa"/>
                  <w:gridSpan w:val="3"/>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国家标准</w:t>
                  </w:r>
                  <w:r>
                    <w:rPr>
                      <w:rFonts w:cs="Times New Roman"/>
                      <w:color w:val="auto"/>
                      <w:kern w:val="0"/>
                      <w:sz w:val="18"/>
                      <w:szCs w:val="18"/>
                    </w:rPr>
                    <w:sym w:font="Wingdings 2" w:char="0052"/>
                  </w:r>
                </w:p>
              </w:tc>
              <w:tc>
                <w:tcPr>
                  <w:tcW w:w="1710"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地方标准</w:t>
                  </w:r>
                  <w:r>
                    <w:rPr>
                      <w:rFonts w:cs="Times New Roman"/>
                      <w:color w:val="auto"/>
                      <w:kern w:val="0"/>
                      <w:sz w:val="18"/>
                      <w:szCs w:val="18"/>
                    </w:rPr>
                    <w:sym w:font="Wingdings 2" w:char="0052"/>
                  </w:r>
                </w:p>
              </w:tc>
              <w:tc>
                <w:tcPr>
                  <w:tcW w:w="1554" w:type="dxa"/>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附录</w:t>
                  </w:r>
                  <w:r>
                    <w:rPr>
                      <w:rStyle w:val="62"/>
                      <w:rFonts w:hint="default" w:ascii="Times New Roman" w:hAnsi="Times New Roman" w:cs="Times New Roman"/>
                      <w:b w:val="0"/>
                      <w:bCs w:val="0"/>
                      <w:color w:val="auto"/>
                      <w:sz w:val="18"/>
                      <w:szCs w:val="18"/>
                    </w:rPr>
                    <w:t>D</w:t>
                  </w:r>
                  <w:r>
                    <w:rPr>
                      <w:rFonts w:cs="Times New Roman"/>
                      <w:color w:val="auto"/>
                      <w:kern w:val="0"/>
                      <w:sz w:val="18"/>
                      <w:szCs w:val="18"/>
                    </w:rPr>
                    <w:sym w:font="Wingdings 2" w:char="00A3"/>
                  </w:r>
                </w:p>
              </w:tc>
              <w:tc>
                <w:tcPr>
                  <w:tcW w:w="1705"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其他标准</w:t>
                  </w:r>
                  <w:r>
                    <w:rPr>
                      <w:rFonts w:cs="Times New Roman"/>
                      <w:color w:val="auto"/>
                      <w:kern w:val="0"/>
                      <w:sz w:val="18"/>
                      <w:szCs w:val="18"/>
                    </w:rPr>
                    <w:sym w:font="Wingdings 2" w:char="00A3"/>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现状评价</w:t>
                  </w: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评价功能区</w:t>
                  </w:r>
                </w:p>
              </w:tc>
              <w:tc>
                <w:tcPr>
                  <w:tcW w:w="2798" w:type="dxa"/>
                  <w:gridSpan w:val="4"/>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一类区□</w:t>
                  </w: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二类区</w:t>
                  </w:r>
                  <w:r>
                    <w:rPr>
                      <w:rFonts w:cs="Times New Roman"/>
                      <w:color w:val="auto"/>
                      <w:kern w:val="0"/>
                      <w:sz w:val="18"/>
                      <w:szCs w:val="18"/>
                    </w:rPr>
                    <w:sym w:font="Wingdings 2" w:char="0052"/>
                  </w:r>
                </w:p>
              </w:tc>
              <w:tc>
                <w:tcPr>
                  <w:tcW w:w="1705"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一类区和二类区□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评价基准年</w:t>
                  </w:r>
                </w:p>
              </w:tc>
              <w:tc>
                <w:tcPr>
                  <w:tcW w:w="6824" w:type="dxa"/>
                  <w:gridSpan w:val="8"/>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w:t>
                  </w:r>
                  <w:r>
                    <w:rPr>
                      <w:rStyle w:val="62"/>
                      <w:rFonts w:hint="default" w:ascii="Times New Roman" w:hAnsi="Times New Roman" w:cs="Times New Roman"/>
                      <w:b w:val="0"/>
                      <w:bCs w:val="0"/>
                      <w:color w:val="auto"/>
                      <w:sz w:val="18"/>
                      <w:szCs w:val="18"/>
                    </w:rPr>
                    <w:t>201</w:t>
                  </w:r>
                  <w:r>
                    <w:rPr>
                      <w:rStyle w:val="62"/>
                      <w:rFonts w:hint="default" w:ascii="Times New Roman" w:hAnsi="Times New Roman" w:cs="Times New Roman"/>
                      <w:b w:val="0"/>
                      <w:bCs w:val="0"/>
                      <w:color w:val="auto"/>
                      <w:sz w:val="18"/>
                      <w:szCs w:val="18"/>
                      <w:lang w:eastAsia="zh-CN"/>
                    </w:rPr>
                    <w:t>8</w:t>
                  </w:r>
                  <w:r>
                    <w:rPr>
                      <w:rStyle w:val="37"/>
                      <w:rFonts w:ascii="Times New Roman" w:hAnsi="Times New Roman" w:cs="Times New Roman"/>
                      <w:color w:val="auto"/>
                      <w:sz w:val="18"/>
                      <w:szCs w:val="18"/>
                    </w:rPr>
                    <w:t>）年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环境空气质量现状调查数据来源</w:t>
                  </w:r>
                </w:p>
              </w:tc>
              <w:tc>
                <w:tcPr>
                  <w:tcW w:w="2798" w:type="dxa"/>
                  <w:gridSpan w:val="4"/>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长期例行监测数据□</w:t>
                  </w: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主管部门发布的数据</w:t>
                  </w:r>
                  <w:r>
                    <w:rPr>
                      <w:rFonts w:cs="Times New Roman"/>
                      <w:color w:val="auto"/>
                      <w:kern w:val="0"/>
                      <w:sz w:val="18"/>
                      <w:szCs w:val="18"/>
                    </w:rPr>
                    <w:sym w:font="Wingdings 2" w:char="0052"/>
                  </w:r>
                </w:p>
              </w:tc>
              <w:tc>
                <w:tcPr>
                  <w:tcW w:w="1705"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现状补充检测</w:t>
                  </w:r>
                  <w:r>
                    <w:rPr>
                      <w:rFonts w:cs="Times New Roman"/>
                      <w:color w:val="auto"/>
                      <w:kern w:val="0"/>
                      <w:sz w:val="18"/>
                      <w:szCs w:val="18"/>
                    </w:rPr>
                    <w:sym w:font="Wingdings 2" w:char="00A3"/>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现状评价</w:t>
                  </w:r>
                </w:p>
              </w:tc>
              <w:tc>
                <w:tcPr>
                  <w:tcW w:w="3565" w:type="dxa"/>
                  <w:gridSpan w:val="5"/>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达标区□</w:t>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不达标区</w:t>
                  </w:r>
                  <w:r>
                    <w:rPr>
                      <w:rFonts w:cs="Times New Roman"/>
                      <w:color w:val="auto"/>
                      <w:kern w:val="0"/>
                      <w:sz w:val="18"/>
                      <w:szCs w:val="18"/>
                    </w:rPr>
                    <w:sym w:font="Wingdings 2" w:char="0052"/>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kern w:val="0"/>
                      <w:sz w:val="18"/>
                      <w:szCs w:val="18"/>
                    </w:rPr>
                  </w:pPr>
                  <w:r>
                    <w:rPr>
                      <w:rFonts w:cs="Times New Roman"/>
                      <w:color w:val="auto"/>
                      <w:kern w:val="0"/>
                      <w:sz w:val="18"/>
                      <w:szCs w:val="18"/>
                    </w:rPr>
                    <w:t>污染源</w:t>
                  </w:r>
                </w:p>
                <w:p>
                  <w:pPr>
                    <w:widowControl/>
                    <w:spacing w:line="240" w:lineRule="exact"/>
                    <w:jc w:val="center"/>
                    <w:textAlignment w:val="center"/>
                    <w:rPr>
                      <w:rFonts w:cs="Times New Roman"/>
                      <w:color w:val="auto"/>
                      <w:sz w:val="18"/>
                      <w:szCs w:val="18"/>
                    </w:rPr>
                  </w:pPr>
                  <w:r>
                    <w:rPr>
                      <w:rFonts w:cs="Times New Roman"/>
                      <w:color w:val="auto"/>
                      <w:kern w:val="0"/>
                      <w:sz w:val="18"/>
                      <w:szCs w:val="18"/>
                    </w:rPr>
                    <w:t>调查</w:t>
                  </w:r>
                </w:p>
              </w:tc>
              <w:tc>
                <w:tcPr>
                  <w:tcW w:w="1038"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调查内容</w:t>
                  </w:r>
                </w:p>
              </w:tc>
              <w:tc>
                <w:tcPr>
                  <w:tcW w:w="1855" w:type="dxa"/>
                  <w:gridSpan w:val="3"/>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本项目正常排放源</w:t>
                  </w:r>
                  <w:r>
                    <w:rPr>
                      <w:rFonts w:cs="Times New Roman"/>
                      <w:color w:val="auto"/>
                      <w:kern w:val="0"/>
                      <w:sz w:val="18"/>
                      <w:szCs w:val="18"/>
                    </w:rPr>
                    <w:sym w:font="Wingdings 2" w:char="0052"/>
                  </w:r>
                </w:p>
              </w:tc>
              <w:tc>
                <w:tcPr>
                  <w:tcW w:w="1710" w:type="dxa"/>
                  <w:gridSpan w:val="2"/>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拟替代的污染源□</w:t>
                  </w:r>
                </w:p>
              </w:tc>
              <w:tc>
                <w:tcPr>
                  <w:tcW w:w="1554" w:type="dxa"/>
                  <w:vMerge w:val="restart"/>
                  <w:vAlign w:val="center"/>
                </w:tcPr>
                <w:p>
                  <w:pPr>
                    <w:widowControl/>
                    <w:spacing w:line="240" w:lineRule="exact"/>
                    <w:jc w:val="center"/>
                    <w:textAlignment w:val="center"/>
                    <w:rPr>
                      <w:rFonts w:cs="Times New Roman"/>
                      <w:color w:val="auto"/>
                      <w:kern w:val="0"/>
                      <w:sz w:val="18"/>
                      <w:szCs w:val="18"/>
                    </w:rPr>
                  </w:pPr>
                  <w:r>
                    <w:rPr>
                      <w:rFonts w:cs="Times New Roman"/>
                      <w:color w:val="auto"/>
                      <w:kern w:val="0"/>
                      <w:sz w:val="18"/>
                      <w:szCs w:val="18"/>
                    </w:rPr>
                    <w:t>其他在建、</w:t>
                  </w:r>
                </w:p>
                <w:p>
                  <w:pPr>
                    <w:widowControl/>
                    <w:spacing w:line="240" w:lineRule="exact"/>
                    <w:jc w:val="center"/>
                    <w:textAlignment w:val="center"/>
                    <w:rPr>
                      <w:rFonts w:cs="Times New Roman"/>
                      <w:color w:val="auto"/>
                      <w:sz w:val="18"/>
                      <w:szCs w:val="18"/>
                    </w:rPr>
                  </w:pPr>
                  <w:r>
                    <w:rPr>
                      <w:rFonts w:cs="Times New Roman"/>
                      <w:color w:val="auto"/>
                      <w:kern w:val="0"/>
                      <w:sz w:val="18"/>
                      <w:szCs w:val="18"/>
                    </w:rPr>
                    <w:t>拟建项目污染源□</w:t>
                  </w:r>
                </w:p>
              </w:tc>
              <w:tc>
                <w:tcPr>
                  <w:tcW w:w="1705" w:type="dxa"/>
                  <w:gridSpan w:val="2"/>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区域污染源□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1855" w:type="dxa"/>
                  <w:gridSpan w:val="3"/>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本项目非正常排放源</w:t>
                  </w:r>
                  <w:r>
                    <w:rPr>
                      <w:rFonts w:cs="Times New Roman"/>
                      <w:color w:val="auto"/>
                      <w:kern w:val="0"/>
                      <w:sz w:val="18"/>
                      <w:szCs w:val="18"/>
                    </w:rPr>
                    <w:sym w:font="Wingdings 2" w:char="00A3"/>
                  </w:r>
                </w:p>
              </w:tc>
              <w:tc>
                <w:tcPr>
                  <w:tcW w:w="1710" w:type="dxa"/>
                  <w:gridSpan w:val="2"/>
                  <w:vMerge w:val="continue"/>
                  <w:vAlign w:val="center"/>
                </w:tcPr>
                <w:p>
                  <w:pPr>
                    <w:spacing w:line="240" w:lineRule="exact"/>
                    <w:jc w:val="center"/>
                    <w:rPr>
                      <w:rFonts w:cs="Times New Roman"/>
                      <w:color w:val="auto"/>
                      <w:sz w:val="18"/>
                      <w:szCs w:val="18"/>
                    </w:rPr>
                  </w:pPr>
                </w:p>
              </w:tc>
              <w:tc>
                <w:tcPr>
                  <w:tcW w:w="1554" w:type="dxa"/>
                  <w:vMerge w:val="continue"/>
                  <w:vAlign w:val="center"/>
                </w:tcPr>
                <w:p>
                  <w:pPr>
                    <w:spacing w:line="240" w:lineRule="exact"/>
                    <w:jc w:val="center"/>
                    <w:rPr>
                      <w:rFonts w:cs="Times New Roman"/>
                      <w:color w:val="auto"/>
                      <w:sz w:val="18"/>
                      <w:szCs w:val="18"/>
                    </w:rPr>
                  </w:pPr>
                </w:p>
              </w:tc>
              <w:tc>
                <w:tcPr>
                  <w:tcW w:w="1705" w:type="dxa"/>
                  <w:gridSpan w:val="2"/>
                  <w:vMerge w:val="continue"/>
                  <w:vAlign w:val="center"/>
                </w:tcPr>
                <w:p>
                  <w:pPr>
                    <w:spacing w:line="240" w:lineRule="exact"/>
                    <w:jc w:val="center"/>
                    <w:rPr>
                      <w:rFonts w:cs="Times New Roman"/>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1855" w:type="dxa"/>
                  <w:gridSpan w:val="3"/>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现有污染源</w:t>
                  </w:r>
                  <w:r>
                    <w:rPr>
                      <w:rFonts w:cs="Times New Roman"/>
                      <w:color w:val="auto"/>
                      <w:kern w:val="0"/>
                      <w:sz w:val="18"/>
                      <w:szCs w:val="18"/>
                    </w:rPr>
                    <w:sym w:font="Wingdings 2" w:char="00A3"/>
                  </w:r>
                </w:p>
              </w:tc>
              <w:tc>
                <w:tcPr>
                  <w:tcW w:w="1710" w:type="dxa"/>
                  <w:gridSpan w:val="2"/>
                  <w:vMerge w:val="continue"/>
                  <w:vAlign w:val="center"/>
                </w:tcPr>
                <w:p>
                  <w:pPr>
                    <w:spacing w:line="240" w:lineRule="exact"/>
                    <w:jc w:val="center"/>
                    <w:rPr>
                      <w:rFonts w:cs="Times New Roman"/>
                      <w:color w:val="auto"/>
                      <w:sz w:val="18"/>
                      <w:szCs w:val="18"/>
                    </w:rPr>
                  </w:pPr>
                </w:p>
              </w:tc>
              <w:tc>
                <w:tcPr>
                  <w:tcW w:w="1554" w:type="dxa"/>
                  <w:vMerge w:val="continue"/>
                  <w:vAlign w:val="center"/>
                </w:tcPr>
                <w:p>
                  <w:pPr>
                    <w:spacing w:line="240" w:lineRule="exact"/>
                    <w:jc w:val="center"/>
                    <w:rPr>
                      <w:rFonts w:cs="Times New Roman"/>
                      <w:color w:val="auto"/>
                      <w:sz w:val="18"/>
                      <w:szCs w:val="18"/>
                    </w:rPr>
                  </w:pPr>
                </w:p>
              </w:tc>
              <w:tc>
                <w:tcPr>
                  <w:tcW w:w="1705" w:type="dxa"/>
                  <w:gridSpan w:val="2"/>
                  <w:vMerge w:val="continue"/>
                  <w:vAlign w:val="center"/>
                </w:tcPr>
                <w:p>
                  <w:pPr>
                    <w:spacing w:line="240" w:lineRule="exact"/>
                    <w:jc w:val="center"/>
                    <w:rPr>
                      <w:rFonts w:cs="Times New Roman"/>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大气环境影响预测与评价</w:t>
                  </w: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预测模型</w:t>
                  </w:r>
                </w:p>
              </w:tc>
              <w:tc>
                <w:tcPr>
                  <w:tcW w:w="656" w:type="dxa"/>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AERMOD</w:t>
                  </w:r>
                  <w:r>
                    <w:rPr>
                      <w:rStyle w:val="37"/>
                      <w:rFonts w:ascii="Times New Roman" w:hAnsi="Times New Roman" w:cs="Times New Roman"/>
                      <w:color w:val="auto"/>
                      <w:sz w:val="18"/>
                      <w:szCs w:val="18"/>
                    </w:rPr>
                    <w:sym w:font="Wingdings 2" w:char="00A3"/>
                  </w:r>
                </w:p>
              </w:tc>
              <w:tc>
                <w:tcPr>
                  <w:tcW w:w="828" w:type="dxa"/>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ADMS</w:t>
                  </w:r>
                  <w:r>
                    <w:rPr>
                      <w:rStyle w:val="37"/>
                      <w:rFonts w:ascii="Times New Roman" w:hAnsi="Times New Roman" w:cs="Times New Roman"/>
                      <w:color w:val="auto"/>
                      <w:sz w:val="18"/>
                      <w:szCs w:val="18"/>
                    </w:rPr>
                    <w:t>□</w:t>
                  </w:r>
                </w:p>
              </w:tc>
              <w:tc>
                <w:tcPr>
                  <w:tcW w:w="1314" w:type="dxa"/>
                  <w:gridSpan w:val="2"/>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AUSTAL2000</w:t>
                  </w:r>
                  <w:r>
                    <w:rPr>
                      <w:rStyle w:val="37"/>
                      <w:rFonts w:ascii="Times New Roman" w:hAnsi="Times New Roman" w:cs="Times New Roman"/>
                      <w:color w:val="auto"/>
                      <w:sz w:val="18"/>
                      <w:szCs w:val="18"/>
                    </w:rPr>
                    <w:t>□</w:t>
                  </w:r>
                </w:p>
              </w:tc>
              <w:tc>
                <w:tcPr>
                  <w:tcW w:w="767" w:type="dxa"/>
                  <w:vAlign w:val="center"/>
                </w:tcPr>
                <w:p>
                  <w:pPr>
                    <w:widowControl/>
                    <w:spacing w:line="240" w:lineRule="exact"/>
                    <w:jc w:val="center"/>
                    <w:textAlignment w:val="center"/>
                    <w:rPr>
                      <w:rFonts w:cs="Times New Roman"/>
                      <w:color w:val="auto"/>
                      <w:spacing w:val="-10"/>
                      <w:sz w:val="18"/>
                      <w:szCs w:val="18"/>
                    </w:rPr>
                  </w:pPr>
                  <w:r>
                    <w:rPr>
                      <w:rStyle w:val="62"/>
                      <w:rFonts w:hint="default" w:ascii="Times New Roman" w:hAnsi="Times New Roman" w:cs="Times New Roman"/>
                      <w:b w:val="0"/>
                      <w:bCs w:val="0"/>
                      <w:color w:val="auto"/>
                      <w:spacing w:val="-10"/>
                      <w:sz w:val="18"/>
                      <w:szCs w:val="18"/>
                    </w:rPr>
                    <w:t>EDMS/AEDT</w:t>
                  </w:r>
                  <w:r>
                    <w:rPr>
                      <w:rStyle w:val="37"/>
                      <w:rFonts w:ascii="Times New Roman" w:hAnsi="Times New Roman" w:cs="Times New Roman"/>
                      <w:color w:val="auto"/>
                      <w:spacing w:val="-10"/>
                      <w:sz w:val="18"/>
                      <w:szCs w:val="18"/>
                    </w:rPr>
                    <w:t>□</w:t>
                  </w:r>
                </w:p>
              </w:tc>
              <w:tc>
                <w:tcPr>
                  <w:tcW w:w="1554" w:type="dxa"/>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CALPUFF</w:t>
                  </w:r>
                  <w:r>
                    <w:rPr>
                      <w:rStyle w:val="37"/>
                      <w:rFonts w:ascii="Times New Roman" w:hAnsi="Times New Roman" w:cs="Times New Roman"/>
                      <w:color w:val="auto"/>
                      <w:sz w:val="18"/>
                      <w:szCs w:val="18"/>
                    </w:rPr>
                    <w:t>□</w:t>
                  </w:r>
                </w:p>
              </w:tc>
              <w:tc>
                <w:tcPr>
                  <w:tcW w:w="950"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网格模型□</w:t>
                  </w:r>
                </w:p>
              </w:tc>
              <w:tc>
                <w:tcPr>
                  <w:tcW w:w="755"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其他□</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widowControl/>
                    <w:spacing w:line="240" w:lineRule="exact"/>
                    <w:textAlignment w:val="bottom"/>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预测范围</w:t>
                  </w:r>
                </w:p>
              </w:tc>
              <w:tc>
                <w:tcPr>
                  <w:tcW w:w="2798" w:type="dxa"/>
                  <w:gridSpan w:val="4"/>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边长≥</w:t>
                  </w:r>
                  <w:r>
                    <w:rPr>
                      <w:rStyle w:val="62"/>
                      <w:rFonts w:hint="default" w:ascii="Times New Roman" w:hAnsi="Times New Roman" w:cs="Times New Roman"/>
                      <w:b w:val="0"/>
                      <w:bCs w:val="0"/>
                      <w:color w:val="auto"/>
                      <w:sz w:val="18"/>
                      <w:szCs w:val="18"/>
                    </w:rPr>
                    <w:t>50km</w:t>
                  </w:r>
                  <w:r>
                    <w:rPr>
                      <w:rStyle w:val="37"/>
                      <w:rFonts w:ascii="Times New Roman" w:hAnsi="Times New Roman" w:cs="Times New Roman"/>
                      <w:color w:val="auto"/>
                      <w:sz w:val="18"/>
                      <w:szCs w:val="18"/>
                    </w:rPr>
                    <w:t>□</w:t>
                  </w: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边长</w:t>
                  </w:r>
                  <w:r>
                    <w:rPr>
                      <w:rStyle w:val="62"/>
                      <w:rFonts w:hint="default" w:ascii="Times New Roman" w:hAnsi="Times New Roman" w:cs="Times New Roman"/>
                      <w:b w:val="0"/>
                      <w:bCs w:val="0"/>
                      <w:color w:val="auto"/>
                      <w:sz w:val="18"/>
                      <w:szCs w:val="18"/>
                    </w:rPr>
                    <w:t>5~50km</w:t>
                  </w:r>
                  <w:r>
                    <w:rPr>
                      <w:rStyle w:val="37"/>
                      <w:rFonts w:ascii="Times New Roman" w:hAnsi="Times New Roman" w:cs="Times New Roman"/>
                      <w:color w:val="auto"/>
                      <w:sz w:val="18"/>
                      <w:szCs w:val="18"/>
                    </w:rPr>
                    <w:t>□</w:t>
                  </w:r>
                </w:p>
              </w:tc>
              <w:tc>
                <w:tcPr>
                  <w:tcW w:w="1705"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边长</w:t>
                  </w:r>
                  <w:r>
                    <w:rPr>
                      <w:rStyle w:val="62"/>
                      <w:rFonts w:hint="default" w:ascii="Times New Roman" w:hAnsi="Times New Roman" w:cs="Times New Roman"/>
                      <w:b w:val="0"/>
                      <w:bCs w:val="0"/>
                      <w:color w:val="auto"/>
                      <w:sz w:val="18"/>
                      <w:szCs w:val="18"/>
                    </w:rPr>
                    <w:t>=5km</w:t>
                  </w:r>
                  <w:r>
                    <w:rPr>
                      <w:rStyle w:val="37"/>
                      <w:rFonts w:ascii="Times New Roman" w:hAnsi="Times New Roman" w:cs="Times New Roman"/>
                      <w:color w:val="auto"/>
                      <w:sz w:val="18"/>
                      <w:szCs w:val="18"/>
                    </w:rPr>
                    <w:sym w:font="Wingdings 2" w:char="00A3"/>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预测因子</w:t>
                  </w:r>
                </w:p>
              </w:tc>
              <w:tc>
                <w:tcPr>
                  <w:tcW w:w="3565" w:type="dxa"/>
                  <w:gridSpan w:val="5"/>
                  <w:vMerge w:val="restart"/>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lang w:eastAsia="zh-CN"/>
                    </w:rPr>
                    <w:t>预测因子（</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w:t>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包括二次</w:t>
                  </w:r>
                  <w:r>
                    <w:rPr>
                      <w:rStyle w:val="62"/>
                      <w:rFonts w:hint="default" w:ascii="Times New Roman" w:hAnsi="Times New Roman" w:cs="Times New Roman"/>
                      <w:b w:val="0"/>
                      <w:bCs w:val="0"/>
                      <w:color w:val="auto"/>
                      <w:sz w:val="18"/>
                      <w:szCs w:val="18"/>
                    </w:rPr>
                    <w:t>PM</w:t>
                  </w:r>
                  <w:r>
                    <w:rPr>
                      <w:rStyle w:val="38"/>
                      <w:rFonts w:ascii="Times New Roman" w:hAnsi="Times New Roman" w:cs="Times New Roman"/>
                      <w:b w:val="0"/>
                      <w:bCs w:val="0"/>
                      <w:color w:val="auto"/>
                      <w:sz w:val="18"/>
                      <w:szCs w:val="18"/>
                      <w:vertAlign w:val="subscript"/>
                    </w:rPr>
                    <w:t>2.5</w:t>
                  </w:r>
                  <w:r>
                    <w:rPr>
                      <w:rStyle w:val="37"/>
                      <w:rFonts w:ascii="Times New Roman" w:hAnsi="Times New Roman" w:cs="Times New Roman"/>
                      <w:color w:val="auto"/>
                      <w:sz w:val="18"/>
                      <w:szCs w:val="18"/>
                    </w:rPr>
                    <w:sym w:font="Wingdings 2" w:char="00A3"/>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3565" w:type="dxa"/>
                  <w:gridSpan w:val="5"/>
                  <w:vMerge w:val="continue"/>
                  <w:vAlign w:val="center"/>
                </w:tcPr>
                <w:p>
                  <w:pPr>
                    <w:spacing w:line="240" w:lineRule="exact"/>
                    <w:jc w:val="center"/>
                    <w:rPr>
                      <w:rFonts w:cs="Times New Roman"/>
                      <w:color w:val="auto"/>
                      <w:sz w:val="18"/>
                      <w:szCs w:val="18"/>
                    </w:rPr>
                  </w:pPr>
                </w:p>
              </w:tc>
              <w:tc>
                <w:tcPr>
                  <w:tcW w:w="3259" w:type="dxa"/>
                  <w:gridSpan w:val="3"/>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不包括二次</w:t>
                  </w:r>
                  <w:r>
                    <w:rPr>
                      <w:rStyle w:val="62"/>
                      <w:rFonts w:hint="default" w:ascii="Times New Roman" w:hAnsi="Times New Roman" w:cs="Times New Roman"/>
                      <w:b w:val="0"/>
                      <w:bCs w:val="0"/>
                      <w:color w:val="auto"/>
                      <w:sz w:val="18"/>
                      <w:szCs w:val="18"/>
                    </w:rPr>
                    <w:t>PM</w:t>
                  </w:r>
                  <w:r>
                    <w:rPr>
                      <w:rStyle w:val="38"/>
                      <w:rFonts w:ascii="Times New Roman" w:hAnsi="Times New Roman" w:cs="Times New Roman"/>
                      <w:b w:val="0"/>
                      <w:bCs w:val="0"/>
                      <w:color w:val="auto"/>
                      <w:sz w:val="18"/>
                      <w:szCs w:val="18"/>
                      <w:vertAlign w:val="subscript"/>
                    </w:rPr>
                    <w:t>2.5</w:t>
                  </w:r>
                  <w:r>
                    <w:rPr>
                      <w:rStyle w:val="37"/>
                      <w:rFonts w:ascii="Times New Roman" w:hAnsi="Times New Roman" w:cs="Times New Roman"/>
                      <w:color w:val="auto"/>
                      <w:sz w:val="18"/>
                      <w:szCs w:val="18"/>
                    </w:rPr>
                    <w:sym w:font="Wingdings 2" w:char="00A3"/>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pacing w:val="-10"/>
                      <w:sz w:val="18"/>
                      <w:szCs w:val="18"/>
                    </w:rPr>
                  </w:pPr>
                  <w:r>
                    <w:rPr>
                      <w:rFonts w:cs="Times New Roman"/>
                      <w:color w:val="auto"/>
                      <w:spacing w:val="-10"/>
                      <w:kern w:val="0"/>
                      <w:sz w:val="18"/>
                      <w:szCs w:val="18"/>
                    </w:rPr>
                    <w:t>正常排放短期浓度贡献值</w:t>
                  </w:r>
                </w:p>
              </w:tc>
              <w:tc>
                <w:tcPr>
                  <w:tcW w:w="3565" w:type="dxa"/>
                  <w:gridSpan w:val="5"/>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lang w:eastAsia="zh-CN"/>
                    </w:rPr>
                    <w:t>C</w:t>
                  </w:r>
                  <w:r>
                    <w:rPr>
                      <w:rStyle w:val="37"/>
                      <w:rFonts w:ascii="Times New Roman" w:hAnsi="Times New Roman" w:cs="Times New Roman"/>
                      <w:color w:val="auto"/>
                      <w:sz w:val="18"/>
                      <w:szCs w:val="18"/>
                      <w:lang w:eastAsia="zh-CN"/>
                    </w:rPr>
                    <w:t>本项目最大占标率≤</w:t>
                  </w:r>
                  <w:r>
                    <w:rPr>
                      <w:rStyle w:val="62"/>
                      <w:rFonts w:hint="default" w:ascii="Times New Roman" w:hAnsi="Times New Roman" w:cs="Times New Roman"/>
                      <w:b w:val="0"/>
                      <w:bCs w:val="0"/>
                      <w:color w:val="auto"/>
                      <w:sz w:val="18"/>
                      <w:szCs w:val="18"/>
                      <w:lang w:eastAsia="zh-CN"/>
                    </w:rPr>
                    <w:t>100%</w:t>
                  </w:r>
                  <w:r>
                    <w:rPr>
                      <w:rStyle w:val="37"/>
                      <w:rFonts w:ascii="Times New Roman" w:hAnsi="Times New Roman" w:cs="Times New Roman"/>
                      <w:color w:val="auto"/>
                      <w:sz w:val="18"/>
                      <w:szCs w:val="18"/>
                    </w:rPr>
                    <w:sym w:font="Wingdings 2" w:char="00A3"/>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lang w:eastAsia="zh-CN"/>
                    </w:rPr>
                    <w:t>C</w:t>
                  </w:r>
                  <w:r>
                    <w:rPr>
                      <w:rStyle w:val="37"/>
                      <w:rFonts w:ascii="Times New Roman" w:hAnsi="Times New Roman" w:cs="Times New Roman"/>
                      <w:color w:val="auto"/>
                      <w:sz w:val="18"/>
                      <w:szCs w:val="18"/>
                      <w:lang w:eastAsia="zh-CN"/>
                    </w:rPr>
                    <w:t>本项目最大占标率</w:t>
                  </w:r>
                  <w:r>
                    <w:rPr>
                      <w:rStyle w:val="62"/>
                      <w:rFonts w:hint="default" w:ascii="Times New Roman" w:hAnsi="Times New Roman" w:cs="Times New Roman"/>
                      <w:b w:val="0"/>
                      <w:bCs w:val="0"/>
                      <w:color w:val="auto"/>
                      <w:sz w:val="18"/>
                      <w:szCs w:val="18"/>
                      <w:lang w:eastAsia="zh-CN"/>
                    </w:rPr>
                    <w:t>&gt;100%</w:t>
                  </w:r>
                  <w:r>
                    <w:rPr>
                      <w:rStyle w:val="37"/>
                      <w:rFonts w:ascii="Times New Roman" w:hAnsi="Times New Roman" w:cs="Times New Roman"/>
                      <w:color w:val="auto"/>
                      <w:sz w:val="18"/>
                      <w:szCs w:val="18"/>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Merge w:val="restart"/>
                  <w:vAlign w:val="center"/>
                </w:tcPr>
                <w:p>
                  <w:pPr>
                    <w:widowControl/>
                    <w:spacing w:line="240" w:lineRule="exact"/>
                    <w:jc w:val="center"/>
                    <w:textAlignment w:val="center"/>
                    <w:rPr>
                      <w:rFonts w:cs="Times New Roman"/>
                      <w:color w:val="auto"/>
                      <w:spacing w:val="-10"/>
                      <w:sz w:val="18"/>
                      <w:szCs w:val="18"/>
                    </w:rPr>
                  </w:pPr>
                  <w:r>
                    <w:rPr>
                      <w:rFonts w:cs="Times New Roman"/>
                      <w:color w:val="auto"/>
                      <w:spacing w:val="-10"/>
                      <w:kern w:val="0"/>
                      <w:sz w:val="18"/>
                      <w:szCs w:val="18"/>
                    </w:rPr>
                    <w:t>正常排放年均浓度贡献值</w:t>
                  </w:r>
                </w:p>
              </w:tc>
              <w:tc>
                <w:tcPr>
                  <w:tcW w:w="1484"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一类区</w:t>
                  </w:r>
                </w:p>
              </w:tc>
              <w:tc>
                <w:tcPr>
                  <w:tcW w:w="2081"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lang w:eastAsia="zh-CN"/>
                    </w:rPr>
                    <w:t>C</w:t>
                  </w:r>
                  <w:r>
                    <w:rPr>
                      <w:rStyle w:val="39"/>
                      <w:rFonts w:ascii="Times New Roman" w:hAnsi="Times New Roman" w:cs="Times New Roman"/>
                      <w:color w:val="auto"/>
                      <w:sz w:val="18"/>
                      <w:szCs w:val="18"/>
                      <w:lang w:eastAsia="zh-CN"/>
                    </w:rPr>
                    <w:t>本项目</w:t>
                  </w:r>
                  <w:r>
                    <w:rPr>
                      <w:rStyle w:val="37"/>
                      <w:rFonts w:ascii="Times New Roman" w:hAnsi="Times New Roman" w:cs="Times New Roman"/>
                      <w:color w:val="auto"/>
                      <w:sz w:val="18"/>
                      <w:szCs w:val="18"/>
                      <w:lang w:eastAsia="zh-CN"/>
                    </w:rPr>
                    <w:t>最大占标率≤</w:t>
                  </w:r>
                  <w:r>
                    <w:rPr>
                      <w:rStyle w:val="62"/>
                      <w:rFonts w:hint="default" w:ascii="Times New Roman" w:hAnsi="Times New Roman" w:cs="Times New Roman"/>
                      <w:b w:val="0"/>
                      <w:bCs w:val="0"/>
                      <w:color w:val="auto"/>
                      <w:sz w:val="18"/>
                      <w:szCs w:val="18"/>
                      <w:lang w:eastAsia="zh-CN"/>
                    </w:rPr>
                    <w:t>10%</w:t>
                  </w:r>
                  <w:r>
                    <w:rPr>
                      <w:rStyle w:val="37"/>
                      <w:rFonts w:ascii="Times New Roman" w:hAnsi="Times New Roman" w:cs="Times New Roman"/>
                      <w:color w:val="auto"/>
                      <w:sz w:val="18"/>
                      <w:szCs w:val="18"/>
                      <w:lang w:eastAsia="zh-CN"/>
                    </w:rPr>
                    <w:t>□</w:t>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lang w:eastAsia="zh-CN"/>
                    </w:rPr>
                    <w:t>C</w:t>
                  </w:r>
                  <w:r>
                    <w:rPr>
                      <w:rStyle w:val="39"/>
                      <w:rFonts w:ascii="Times New Roman" w:hAnsi="Times New Roman" w:cs="Times New Roman"/>
                      <w:color w:val="auto"/>
                      <w:sz w:val="18"/>
                      <w:szCs w:val="18"/>
                      <w:lang w:eastAsia="zh-CN"/>
                    </w:rPr>
                    <w:t>本项目</w:t>
                  </w:r>
                  <w:r>
                    <w:rPr>
                      <w:rStyle w:val="37"/>
                      <w:rFonts w:ascii="Times New Roman" w:hAnsi="Times New Roman" w:cs="Times New Roman"/>
                      <w:color w:val="auto"/>
                      <w:sz w:val="18"/>
                      <w:szCs w:val="18"/>
                      <w:lang w:eastAsia="zh-CN"/>
                    </w:rPr>
                    <w:t>最大占标率</w:t>
                  </w:r>
                  <w:r>
                    <w:rPr>
                      <w:rStyle w:val="62"/>
                      <w:rFonts w:hint="default" w:ascii="Times New Roman" w:hAnsi="Times New Roman" w:cs="Times New Roman"/>
                      <w:b w:val="0"/>
                      <w:bCs w:val="0"/>
                      <w:color w:val="auto"/>
                      <w:sz w:val="18"/>
                      <w:szCs w:val="18"/>
                      <w:lang w:eastAsia="zh-CN"/>
                    </w:rPr>
                    <w:t>&gt;10%</w:t>
                  </w:r>
                  <w:r>
                    <w:rPr>
                      <w:rStyle w:val="37"/>
                      <w:rFonts w:ascii="Times New Roman" w:hAnsi="Times New Roman" w:cs="Times New Roman"/>
                      <w:color w:val="auto"/>
                      <w:sz w:val="18"/>
                      <w:szCs w:val="18"/>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1484"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二类区</w:t>
                  </w:r>
                </w:p>
              </w:tc>
              <w:tc>
                <w:tcPr>
                  <w:tcW w:w="2081"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lang w:eastAsia="zh-CN"/>
                    </w:rPr>
                    <w:t>C</w:t>
                  </w:r>
                  <w:r>
                    <w:rPr>
                      <w:rStyle w:val="39"/>
                      <w:rFonts w:ascii="Times New Roman" w:hAnsi="Times New Roman" w:cs="Times New Roman"/>
                      <w:color w:val="auto"/>
                      <w:sz w:val="18"/>
                      <w:szCs w:val="18"/>
                      <w:lang w:eastAsia="zh-CN"/>
                    </w:rPr>
                    <w:t>本项目</w:t>
                  </w:r>
                  <w:r>
                    <w:rPr>
                      <w:rStyle w:val="37"/>
                      <w:rFonts w:ascii="Times New Roman" w:hAnsi="Times New Roman" w:cs="Times New Roman"/>
                      <w:color w:val="auto"/>
                      <w:sz w:val="18"/>
                      <w:szCs w:val="18"/>
                      <w:lang w:eastAsia="zh-CN"/>
                    </w:rPr>
                    <w:t>最大占标率≤</w:t>
                  </w:r>
                  <w:r>
                    <w:rPr>
                      <w:rStyle w:val="62"/>
                      <w:rFonts w:hint="default" w:ascii="Times New Roman" w:hAnsi="Times New Roman" w:cs="Times New Roman"/>
                      <w:b w:val="0"/>
                      <w:bCs w:val="0"/>
                      <w:color w:val="auto"/>
                      <w:sz w:val="18"/>
                      <w:szCs w:val="18"/>
                      <w:lang w:eastAsia="zh-CN"/>
                    </w:rPr>
                    <w:t>30%</w:t>
                  </w:r>
                  <w:r>
                    <w:rPr>
                      <w:rStyle w:val="37"/>
                      <w:rFonts w:ascii="Times New Roman" w:hAnsi="Times New Roman" w:cs="Times New Roman"/>
                      <w:color w:val="auto"/>
                      <w:sz w:val="18"/>
                      <w:szCs w:val="18"/>
                    </w:rPr>
                    <w:sym w:font="Wingdings 2" w:char="00A3"/>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lang w:eastAsia="zh-CN"/>
                    </w:rPr>
                    <w:t>C</w:t>
                  </w:r>
                  <w:r>
                    <w:rPr>
                      <w:rStyle w:val="39"/>
                      <w:rFonts w:ascii="Times New Roman" w:hAnsi="Times New Roman" w:cs="Times New Roman"/>
                      <w:color w:val="auto"/>
                      <w:sz w:val="18"/>
                      <w:szCs w:val="18"/>
                      <w:lang w:eastAsia="zh-CN"/>
                    </w:rPr>
                    <w:t>本项目</w:t>
                  </w:r>
                  <w:r>
                    <w:rPr>
                      <w:rStyle w:val="37"/>
                      <w:rFonts w:ascii="Times New Roman" w:hAnsi="Times New Roman" w:cs="Times New Roman"/>
                      <w:color w:val="auto"/>
                      <w:sz w:val="18"/>
                      <w:szCs w:val="18"/>
                      <w:lang w:eastAsia="zh-CN"/>
                    </w:rPr>
                    <w:t>最大占标率</w:t>
                  </w:r>
                  <w:r>
                    <w:rPr>
                      <w:rStyle w:val="62"/>
                      <w:rFonts w:hint="default" w:ascii="Times New Roman" w:hAnsi="Times New Roman" w:cs="Times New Roman"/>
                      <w:b w:val="0"/>
                      <w:bCs w:val="0"/>
                      <w:color w:val="auto"/>
                      <w:sz w:val="18"/>
                      <w:szCs w:val="18"/>
                      <w:lang w:eastAsia="zh-CN"/>
                    </w:rPr>
                    <w:t>&gt;30%</w:t>
                  </w:r>
                  <w:r>
                    <w:rPr>
                      <w:rStyle w:val="37"/>
                      <w:rFonts w:ascii="Times New Roman" w:hAnsi="Times New Roman" w:cs="Times New Roman"/>
                      <w:color w:val="auto"/>
                      <w:sz w:val="18"/>
                      <w:szCs w:val="18"/>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Merge w:val="restart"/>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非正常</w:t>
                  </w:r>
                  <w:r>
                    <w:rPr>
                      <w:rStyle w:val="62"/>
                      <w:rFonts w:hint="default" w:ascii="Times New Roman" w:hAnsi="Times New Roman" w:cs="Times New Roman"/>
                      <w:b w:val="0"/>
                      <w:bCs w:val="0"/>
                      <w:color w:val="auto"/>
                      <w:sz w:val="18"/>
                      <w:szCs w:val="18"/>
                    </w:rPr>
                    <w:t>1h</w:t>
                  </w:r>
                  <w:r>
                    <w:rPr>
                      <w:rStyle w:val="37"/>
                      <w:rFonts w:ascii="Times New Roman" w:hAnsi="Times New Roman" w:cs="Times New Roman"/>
                      <w:color w:val="auto"/>
                      <w:sz w:val="18"/>
                      <w:szCs w:val="18"/>
                    </w:rPr>
                    <w:t>浓度贡献值</w:t>
                  </w:r>
                </w:p>
              </w:tc>
              <w:tc>
                <w:tcPr>
                  <w:tcW w:w="1855" w:type="dxa"/>
                  <w:gridSpan w:val="3"/>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非正常持续时长</w:t>
                  </w:r>
                </w:p>
              </w:tc>
              <w:tc>
                <w:tcPr>
                  <w:tcW w:w="3264" w:type="dxa"/>
                  <w:gridSpan w:val="3"/>
                  <w:vMerge w:val="restart"/>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C</w:t>
                  </w:r>
                  <w:r>
                    <w:rPr>
                      <w:rStyle w:val="39"/>
                      <w:rFonts w:ascii="Times New Roman" w:hAnsi="Times New Roman" w:cs="Times New Roman"/>
                      <w:color w:val="auto"/>
                      <w:sz w:val="18"/>
                      <w:szCs w:val="18"/>
                    </w:rPr>
                    <w:t>非正常</w:t>
                  </w:r>
                  <w:r>
                    <w:rPr>
                      <w:rStyle w:val="37"/>
                      <w:rFonts w:ascii="Times New Roman" w:hAnsi="Times New Roman" w:cs="Times New Roman"/>
                      <w:color w:val="auto"/>
                      <w:sz w:val="18"/>
                      <w:szCs w:val="18"/>
                    </w:rPr>
                    <w:t>占标率≤</w:t>
                  </w:r>
                  <w:r>
                    <w:rPr>
                      <w:rStyle w:val="62"/>
                      <w:rFonts w:hint="default" w:ascii="Times New Roman" w:hAnsi="Times New Roman" w:cs="Times New Roman"/>
                      <w:b w:val="0"/>
                      <w:bCs w:val="0"/>
                      <w:color w:val="auto"/>
                      <w:sz w:val="18"/>
                      <w:szCs w:val="18"/>
                    </w:rPr>
                    <w:t>100%</w:t>
                  </w:r>
                  <w:r>
                    <w:rPr>
                      <w:rStyle w:val="37"/>
                      <w:rFonts w:ascii="Times New Roman" w:hAnsi="Times New Roman" w:cs="Times New Roman"/>
                      <w:color w:val="auto"/>
                      <w:sz w:val="18"/>
                      <w:szCs w:val="18"/>
                    </w:rPr>
                    <w:sym w:font="Wingdings 2" w:char="00A3"/>
                  </w:r>
                </w:p>
              </w:tc>
              <w:tc>
                <w:tcPr>
                  <w:tcW w:w="1705" w:type="dxa"/>
                  <w:gridSpan w:val="2"/>
                  <w:vMerge w:val="restart"/>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C</w:t>
                  </w:r>
                  <w:r>
                    <w:rPr>
                      <w:rStyle w:val="39"/>
                      <w:rFonts w:ascii="Times New Roman" w:hAnsi="Times New Roman" w:cs="Times New Roman"/>
                      <w:color w:val="auto"/>
                      <w:sz w:val="18"/>
                      <w:szCs w:val="18"/>
                    </w:rPr>
                    <w:t>非正常</w:t>
                  </w:r>
                  <w:r>
                    <w:rPr>
                      <w:rStyle w:val="37"/>
                      <w:rFonts w:ascii="Times New Roman" w:hAnsi="Times New Roman" w:cs="Times New Roman"/>
                      <w:color w:val="auto"/>
                      <w:sz w:val="18"/>
                      <w:szCs w:val="18"/>
                    </w:rPr>
                    <w:t>占标率</w:t>
                  </w:r>
                  <w:r>
                    <w:rPr>
                      <w:rStyle w:val="62"/>
                      <w:rFonts w:hint="default" w:ascii="Times New Roman" w:hAnsi="Times New Roman" w:cs="Times New Roman"/>
                      <w:b w:val="0"/>
                      <w:bCs w:val="0"/>
                      <w:color w:val="auto"/>
                      <w:sz w:val="18"/>
                      <w:szCs w:val="18"/>
                    </w:rPr>
                    <w:t>&gt;100%</w:t>
                  </w:r>
                  <w:r>
                    <w:rPr>
                      <w:rStyle w:val="37"/>
                      <w:rFonts w:ascii="Times New Roman" w:hAnsi="Times New Roman" w:cs="Times New Roman"/>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1855" w:type="dxa"/>
                  <w:gridSpan w:val="3"/>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w:t>
                  </w:r>
                  <w:r>
                    <w:rPr>
                      <w:rStyle w:val="62"/>
                      <w:rFonts w:hint="default" w:ascii="Times New Roman" w:hAnsi="Times New Roman" w:cs="Times New Roman"/>
                      <w:b w:val="0"/>
                      <w:bCs w:val="0"/>
                      <w:color w:val="auto"/>
                      <w:sz w:val="18"/>
                      <w:szCs w:val="18"/>
                    </w:rPr>
                    <w:t>-</w:t>
                  </w:r>
                  <w:r>
                    <w:rPr>
                      <w:rStyle w:val="37"/>
                      <w:rFonts w:ascii="Times New Roman" w:hAnsi="Times New Roman" w:cs="Times New Roman"/>
                      <w:color w:val="auto"/>
                      <w:sz w:val="18"/>
                      <w:szCs w:val="18"/>
                    </w:rPr>
                    <w:t>）</w:t>
                  </w:r>
                  <w:r>
                    <w:rPr>
                      <w:rStyle w:val="62"/>
                      <w:rFonts w:hint="default" w:ascii="Times New Roman" w:hAnsi="Times New Roman" w:cs="Times New Roman"/>
                      <w:b w:val="0"/>
                      <w:bCs w:val="0"/>
                      <w:color w:val="auto"/>
                      <w:sz w:val="18"/>
                      <w:szCs w:val="18"/>
                    </w:rPr>
                    <w:t>h</w:t>
                  </w:r>
                </w:p>
              </w:tc>
              <w:tc>
                <w:tcPr>
                  <w:tcW w:w="3264" w:type="dxa"/>
                  <w:gridSpan w:val="3"/>
                  <w:vMerge w:val="continue"/>
                  <w:vAlign w:val="center"/>
                </w:tcPr>
                <w:p>
                  <w:pPr>
                    <w:spacing w:line="240" w:lineRule="exact"/>
                    <w:jc w:val="center"/>
                    <w:rPr>
                      <w:rFonts w:cs="Times New Roman"/>
                      <w:color w:val="auto"/>
                      <w:sz w:val="18"/>
                      <w:szCs w:val="18"/>
                    </w:rPr>
                  </w:pPr>
                </w:p>
              </w:tc>
              <w:tc>
                <w:tcPr>
                  <w:tcW w:w="1705" w:type="dxa"/>
                  <w:gridSpan w:val="2"/>
                  <w:vMerge w:val="continue"/>
                  <w:vAlign w:val="center"/>
                </w:tcPr>
                <w:p>
                  <w:pPr>
                    <w:spacing w:line="240" w:lineRule="exact"/>
                    <w:jc w:val="center"/>
                    <w:rPr>
                      <w:rFonts w:cs="Times New Roman"/>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pacing w:val="-8"/>
                      <w:sz w:val="18"/>
                      <w:szCs w:val="18"/>
                    </w:rPr>
                  </w:pPr>
                  <w:r>
                    <w:rPr>
                      <w:rFonts w:cs="Times New Roman"/>
                      <w:color w:val="auto"/>
                      <w:spacing w:val="-8"/>
                      <w:kern w:val="0"/>
                      <w:sz w:val="18"/>
                      <w:szCs w:val="18"/>
                    </w:rPr>
                    <w:t>保证率日平均浓度和年平均浓度叠加值</w:t>
                  </w:r>
                </w:p>
              </w:tc>
              <w:tc>
                <w:tcPr>
                  <w:tcW w:w="3565" w:type="dxa"/>
                  <w:gridSpan w:val="5"/>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C</w:t>
                  </w:r>
                  <w:r>
                    <w:rPr>
                      <w:rStyle w:val="37"/>
                      <w:rFonts w:ascii="Times New Roman" w:hAnsi="Times New Roman" w:cs="Times New Roman"/>
                      <w:color w:val="auto"/>
                      <w:sz w:val="18"/>
                      <w:szCs w:val="18"/>
                    </w:rPr>
                    <w:t>叠加达标</w:t>
                  </w:r>
                  <w:r>
                    <w:rPr>
                      <w:rStyle w:val="37"/>
                      <w:rFonts w:ascii="Times New Roman" w:hAnsi="Times New Roman" w:cs="Times New Roman"/>
                      <w:color w:val="auto"/>
                      <w:sz w:val="18"/>
                      <w:szCs w:val="18"/>
                    </w:rPr>
                    <w:sym w:font="Wingdings 2" w:char="00A3"/>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C</w:t>
                  </w:r>
                  <w:r>
                    <w:rPr>
                      <w:rStyle w:val="37"/>
                      <w:rFonts w:ascii="Times New Roman" w:hAnsi="Times New Roman" w:cs="Times New Roman"/>
                      <w:color w:val="auto"/>
                      <w:sz w:val="18"/>
                      <w:szCs w:val="18"/>
                    </w:rPr>
                    <w:t>叠加不达标□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bottom"/>
                </w:tcPr>
                <w:p>
                  <w:pPr>
                    <w:spacing w:line="240" w:lineRule="exact"/>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区域环境质量的整体变化情况</w:t>
                  </w:r>
                </w:p>
              </w:tc>
              <w:tc>
                <w:tcPr>
                  <w:tcW w:w="3565" w:type="dxa"/>
                  <w:gridSpan w:val="5"/>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k</w:t>
                  </w:r>
                  <w:r>
                    <w:rPr>
                      <w:rStyle w:val="37"/>
                      <w:rFonts w:ascii="Times New Roman" w:hAnsi="Times New Roman" w:cs="Times New Roman"/>
                      <w:color w:val="auto"/>
                      <w:sz w:val="18"/>
                      <w:szCs w:val="18"/>
                    </w:rPr>
                    <w:t>≤</w:t>
                  </w:r>
                  <w:r>
                    <w:rPr>
                      <w:rStyle w:val="62"/>
                      <w:rFonts w:hint="default" w:ascii="Times New Roman" w:hAnsi="Times New Roman" w:cs="Times New Roman"/>
                      <w:b w:val="0"/>
                      <w:bCs w:val="0"/>
                      <w:color w:val="auto"/>
                      <w:sz w:val="18"/>
                      <w:szCs w:val="18"/>
                    </w:rPr>
                    <w:t>-20%</w:t>
                  </w:r>
                  <w:r>
                    <w:rPr>
                      <w:rStyle w:val="37"/>
                      <w:rFonts w:ascii="Times New Roman" w:hAnsi="Times New Roman" w:cs="Times New Roman"/>
                      <w:color w:val="auto"/>
                      <w:sz w:val="18"/>
                      <w:szCs w:val="18"/>
                    </w:rPr>
                    <w:sym w:font="Wingdings 2" w:char="00A3"/>
                  </w:r>
                </w:p>
              </w:tc>
              <w:tc>
                <w:tcPr>
                  <w:tcW w:w="3259"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k&gt;-20%</w:t>
                  </w:r>
                  <w:r>
                    <w:rPr>
                      <w:rStyle w:val="37"/>
                      <w:rFonts w:ascii="Times New Roman" w:hAnsi="Times New Roman" w:cs="Times New Roman"/>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环境监测计划</w:t>
                  </w:r>
                </w:p>
              </w:tc>
              <w:tc>
                <w:tcPr>
                  <w:tcW w:w="1038"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污染源监测</w:t>
                  </w:r>
                </w:p>
              </w:tc>
              <w:tc>
                <w:tcPr>
                  <w:tcW w:w="2798" w:type="dxa"/>
                  <w:gridSpan w:val="4"/>
                  <w:vMerge w:val="restart"/>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lang w:eastAsia="zh-CN"/>
                    </w:rPr>
                    <w:t>监测因子：（</w:t>
                  </w:r>
                  <w:r>
                    <w:rPr>
                      <w:rStyle w:val="62"/>
                      <w:rFonts w:hint="default" w:ascii="Times New Roman" w:hAnsi="Times New Roman" w:cs="Times New Roman"/>
                      <w:b w:val="0"/>
                      <w:bCs w:val="0"/>
                      <w:color w:val="auto"/>
                      <w:sz w:val="18"/>
                      <w:szCs w:val="18"/>
                      <w:lang w:eastAsia="zh-CN"/>
                    </w:rPr>
                    <w:t>PM</w:t>
                  </w:r>
                  <w:r>
                    <w:rPr>
                      <w:rStyle w:val="62"/>
                      <w:rFonts w:hint="default" w:ascii="Times New Roman" w:hAnsi="Times New Roman" w:cs="Times New Roman"/>
                      <w:b w:val="0"/>
                      <w:bCs w:val="0"/>
                      <w:color w:val="auto"/>
                      <w:sz w:val="18"/>
                      <w:szCs w:val="18"/>
                      <w:vertAlign w:val="subscript"/>
                      <w:lang w:eastAsia="zh-CN"/>
                    </w:rPr>
                    <w:t>10</w:t>
                  </w:r>
                  <w:r>
                    <w:rPr>
                      <w:rStyle w:val="62"/>
                      <w:rFonts w:hint="default" w:eastAsia="宋体" w:cs="Times New Roman"/>
                      <w:b w:val="0"/>
                      <w:bCs w:val="0"/>
                      <w:color w:val="auto"/>
                      <w:sz w:val="18"/>
                      <w:szCs w:val="18"/>
                      <w:lang w:eastAsia="zh-CN"/>
                    </w:rPr>
                    <w:t>、</w:t>
                  </w:r>
                  <w:r>
                    <w:rPr>
                      <w:rFonts w:hint="eastAsia" w:cs="Times New Roman"/>
                      <w:color w:val="auto"/>
                      <w:sz w:val="18"/>
                      <w:szCs w:val="18"/>
                    </w:rPr>
                    <w:t>NO</w:t>
                  </w:r>
                  <w:r>
                    <w:rPr>
                      <w:rFonts w:hint="eastAsia" w:cs="Times New Roman"/>
                      <w:color w:val="auto"/>
                      <w:sz w:val="18"/>
                      <w:szCs w:val="18"/>
                      <w:vertAlign w:val="subscript"/>
                    </w:rPr>
                    <w:t>2</w:t>
                  </w:r>
                  <w:r>
                    <w:rPr>
                      <w:rStyle w:val="37"/>
                      <w:rFonts w:ascii="Times New Roman" w:hAnsi="Times New Roman" w:cs="Times New Roman"/>
                      <w:color w:val="auto"/>
                      <w:sz w:val="18"/>
                      <w:szCs w:val="18"/>
                      <w:lang w:eastAsia="zh-CN"/>
                    </w:rPr>
                    <w:t>）</w:t>
                  </w: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有组织废气监测</w:t>
                  </w:r>
                  <w:r>
                    <w:rPr>
                      <w:rFonts w:cs="Times New Roman"/>
                      <w:color w:val="auto"/>
                      <w:kern w:val="0"/>
                      <w:sz w:val="18"/>
                      <w:szCs w:val="18"/>
                    </w:rPr>
                    <w:sym w:font="Wingdings 2" w:char="0052"/>
                  </w:r>
                </w:p>
              </w:tc>
              <w:tc>
                <w:tcPr>
                  <w:tcW w:w="1705" w:type="dxa"/>
                  <w:gridSpan w:val="2"/>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无监测□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Merge w:val="continue"/>
                  <w:vAlign w:val="center"/>
                </w:tcPr>
                <w:p>
                  <w:pPr>
                    <w:spacing w:line="240" w:lineRule="exact"/>
                    <w:jc w:val="center"/>
                    <w:rPr>
                      <w:rFonts w:cs="Times New Roman"/>
                      <w:color w:val="auto"/>
                      <w:sz w:val="18"/>
                      <w:szCs w:val="18"/>
                    </w:rPr>
                  </w:pPr>
                </w:p>
              </w:tc>
              <w:tc>
                <w:tcPr>
                  <w:tcW w:w="2798" w:type="dxa"/>
                  <w:gridSpan w:val="4"/>
                  <w:vMerge w:val="continue"/>
                  <w:vAlign w:val="center"/>
                </w:tcPr>
                <w:p>
                  <w:pPr>
                    <w:spacing w:line="240" w:lineRule="exact"/>
                    <w:jc w:val="center"/>
                    <w:rPr>
                      <w:rFonts w:cs="Times New Roman"/>
                      <w:color w:val="auto"/>
                      <w:sz w:val="18"/>
                      <w:szCs w:val="18"/>
                    </w:rPr>
                  </w:pP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无组织废气监测</w:t>
                  </w:r>
                  <w:r>
                    <w:rPr>
                      <w:rFonts w:cs="Times New Roman"/>
                      <w:color w:val="auto"/>
                      <w:kern w:val="0"/>
                      <w:sz w:val="18"/>
                      <w:szCs w:val="18"/>
                    </w:rPr>
                    <w:sym w:font="Wingdings 2" w:char="00A3"/>
                  </w:r>
                </w:p>
              </w:tc>
              <w:tc>
                <w:tcPr>
                  <w:tcW w:w="1705" w:type="dxa"/>
                  <w:gridSpan w:val="2"/>
                  <w:vMerge w:val="continue"/>
                  <w:vAlign w:val="center"/>
                </w:tcPr>
                <w:p>
                  <w:pPr>
                    <w:spacing w:line="240" w:lineRule="exact"/>
                    <w:jc w:val="center"/>
                    <w:rPr>
                      <w:rFonts w:cs="Times New Roman"/>
                      <w:color w:val="auto"/>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pacing w:val="-8"/>
                      <w:sz w:val="18"/>
                      <w:szCs w:val="18"/>
                    </w:rPr>
                  </w:pPr>
                  <w:r>
                    <w:rPr>
                      <w:rFonts w:cs="Times New Roman"/>
                      <w:color w:val="auto"/>
                      <w:spacing w:val="-8"/>
                      <w:kern w:val="0"/>
                      <w:sz w:val="18"/>
                      <w:szCs w:val="18"/>
                    </w:rPr>
                    <w:t>环境质量监测</w:t>
                  </w:r>
                </w:p>
              </w:tc>
              <w:tc>
                <w:tcPr>
                  <w:tcW w:w="2798" w:type="dxa"/>
                  <w:gridSpan w:val="4"/>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监测因子：（</w:t>
                  </w:r>
                  <w:r>
                    <w:rPr>
                      <w:rStyle w:val="62"/>
                      <w:rFonts w:hint="default" w:ascii="Times New Roman" w:hAnsi="Times New Roman" w:cs="Times New Roman"/>
                      <w:b w:val="0"/>
                      <w:bCs w:val="0"/>
                      <w:color w:val="auto"/>
                      <w:sz w:val="18"/>
                      <w:szCs w:val="18"/>
                    </w:rPr>
                    <w:t xml:space="preserve">   </w:t>
                  </w:r>
                  <w:r>
                    <w:rPr>
                      <w:rStyle w:val="37"/>
                      <w:rFonts w:ascii="Times New Roman" w:hAnsi="Times New Roman" w:cs="Times New Roman"/>
                      <w:color w:val="auto"/>
                      <w:sz w:val="18"/>
                      <w:szCs w:val="18"/>
                    </w:rPr>
                    <w:t>）</w:t>
                  </w:r>
                </w:p>
              </w:tc>
              <w:tc>
                <w:tcPr>
                  <w:tcW w:w="2321" w:type="dxa"/>
                  <w:gridSpan w:val="2"/>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监测点位数（</w:t>
                  </w:r>
                  <w:r>
                    <w:rPr>
                      <w:rStyle w:val="62"/>
                      <w:rFonts w:hint="default" w:ascii="Times New Roman" w:hAnsi="Times New Roman" w:cs="Times New Roman"/>
                      <w:b w:val="0"/>
                      <w:bCs w:val="0"/>
                      <w:color w:val="auto"/>
                      <w:sz w:val="18"/>
                      <w:szCs w:val="18"/>
                    </w:rPr>
                    <w:t xml:space="preserve">  </w:t>
                  </w:r>
                  <w:r>
                    <w:rPr>
                      <w:rStyle w:val="37"/>
                      <w:rFonts w:ascii="Times New Roman" w:hAnsi="Times New Roman" w:cs="Times New Roman"/>
                      <w:color w:val="auto"/>
                      <w:sz w:val="18"/>
                      <w:szCs w:val="18"/>
                    </w:rPr>
                    <w:t>）</w:t>
                  </w:r>
                </w:p>
              </w:tc>
              <w:tc>
                <w:tcPr>
                  <w:tcW w:w="1705"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无监测</w:t>
                  </w:r>
                  <w:r>
                    <w:rPr>
                      <w:rFonts w:cs="Times New Roman"/>
                      <w:color w:val="auto"/>
                      <w:kern w:val="0"/>
                      <w:sz w:val="18"/>
                      <w:szCs w:val="18"/>
                    </w:rPr>
                    <w:sym w:font="Wingdings 2" w:char="0052"/>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restart"/>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评价结论</w:t>
                  </w: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环境影响</w:t>
                  </w:r>
                </w:p>
              </w:tc>
              <w:tc>
                <w:tcPr>
                  <w:tcW w:w="6824" w:type="dxa"/>
                  <w:gridSpan w:val="8"/>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可以接受</w:t>
                  </w:r>
                  <w:r>
                    <w:rPr>
                      <w:rStyle w:val="62"/>
                      <w:rFonts w:hint="default" w:ascii="Times New Roman" w:hAnsi="Times New Roman" w:cs="Times New Roman"/>
                      <w:b w:val="0"/>
                      <w:bCs w:val="0"/>
                      <w:color w:val="auto"/>
                      <w:sz w:val="18"/>
                      <w:szCs w:val="18"/>
                    </w:rPr>
                    <w:t xml:space="preserve"> </w:t>
                  </w:r>
                  <w:r>
                    <w:rPr>
                      <w:rFonts w:cs="Times New Roman"/>
                      <w:color w:val="auto"/>
                      <w:kern w:val="0"/>
                      <w:sz w:val="18"/>
                      <w:szCs w:val="18"/>
                    </w:rPr>
                    <w:sym w:font="Wingdings 2" w:char="0052"/>
                  </w:r>
                  <w:r>
                    <w:rPr>
                      <w:rStyle w:val="62"/>
                      <w:rFonts w:hint="default" w:ascii="Times New Roman" w:hAnsi="Times New Roman" w:cs="Times New Roman"/>
                      <w:b w:val="0"/>
                      <w:bCs w:val="0"/>
                      <w:color w:val="auto"/>
                      <w:sz w:val="18"/>
                      <w:szCs w:val="18"/>
                    </w:rPr>
                    <w:t xml:space="preserve">             </w:t>
                  </w:r>
                  <w:r>
                    <w:rPr>
                      <w:rStyle w:val="37"/>
                      <w:rFonts w:ascii="Times New Roman" w:hAnsi="Times New Roman" w:cs="Times New Roman"/>
                      <w:color w:val="auto"/>
                      <w:sz w:val="18"/>
                      <w:szCs w:val="18"/>
                    </w:rPr>
                    <w:t>不可以接受</w:t>
                  </w:r>
                  <w:r>
                    <w:rPr>
                      <w:rStyle w:val="62"/>
                      <w:rFonts w:hint="default" w:ascii="Times New Roman" w:hAnsi="Times New Roman" w:cs="Times New Roman"/>
                      <w:b w:val="0"/>
                      <w:bCs w:val="0"/>
                      <w:color w:val="auto"/>
                      <w:sz w:val="18"/>
                      <w:szCs w:val="18"/>
                    </w:rPr>
                    <w:t xml:space="preserve"> </w:t>
                  </w:r>
                  <w:r>
                    <w:rPr>
                      <w:rStyle w:val="37"/>
                      <w:rFonts w:ascii="Times New Roman" w:hAnsi="Times New Roman" w:cs="Times New Roman"/>
                      <w:color w:val="auto"/>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大气环境防护距离</w:t>
                  </w:r>
                </w:p>
              </w:tc>
              <w:tc>
                <w:tcPr>
                  <w:tcW w:w="6824" w:type="dxa"/>
                  <w:gridSpan w:val="8"/>
                  <w:vAlign w:val="center"/>
                </w:tcPr>
                <w:p>
                  <w:pPr>
                    <w:widowControl/>
                    <w:spacing w:line="240" w:lineRule="exact"/>
                    <w:jc w:val="center"/>
                    <w:textAlignment w:val="center"/>
                    <w:rPr>
                      <w:rFonts w:cs="Times New Roman"/>
                      <w:color w:val="auto"/>
                      <w:sz w:val="18"/>
                      <w:szCs w:val="18"/>
                    </w:rPr>
                  </w:pPr>
                  <w:r>
                    <w:rPr>
                      <w:rStyle w:val="37"/>
                      <w:rFonts w:ascii="Times New Roman" w:hAnsi="Times New Roman" w:cs="Times New Roman"/>
                      <w:color w:val="auto"/>
                      <w:sz w:val="18"/>
                      <w:szCs w:val="18"/>
                    </w:rPr>
                    <w:t>距（</w:t>
                  </w:r>
                  <w:r>
                    <w:rPr>
                      <w:rStyle w:val="62"/>
                      <w:rFonts w:hint="default" w:ascii="Times New Roman" w:hAnsi="Times New Roman" w:cs="Times New Roman"/>
                      <w:b w:val="0"/>
                      <w:bCs w:val="0"/>
                      <w:color w:val="auto"/>
                      <w:sz w:val="18"/>
                      <w:szCs w:val="18"/>
                    </w:rPr>
                    <w:t>--)</w:t>
                  </w:r>
                  <w:r>
                    <w:rPr>
                      <w:rStyle w:val="37"/>
                      <w:rFonts w:ascii="Times New Roman" w:hAnsi="Times New Roman" w:cs="Times New Roman"/>
                      <w:color w:val="auto"/>
                      <w:sz w:val="18"/>
                      <w:szCs w:val="18"/>
                    </w:rPr>
                    <w:t>厂界最远（</w:t>
                  </w:r>
                  <w:r>
                    <w:rPr>
                      <w:rStyle w:val="62"/>
                      <w:rFonts w:hint="default" w:ascii="Times New Roman" w:hAnsi="Times New Roman" w:cs="Times New Roman"/>
                      <w:b w:val="0"/>
                      <w:bCs w:val="0"/>
                      <w:color w:val="auto"/>
                      <w:sz w:val="18"/>
                      <w:szCs w:val="18"/>
                    </w:rPr>
                    <w:t>-</w:t>
                  </w:r>
                  <w:r>
                    <w:rPr>
                      <w:rStyle w:val="37"/>
                      <w:rFonts w:ascii="Times New Roman" w:hAnsi="Times New Roman" w:cs="Times New Roman"/>
                      <w:color w:val="auto"/>
                      <w:sz w:val="18"/>
                      <w:szCs w:val="18"/>
                    </w:rPr>
                    <w:t>）</w:t>
                  </w:r>
                  <w:r>
                    <w:rPr>
                      <w:rStyle w:val="62"/>
                      <w:rFonts w:hint="default" w:ascii="Times New Roman" w:hAnsi="Times New Roman" w:cs="Times New Roman"/>
                      <w:b w:val="0"/>
                      <w:bCs w:val="0"/>
                      <w:color w:val="auto"/>
                      <w:sz w:val="18"/>
                      <w:szCs w:val="18"/>
                    </w:rPr>
                    <w:t>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53" w:type="dxa"/>
                  <w:vMerge w:val="continue"/>
                  <w:vAlign w:val="center"/>
                </w:tcPr>
                <w:p>
                  <w:pPr>
                    <w:spacing w:line="240" w:lineRule="exact"/>
                    <w:jc w:val="center"/>
                    <w:rPr>
                      <w:rFonts w:cs="Times New Roman"/>
                      <w:color w:val="auto"/>
                      <w:sz w:val="18"/>
                      <w:szCs w:val="18"/>
                    </w:rPr>
                  </w:pPr>
                </w:p>
              </w:tc>
              <w:tc>
                <w:tcPr>
                  <w:tcW w:w="1038" w:type="dxa"/>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污染源年排放量</w:t>
                  </w:r>
                </w:p>
              </w:tc>
              <w:tc>
                <w:tcPr>
                  <w:tcW w:w="1855" w:type="dxa"/>
                  <w:gridSpan w:val="3"/>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SO</w:t>
                  </w:r>
                  <w:r>
                    <w:rPr>
                      <w:rStyle w:val="38"/>
                      <w:rFonts w:ascii="Times New Roman" w:hAnsi="Times New Roman" w:cs="Times New Roman"/>
                      <w:b w:val="0"/>
                      <w:bCs w:val="0"/>
                      <w:color w:val="auto"/>
                      <w:sz w:val="18"/>
                      <w:szCs w:val="18"/>
                      <w:vertAlign w:val="subscript"/>
                    </w:rPr>
                    <w:t>2</w:t>
                  </w:r>
                  <w:r>
                    <w:rPr>
                      <w:rStyle w:val="62"/>
                      <w:rFonts w:hint="default" w:ascii="Times New Roman" w:hAnsi="Times New Roman" w:cs="Times New Roman"/>
                      <w:b w:val="0"/>
                      <w:bCs w:val="0"/>
                      <w:color w:val="auto"/>
                      <w:sz w:val="18"/>
                      <w:szCs w:val="18"/>
                    </w:rPr>
                    <w:t>:( 0 )t/a</w:t>
                  </w:r>
                </w:p>
              </w:tc>
              <w:tc>
                <w:tcPr>
                  <w:tcW w:w="1710" w:type="dxa"/>
                  <w:gridSpan w:val="2"/>
                  <w:vAlign w:val="center"/>
                </w:tcPr>
                <w:p>
                  <w:pPr>
                    <w:widowControl/>
                    <w:spacing w:line="240" w:lineRule="exact"/>
                    <w:jc w:val="center"/>
                    <w:textAlignment w:val="center"/>
                    <w:rPr>
                      <w:rFonts w:cs="Times New Roman"/>
                      <w:color w:val="auto"/>
                      <w:sz w:val="18"/>
                      <w:szCs w:val="18"/>
                    </w:rPr>
                  </w:pPr>
                  <w:r>
                    <w:rPr>
                      <w:rFonts w:cs="Times New Roman"/>
                      <w:color w:val="auto"/>
                      <w:kern w:val="0"/>
                      <w:sz w:val="18"/>
                      <w:szCs w:val="18"/>
                    </w:rPr>
                    <w:t xml:space="preserve">NOx:( </w:t>
                  </w:r>
                  <w:r>
                    <w:rPr>
                      <w:rFonts w:hint="eastAsia" w:cs="Times New Roman"/>
                      <w:color w:val="auto"/>
                      <w:kern w:val="0"/>
                      <w:sz w:val="18"/>
                      <w:szCs w:val="18"/>
                    </w:rPr>
                    <w:t>0.0235</w:t>
                  </w:r>
                  <w:r>
                    <w:rPr>
                      <w:rFonts w:cs="Times New Roman"/>
                      <w:color w:val="auto"/>
                      <w:kern w:val="0"/>
                      <w:sz w:val="18"/>
                      <w:szCs w:val="18"/>
                    </w:rPr>
                    <w:t>)t/a</w:t>
                  </w:r>
                </w:p>
              </w:tc>
              <w:tc>
                <w:tcPr>
                  <w:tcW w:w="1554" w:type="dxa"/>
                  <w:vAlign w:val="center"/>
                </w:tcPr>
                <w:p>
                  <w:pPr>
                    <w:widowControl/>
                    <w:spacing w:line="240" w:lineRule="exact"/>
                    <w:jc w:val="left"/>
                    <w:textAlignment w:val="center"/>
                    <w:rPr>
                      <w:rFonts w:cs="Times New Roman"/>
                      <w:color w:val="auto"/>
                      <w:sz w:val="18"/>
                      <w:szCs w:val="18"/>
                    </w:rPr>
                  </w:pPr>
                  <w:r>
                    <w:rPr>
                      <w:rStyle w:val="37"/>
                      <w:rFonts w:ascii="Times New Roman" w:hAnsi="Times New Roman" w:cs="Times New Roman"/>
                      <w:color w:val="auto"/>
                      <w:sz w:val="18"/>
                      <w:szCs w:val="18"/>
                    </w:rPr>
                    <w:t>颗粒物</w:t>
                  </w:r>
                  <w:r>
                    <w:rPr>
                      <w:rStyle w:val="62"/>
                      <w:rFonts w:hint="default" w:ascii="Times New Roman" w:hAnsi="Times New Roman" w:cs="Times New Roman"/>
                      <w:b w:val="0"/>
                      <w:bCs w:val="0"/>
                      <w:color w:val="auto"/>
                      <w:sz w:val="18"/>
                      <w:szCs w:val="18"/>
                    </w:rPr>
                    <w:t>:(</w:t>
                  </w:r>
                  <w:r>
                    <w:rPr>
                      <w:rFonts w:cs="Times New Roman"/>
                      <w:bCs/>
                      <w:color w:val="auto"/>
                      <w:kern w:val="0"/>
                      <w:sz w:val="18"/>
                      <w:szCs w:val="18"/>
                    </w:rPr>
                    <w:t>0.00</w:t>
                  </w:r>
                  <w:r>
                    <w:rPr>
                      <w:rFonts w:hint="eastAsia" w:cs="Times New Roman"/>
                      <w:bCs/>
                      <w:color w:val="auto"/>
                      <w:kern w:val="0"/>
                      <w:sz w:val="18"/>
                      <w:szCs w:val="18"/>
                    </w:rPr>
                    <w:t>42</w:t>
                  </w:r>
                  <w:r>
                    <w:rPr>
                      <w:rStyle w:val="62"/>
                      <w:rFonts w:hint="default" w:ascii="Times New Roman" w:hAnsi="Times New Roman" w:cs="Times New Roman"/>
                      <w:b w:val="0"/>
                      <w:bCs w:val="0"/>
                      <w:color w:val="auto"/>
                      <w:sz w:val="18"/>
                      <w:szCs w:val="18"/>
                    </w:rPr>
                    <w:t xml:space="preserve"> )t/a</w:t>
                  </w:r>
                </w:p>
              </w:tc>
              <w:tc>
                <w:tcPr>
                  <w:tcW w:w="1705" w:type="dxa"/>
                  <w:gridSpan w:val="2"/>
                  <w:vAlign w:val="center"/>
                </w:tcPr>
                <w:p>
                  <w:pPr>
                    <w:widowControl/>
                    <w:spacing w:line="240" w:lineRule="exact"/>
                    <w:jc w:val="center"/>
                    <w:textAlignment w:val="center"/>
                    <w:rPr>
                      <w:rFonts w:cs="Times New Roman"/>
                      <w:color w:val="auto"/>
                      <w:sz w:val="18"/>
                      <w:szCs w:val="18"/>
                    </w:rPr>
                  </w:pPr>
                  <w:r>
                    <w:rPr>
                      <w:rStyle w:val="62"/>
                      <w:rFonts w:hint="default" w:ascii="Times New Roman" w:hAnsi="Times New Roman" w:cs="Times New Roman"/>
                      <w:b w:val="0"/>
                      <w:bCs w:val="0"/>
                      <w:color w:val="auto"/>
                      <w:sz w:val="18"/>
                      <w:szCs w:val="18"/>
                    </w:rPr>
                    <w:t>VOCs:(</w:t>
                  </w:r>
                  <w:r>
                    <w:rPr>
                      <w:rFonts w:hint="eastAsia" w:cs="Times New Roman"/>
                      <w:bCs/>
                      <w:color w:val="auto"/>
                      <w:kern w:val="0"/>
                      <w:sz w:val="18"/>
                      <w:szCs w:val="18"/>
                    </w:rPr>
                    <w:t>0</w:t>
                  </w:r>
                  <w:r>
                    <w:rPr>
                      <w:rStyle w:val="62"/>
                      <w:rFonts w:hint="default" w:ascii="Times New Roman" w:hAnsi="Times New Roman" w:cs="Times New Roman"/>
                      <w:b w:val="0"/>
                      <w:bCs w:val="0"/>
                      <w:color w:val="auto"/>
                      <w:sz w:val="18"/>
                      <w:szCs w:val="18"/>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jc w:val="center"/>
              </w:trPr>
              <w:tc>
                <w:tcPr>
                  <w:tcW w:w="8715" w:type="dxa"/>
                  <w:gridSpan w:val="10"/>
                  <w:vAlign w:val="center"/>
                </w:tcPr>
                <w:p>
                  <w:pPr>
                    <w:widowControl/>
                    <w:spacing w:line="240" w:lineRule="exact"/>
                    <w:jc w:val="left"/>
                    <w:textAlignment w:val="center"/>
                    <w:rPr>
                      <w:rFonts w:cs="Times New Roman"/>
                      <w:color w:val="auto"/>
                      <w:sz w:val="18"/>
                      <w:szCs w:val="18"/>
                    </w:rPr>
                  </w:pPr>
                  <w:r>
                    <w:rPr>
                      <w:rStyle w:val="37"/>
                      <w:rFonts w:ascii="Times New Roman" w:hAnsi="Times New Roman" w:cs="Times New Roman"/>
                      <w:color w:val="auto"/>
                      <w:sz w:val="18"/>
                      <w:szCs w:val="18"/>
                      <w:lang w:eastAsia="zh-CN"/>
                    </w:rPr>
                    <w:t>注：</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，填</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w:t>
                  </w:r>
                  <w:r>
                    <w:rPr>
                      <w:rStyle w:val="62"/>
                      <w:rFonts w:hint="default" w:ascii="Times New Roman" w:hAnsi="Times New Roman" w:cs="Times New Roman"/>
                      <w:b w:val="0"/>
                      <w:bCs w:val="0"/>
                      <w:color w:val="auto"/>
                      <w:sz w:val="18"/>
                      <w:szCs w:val="18"/>
                      <w:lang w:eastAsia="zh-CN"/>
                    </w:rPr>
                    <w:t xml:space="preserve">  </w:t>
                  </w:r>
                  <w:r>
                    <w:rPr>
                      <w:rStyle w:val="37"/>
                      <w:rFonts w:ascii="Times New Roman" w:hAnsi="Times New Roman" w:cs="Times New Roman"/>
                      <w:color w:val="auto"/>
                      <w:sz w:val="18"/>
                      <w:szCs w:val="18"/>
                      <w:lang w:eastAsia="zh-CN"/>
                    </w:rPr>
                    <w:t>）</w:t>
                  </w:r>
                  <w:r>
                    <w:rPr>
                      <w:rStyle w:val="62"/>
                      <w:rFonts w:hint="default" w:ascii="Times New Roman" w:hAnsi="Times New Roman" w:cs="Times New Roman"/>
                      <w:b w:val="0"/>
                      <w:bCs w:val="0"/>
                      <w:color w:val="auto"/>
                      <w:sz w:val="18"/>
                      <w:szCs w:val="18"/>
                      <w:lang w:eastAsia="zh-CN"/>
                    </w:rPr>
                    <w:t>”</w:t>
                  </w:r>
                  <w:r>
                    <w:rPr>
                      <w:rStyle w:val="37"/>
                      <w:rFonts w:ascii="Times New Roman" w:hAnsi="Times New Roman" w:cs="Times New Roman"/>
                      <w:color w:val="auto"/>
                      <w:sz w:val="18"/>
                      <w:szCs w:val="18"/>
                      <w:lang w:eastAsia="zh-CN"/>
                    </w:rPr>
                    <w:t>为内容填写项</w:t>
                  </w:r>
                </w:p>
              </w:tc>
            </w:tr>
          </w:tbl>
          <w:p>
            <w:pPr>
              <w:adjustRightInd w:val="0"/>
              <w:snapToGrid w:val="0"/>
              <w:spacing w:line="460" w:lineRule="exact"/>
              <w:ind w:firstLine="470" w:firstLineChars="196"/>
              <w:jc w:val="left"/>
              <w:rPr>
                <w:rFonts w:eastAsia="黑体" w:cs="Times New Roman"/>
                <w:color w:val="auto"/>
                <w:sz w:val="24"/>
                <w:szCs w:val="24"/>
              </w:rPr>
            </w:pPr>
            <w:r>
              <w:rPr>
                <w:rFonts w:eastAsia="黑体" w:cs="Times New Roman"/>
                <w:color w:val="auto"/>
                <w:sz w:val="24"/>
                <w:szCs w:val="24"/>
              </w:rPr>
              <w:t>2、地表水环境</w:t>
            </w:r>
          </w:p>
          <w:p>
            <w:pPr>
              <w:spacing w:line="360" w:lineRule="auto"/>
              <w:ind w:firstLine="480" w:firstLineChars="200"/>
              <w:rPr>
                <w:rFonts w:cs="Times New Roman"/>
                <w:bCs/>
                <w:color w:val="auto"/>
                <w:spacing w:val="-4"/>
                <w:sz w:val="24"/>
                <w:szCs w:val="24"/>
              </w:rPr>
            </w:pPr>
            <w:r>
              <w:rPr>
                <w:rFonts w:cs="Times New Roman"/>
                <w:color w:val="auto"/>
                <w:sz w:val="24"/>
                <w:szCs w:val="24"/>
              </w:rPr>
              <w:t>本项目</w:t>
            </w:r>
            <w:r>
              <w:rPr>
                <w:rFonts w:hint="eastAsia" w:cs="Times New Roman"/>
                <w:color w:val="auto"/>
                <w:sz w:val="24"/>
                <w:szCs w:val="24"/>
              </w:rPr>
              <w:t>纯水制备废水用作厂区</w:t>
            </w:r>
            <w:r>
              <w:rPr>
                <w:rFonts w:hint="eastAsia" w:cs="Times New Roman"/>
                <w:color w:val="auto"/>
                <w:sz w:val="24"/>
                <w:szCs w:val="24"/>
                <w:lang w:val="en-US" w:eastAsia="zh-CN"/>
              </w:rPr>
              <w:t>洒水抑尘</w:t>
            </w:r>
            <w:r>
              <w:rPr>
                <w:rFonts w:hint="eastAsia" w:cs="Times New Roman"/>
                <w:color w:val="auto"/>
                <w:sz w:val="24"/>
                <w:szCs w:val="24"/>
              </w:rPr>
              <w:t>、喷淋塔</w:t>
            </w:r>
            <w:r>
              <w:rPr>
                <w:rFonts w:hint="eastAsia" w:cs="Times New Roman"/>
                <w:color w:val="auto"/>
                <w:sz w:val="24"/>
                <w:szCs w:val="24"/>
                <w:lang w:val="en-US" w:eastAsia="zh-CN"/>
              </w:rPr>
              <w:t>喷淋废水絮凝沉淀后循环使用</w:t>
            </w:r>
            <w:r>
              <w:rPr>
                <w:rFonts w:hint="eastAsia" w:cs="Times New Roman"/>
                <w:color w:val="auto"/>
                <w:sz w:val="24"/>
                <w:szCs w:val="24"/>
              </w:rPr>
              <w:t>，外排废水主要为生活污水</w:t>
            </w:r>
            <w:r>
              <w:rPr>
                <w:rFonts w:cs="Times New Roman"/>
                <w:color w:val="auto"/>
                <w:sz w:val="24"/>
                <w:szCs w:val="24"/>
              </w:rPr>
              <w:t>。生活废水前期经化粪池处理后，定期清运，远期待凤泉</w:t>
            </w:r>
            <w:r>
              <w:rPr>
                <w:rFonts w:hint="eastAsia" w:cs="Times New Roman"/>
                <w:color w:val="auto"/>
                <w:sz w:val="24"/>
                <w:szCs w:val="24"/>
              </w:rPr>
              <w:t>区</w:t>
            </w:r>
            <w:r>
              <w:rPr>
                <w:rFonts w:cs="Times New Roman"/>
                <w:color w:val="auto"/>
                <w:sz w:val="24"/>
                <w:szCs w:val="24"/>
              </w:rPr>
              <w:t>污水处理厂建成运行后，进入</w:t>
            </w:r>
            <w:r>
              <w:rPr>
                <w:rFonts w:cs="Times New Roman"/>
                <w:bCs/>
                <w:color w:val="auto"/>
                <w:spacing w:val="-4"/>
                <w:sz w:val="24"/>
                <w:szCs w:val="24"/>
              </w:rPr>
              <w:t>凤泉</w:t>
            </w:r>
            <w:r>
              <w:rPr>
                <w:rFonts w:hint="eastAsia" w:cs="Times New Roman"/>
                <w:bCs/>
                <w:color w:val="auto"/>
                <w:spacing w:val="-4"/>
                <w:sz w:val="24"/>
                <w:szCs w:val="24"/>
              </w:rPr>
              <w:t>区</w:t>
            </w:r>
            <w:r>
              <w:rPr>
                <w:rFonts w:cs="Times New Roman"/>
                <w:bCs/>
                <w:color w:val="auto"/>
                <w:spacing w:val="-4"/>
                <w:sz w:val="24"/>
                <w:szCs w:val="24"/>
              </w:rPr>
              <w:t>污水处理厂进一步处理。</w:t>
            </w:r>
          </w:p>
          <w:p>
            <w:pPr>
              <w:spacing w:line="360" w:lineRule="auto"/>
              <w:ind w:firstLine="464" w:firstLineChars="200"/>
              <w:rPr>
                <w:rFonts w:cs="Times New Roman"/>
                <w:bCs/>
                <w:color w:val="auto"/>
                <w:spacing w:val="-4"/>
                <w:sz w:val="24"/>
                <w:szCs w:val="24"/>
              </w:rPr>
            </w:pPr>
            <w:r>
              <w:rPr>
                <w:rFonts w:cs="Times New Roman"/>
                <w:bCs/>
                <w:color w:val="auto"/>
                <w:spacing w:val="-4"/>
                <w:sz w:val="24"/>
                <w:szCs w:val="24"/>
              </w:rPr>
              <w:t>项目废水排放属于间接排放，根据《环境影响评价技术导则 地表水环境》(HJ 2.3-2018)规定，确定项目评价等级为三级B，因此地表水环境影响可不开展区域污染源调查，不进行水环境影响预测。本次评价仅对项目废水排入凤泉</w:t>
            </w:r>
            <w:r>
              <w:rPr>
                <w:rFonts w:hint="eastAsia" w:cs="Times New Roman"/>
                <w:bCs/>
                <w:color w:val="auto"/>
                <w:spacing w:val="-4"/>
                <w:sz w:val="24"/>
                <w:szCs w:val="24"/>
              </w:rPr>
              <w:t>区</w:t>
            </w:r>
            <w:r>
              <w:rPr>
                <w:rFonts w:cs="Times New Roman"/>
                <w:bCs/>
                <w:color w:val="auto"/>
                <w:spacing w:val="-4"/>
                <w:sz w:val="24"/>
                <w:szCs w:val="24"/>
              </w:rPr>
              <w:t>污水处理厂进一步处理的可行性进行分析。</w:t>
            </w:r>
          </w:p>
          <w:p>
            <w:pPr>
              <w:numPr>
                <w:ilvl w:val="0"/>
                <w:numId w:val="6"/>
              </w:numPr>
              <w:spacing w:line="360" w:lineRule="auto"/>
              <w:ind w:firstLine="480" w:firstLineChars="200"/>
              <w:rPr>
                <w:rFonts w:cs="Times New Roman"/>
                <w:bCs/>
                <w:color w:val="auto"/>
                <w:sz w:val="24"/>
                <w:szCs w:val="24"/>
              </w:rPr>
            </w:pPr>
            <w:r>
              <w:rPr>
                <w:rFonts w:hint="eastAsia" w:cs="Times New Roman"/>
                <w:bCs/>
                <w:color w:val="auto"/>
                <w:sz w:val="24"/>
                <w:szCs w:val="24"/>
              </w:rPr>
              <w:t>污水综合利用可行性分析</w:t>
            </w:r>
          </w:p>
          <w:p>
            <w:pPr>
              <w:pStyle w:val="2"/>
              <w:ind w:firstLine="504" w:firstLineChars="200"/>
              <w:rPr>
                <w:color w:val="auto"/>
              </w:rPr>
            </w:pPr>
            <w:r>
              <w:rPr>
                <w:rFonts w:hint="eastAsia"/>
                <w:color w:val="auto"/>
              </w:rPr>
              <w:t>本项目纯水制备排放清净下水量为0.1t/d、30t/a，根据现场勘查，项目租赁厂区硬化地面及道路约27800m</w:t>
            </w:r>
            <w:r>
              <w:rPr>
                <w:rFonts w:hint="eastAsia"/>
                <w:color w:val="auto"/>
                <w:vertAlign w:val="superscript"/>
              </w:rPr>
              <w:t>2</w:t>
            </w:r>
            <w:r>
              <w:rPr>
                <w:rFonts w:hint="eastAsia"/>
                <w:color w:val="auto"/>
              </w:rPr>
              <w:t>，每天对厂区主要道路进行洒水抑尘，抑尘用水量约5m</w:t>
            </w:r>
            <w:r>
              <w:rPr>
                <w:rFonts w:hint="eastAsia"/>
                <w:color w:val="auto"/>
                <w:vertAlign w:val="superscript"/>
              </w:rPr>
              <w:t>3</w:t>
            </w:r>
            <w:r>
              <w:rPr>
                <w:rFonts w:hint="eastAsia"/>
                <w:color w:val="auto"/>
              </w:rPr>
              <w:t>/d，本项目纯水制备清净下水可全部消耗；</w:t>
            </w:r>
          </w:p>
          <w:p>
            <w:pPr>
              <w:spacing w:line="360" w:lineRule="auto"/>
              <w:ind w:firstLine="480" w:firstLineChars="200"/>
              <w:rPr>
                <w:rFonts w:cs="Times New Roman"/>
                <w:bCs/>
                <w:color w:val="auto"/>
                <w:sz w:val="24"/>
                <w:szCs w:val="24"/>
              </w:rPr>
            </w:pPr>
            <w:r>
              <w:rPr>
                <w:rFonts w:hint="eastAsia" w:cs="Times New Roman"/>
                <w:bCs/>
                <w:color w:val="auto"/>
                <w:sz w:val="24"/>
                <w:szCs w:val="24"/>
              </w:rPr>
              <w:t>（2）污水处理措施依托可行性分析</w:t>
            </w:r>
          </w:p>
          <w:p>
            <w:pPr>
              <w:spacing w:line="360" w:lineRule="auto"/>
              <w:ind w:firstLine="480" w:firstLineChars="200"/>
              <w:rPr>
                <w:rFonts w:cs="Times New Roman"/>
                <w:bCs/>
                <w:color w:val="auto"/>
                <w:sz w:val="24"/>
                <w:szCs w:val="24"/>
              </w:rPr>
            </w:pPr>
            <w:r>
              <w:rPr>
                <w:rFonts w:hint="eastAsia" w:cs="Times New Roman"/>
                <w:bCs/>
                <w:color w:val="auto"/>
                <w:sz w:val="24"/>
                <w:szCs w:val="24"/>
              </w:rPr>
              <w:t>本项目外排废水主要为职工办公生活废水。项目租赁</w:t>
            </w:r>
            <w:r>
              <w:rPr>
                <w:rFonts w:cs="Times New Roman" w:eastAsiaTheme="minorEastAsia"/>
                <w:color w:val="auto"/>
                <w:sz w:val="24"/>
              </w:rPr>
              <w:t>河南富拓光电科技有限公司</w:t>
            </w:r>
            <w:r>
              <w:rPr>
                <w:rFonts w:hint="eastAsia" w:cs="Times New Roman"/>
                <w:bCs/>
                <w:color w:val="auto"/>
                <w:sz w:val="24"/>
                <w:szCs w:val="24"/>
              </w:rPr>
              <w:t>现有厂房进行生产，生活污水依托该厂区现有化粪池处理后排放。根据调查，目前</w:t>
            </w:r>
            <w:r>
              <w:rPr>
                <w:rFonts w:cs="Times New Roman" w:eastAsiaTheme="minorEastAsia"/>
                <w:color w:val="auto"/>
                <w:sz w:val="24"/>
              </w:rPr>
              <w:t>河南富拓光电科技有限公司</w:t>
            </w:r>
            <w:r>
              <w:rPr>
                <w:rFonts w:hint="eastAsia" w:cs="Times New Roman" w:eastAsiaTheme="minorEastAsia"/>
                <w:color w:val="auto"/>
                <w:sz w:val="24"/>
              </w:rPr>
              <w:t>设计满负荷劳动定员40人</w:t>
            </w:r>
            <w:r>
              <w:rPr>
                <w:rFonts w:hint="eastAsia" w:cs="Times New Roman"/>
                <w:bCs/>
                <w:color w:val="auto"/>
                <w:sz w:val="24"/>
                <w:szCs w:val="24"/>
              </w:rPr>
              <w:t>，废水量约0.96m</w:t>
            </w:r>
            <w:r>
              <w:rPr>
                <w:rFonts w:hint="eastAsia" w:cs="Times New Roman"/>
                <w:bCs/>
                <w:color w:val="auto"/>
                <w:sz w:val="24"/>
                <w:szCs w:val="24"/>
                <w:vertAlign w:val="superscript"/>
              </w:rPr>
              <w:t>3</w:t>
            </w:r>
            <w:r>
              <w:rPr>
                <w:rFonts w:hint="eastAsia" w:cs="Times New Roman"/>
                <w:bCs/>
                <w:color w:val="auto"/>
                <w:sz w:val="24"/>
                <w:szCs w:val="24"/>
              </w:rPr>
              <w:t>/d。本项目建成后，新增废水量0.24m</w:t>
            </w:r>
            <w:r>
              <w:rPr>
                <w:rFonts w:hint="eastAsia" w:cs="Times New Roman"/>
                <w:bCs/>
                <w:color w:val="auto"/>
                <w:sz w:val="24"/>
                <w:szCs w:val="24"/>
                <w:vertAlign w:val="superscript"/>
              </w:rPr>
              <w:t>3</w:t>
            </w:r>
            <w:r>
              <w:rPr>
                <w:rFonts w:hint="eastAsia" w:cs="Times New Roman"/>
                <w:bCs/>
                <w:color w:val="auto"/>
                <w:sz w:val="24"/>
                <w:szCs w:val="24"/>
              </w:rPr>
              <w:t>/d。该厂区现有10m</w:t>
            </w:r>
            <w:r>
              <w:rPr>
                <w:rFonts w:hint="eastAsia" w:cs="Times New Roman"/>
                <w:bCs/>
                <w:color w:val="auto"/>
                <w:sz w:val="24"/>
                <w:szCs w:val="24"/>
                <w:vertAlign w:val="superscript"/>
              </w:rPr>
              <w:t>3</w:t>
            </w:r>
            <w:r>
              <w:rPr>
                <w:rFonts w:hint="eastAsia" w:cs="Times New Roman"/>
                <w:bCs/>
                <w:color w:val="auto"/>
                <w:sz w:val="24"/>
                <w:szCs w:val="24"/>
              </w:rPr>
              <w:t>化粪池一座，能够满足项目需求，因此本项目生活污水厂区现有化粪池处理可行。</w:t>
            </w:r>
          </w:p>
          <w:p>
            <w:pPr>
              <w:spacing w:line="360" w:lineRule="auto"/>
              <w:ind w:firstLine="480" w:firstLineChars="200"/>
              <w:rPr>
                <w:rFonts w:cs="Times New Roman"/>
                <w:bCs/>
                <w:color w:val="auto"/>
                <w:sz w:val="24"/>
                <w:szCs w:val="24"/>
              </w:rPr>
            </w:pPr>
            <w:r>
              <w:rPr>
                <w:rFonts w:hint="eastAsia" w:cs="Times New Roman"/>
                <w:bCs/>
                <w:color w:val="auto"/>
                <w:sz w:val="24"/>
                <w:szCs w:val="24"/>
              </w:rPr>
              <w:t>（3）远期项目废水排入大块镇污水处理厂可行性性分析</w:t>
            </w:r>
          </w:p>
          <w:p>
            <w:pPr>
              <w:spacing w:line="360" w:lineRule="auto"/>
              <w:ind w:firstLine="480" w:firstLineChars="200"/>
              <w:rPr>
                <w:rFonts w:cs="Times New Roman"/>
                <w:bCs/>
                <w:color w:val="auto"/>
                <w:sz w:val="24"/>
                <w:szCs w:val="24"/>
              </w:rPr>
            </w:pPr>
            <w:r>
              <w:rPr>
                <w:rFonts w:cs="Times New Roman"/>
                <w:bCs/>
                <w:color w:val="auto"/>
                <w:sz w:val="24"/>
                <w:szCs w:val="24"/>
              </w:rPr>
              <w:t>根据</w:t>
            </w:r>
            <w:r>
              <w:rPr>
                <w:rFonts w:hint="eastAsia" w:cs="Times New Roman"/>
                <w:bCs/>
                <w:color w:val="auto"/>
                <w:sz w:val="24"/>
                <w:szCs w:val="24"/>
              </w:rPr>
              <w:t>新乡市动力电池专业园区发展规划（2017-2020）</w:t>
            </w:r>
            <w:r>
              <w:rPr>
                <w:rFonts w:cs="Times New Roman"/>
                <w:bCs/>
                <w:color w:val="auto"/>
                <w:sz w:val="24"/>
                <w:szCs w:val="24"/>
              </w:rPr>
              <w:t>，</w:t>
            </w:r>
            <w:r>
              <w:rPr>
                <w:rFonts w:hint="eastAsia" w:cs="Times New Roman"/>
                <w:bCs/>
                <w:color w:val="auto"/>
                <w:sz w:val="24"/>
                <w:szCs w:val="24"/>
              </w:rPr>
              <w:t>西</w:t>
            </w:r>
            <w:r>
              <w:rPr>
                <w:rFonts w:cs="Times New Roman"/>
                <w:bCs/>
                <w:color w:val="auto"/>
                <w:sz w:val="24"/>
                <w:szCs w:val="24"/>
              </w:rPr>
              <w:t>片区污水进入</w:t>
            </w:r>
            <w:r>
              <w:rPr>
                <w:rFonts w:hint="eastAsia" w:cs="Times New Roman"/>
                <w:bCs/>
                <w:color w:val="auto"/>
                <w:sz w:val="24"/>
                <w:szCs w:val="24"/>
              </w:rPr>
              <w:t>大块镇</w:t>
            </w:r>
            <w:r>
              <w:rPr>
                <w:rFonts w:cs="Times New Roman"/>
                <w:bCs/>
                <w:color w:val="auto"/>
                <w:sz w:val="24"/>
                <w:szCs w:val="24"/>
              </w:rPr>
              <w:t>污水管网，经</w:t>
            </w:r>
            <w:r>
              <w:rPr>
                <w:rFonts w:hint="eastAsia" w:cs="Times New Roman"/>
                <w:bCs/>
                <w:color w:val="auto"/>
                <w:sz w:val="24"/>
                <w:szCs w:val="24"/>
              </w:rPr>
              <w:t>大块镇</w:t>
            </w:r>
            <w:r>
              <w:rPr>
                <w:rFonts w:cs="Times New Roman"/>
                <w:bCs/>
                <w:color w:val="auto"/>
                <w:sz w:val="24"/>
                <w:szCs w:val="24"/>
              </w:rPr>
              <w:t>污水处理厂处理后排放。根据实际调查，</w:t>
            </w:r>
            <w:r>
              <w:rPr>
                <w:rFonts w:hint="eastAsia" w:cs="Times New Roman"/>
                <w:bCs/>
                <w:color w:val="auto"/>
                <w:sz w:val="24"/>
                <w:szCs w:val="24"/>
              </w:rPr>
              <w:t>大块镇污水处理厂已建设完成，由于</w:t>
            </w:r>
            <w:r>
              <w:rPr>
                <w:rFonts w:hint="eastAsia" w:cs="Times New Roman"/>
                <w:bCs/>
                <w:color w:val="auto"/>
                <w:sz w:val="24"/>
                <w:szCs w:val="24"/>
                <w:lang w:val="en-US" w:eastAsia="zh-CN"/>
              </w:rPr>
              <w:t>项目区域</w:t>
            </w:r>
            <w:r>
              <w:rPr>
                <w:rFonts w:hint="eastAsia" w:cs="Times New Roman"/>
                <w:bCs/>
                <w:color w:val="auto"/>
                <w:sz w:val="24"/>
                <w:szCs w:val="24"/>
              </w:rPr>
              <w:t>管网尚未铺设。</w:t>
            </w:r>
            <w:r>
              <w:rPr>
                <w:rFonts w:cs="Times New Roman"/>
                <w:bCs/>
                <w:color w:val="auto"/>
                <w:sz w:val="24"/>
                <w:szCs w:val="24"/>
              </w:rPr>
              <w:t>根据项目所在地实际情况，项目产生的生活污水前期经化粪池处理后定期清运，待</w:t>
            </w:r>
            <w:r>
              <w:rPr>
                <w:rFonts w:hint="eastAsia" w:cs="Times New Roman"/>
                <w:bCs/>
                <w:color w:val="auto"/>
                <w:sz w:val="24"/>
                <w:szCs w:val="24"/>
                <w:lang w:val="en-US" w:eastAsia="zh-CN"/>
              </w:rPr>
              <w:t>污水管网接通后</w:t>
            </w:r>
            <w:r>
              <w:rPr>
                <w:rFonts w:cs="Times New Roman"/>
                <w:bCs/>
                <w:color w:val="auto"/>
                <w:sz w:val="24"/>
                <w:szCs w:val="24"/>
              </w:rPr>
              <w:t>经管网入</w:t>
            </w:r>
            <w:r>
              <w:rPr>
                <w:rFonts w:hint="eastAsia" w:cs="Times New Roman"/>
                <w:bCs/>
                <w:color w:val="auto"/>
                <w:sz w:val="24"/>
                <w:szCs w:val="24"/>
              </w:rPr>
              <w:t>大块镇</w:t>
            </w:r>
            <w:r>
              <w:rPr>
                <w:rFonts w:cs="Times New Roman"/>
                <w:bCs/>
                <w:color w:val="auto"/>
                <w:sz w:val="24"/>
                <w:szCs w:val="24"/>
              </w:rPr>
              <w:t>污水处理厂进行二次处理，然后</w:t>
            </w:r>
            <w:r>
              <w:rPr>
                <w:rFonts w:hint="eastAsia" w:cs="Times New Roman"/>
                <w:bCs/>
                <w:color w:val="auto"/>
                <w:sz w:val="24"/>
                <w:szCs w:val="24"/>
              </w:rPr>
              <w:t>经民生渠</w:t>
            </w:r>
            <w:r>
              <w:rPr>
                <w:rFonts w:cs="Times New Roman"/>
                <w:bCs/>
                <w:color w:val="auto"/>
                <w:sz w:val="24"/>
                <w:szCs w:val="24"/>
              </w:rPr>
              <w:t>排入共产主义渠。</w:t>
            </w:r>
          </w:p>
          <w:p>
            <w:pPr>
              <w:tabs>
                <w:tab w:val="left" w:pos="0"/>
              </w:tabs>
              <w:spacing w:line="360" w:lineRule="auto"/>
              <w:ind w:firstLine="480" w:firstLineChars="200"/>
              <w:rPr>
                <w:rFonts w:cs="Times New Roman"/>
                <w:color w:val="auto"/>
                <w:sz w:val="24"/>
                <w:szCs w:val="24"/>
              </w:rPr>
            </w:pPr>
            <w:r>
              <w:rPr>
                <w:rFonts w:cs="Times New Roman"/>
                <w:color w:val="auto"/>
                <w:sz w:val="24"/>
                <w:szCs w:val="24"/>
              </w:rPr>
              <w:t>本工程废水外排量为</w:t>
            </w:r>
            <w:r>
              <w:rPr>
                <w:rFonts w:hint="eastAsia" w:cs="Times New Roman"/>
                <w:color w:val="auto"/>
                <w:sz w:val="24"/>
                <w:szCs w:val="24"/>
              </w:rPr>
              <w:t>72</w:t>
            </w:r>
            <w:r>
              <w:rPr>
                <w:rFonts w:cs="Times New Roman"/>
                <w:bCs/>
                <w:color w:val="auto"/>
                <w:sz w:val="24"/>
                <w:szCs w:val="24"/>
              </w:rPr>
              <w:t>m</w:t>
            </w:r>
            <w:r>
              <w:rPr>
                <w:rFonts w:cs="Times New Roman"/>
                <w:bCs/>
                <w:color w:val="auto"/>
                <w:sz w:val="24"/>
                <w:szCs w:val="24"/>
                <w:vertAlign w:val="superscript"/>
              </w:rPr>
              <w:t>3</w:t>
            </w:r>
            <w:r>
              <w:rPr>
                <w:rFonts w:cs="Times New Roman"/>
                <w:bCs/>
                <w:color w:val="auto"/>
                <w:sz w:val="24"/>
                <w:szCs w:val="24"/>
              </w:rPr>
              <w:t>/</w:t>
            </w:r>
            <w:r>
              <w:rPr>
                <w:rFonts w:hint="eastAsia" w:cs="Times New Roman"/>
                <w:color w:val="auto"/>
                <w:sz w:val="24"/>
                <w:szCs w:val="24"/>
              </w:rPr>
              <w:t>a</w:t>
            </w:r>
            <w:r>
              <w:rPr>
                <w:rFonts w:cs="Times New Roman"/>
                <w:bCs/>
                <w:color w:val="auto"/>
                <w:sz w:val="24"/>
                <w:szCs w:val="24"/>
              </w:rPr>
              <w:t>，</w:t>
            </w:r>
            <w:r>
              <w:rPr>
                <w:rFonts w:hint="eastAsia" w:cs="Times New Roman"/>
                <w:bCs/>
                <w:color w:val="auto"/>
                <w:sz w:val="24"/>
                <w:szCs w:val="24"/>
              </w:rPr>
              <w:t>经化粪池处理后，</w:t>
            </w:r>
            <w:r>
              <w:rPr>
                <w:rFonts w:cs="Times New Roman"/>
                <w:color w:val="auto"/>
                <w:sz w:val="24"/>
                <w:szCs w:val="24"/>
              </w:rPr>
              <w:t>生活污水</w:t>
            </w:r>
            <w:r>
              <w:rPr>
                <w:rFonts w:hint="eastAsia" w:cs="Times New Roman"/>
                <w:color w:val="auto"/>
                <w:sz w:val="24"/>
                <w:szCs w:val="24"/>
              </w:rPr>
              <w:t>总排口主要污染物浓度分别为COD210mg/L、SS125mg/L、氨氮25mg/L、总磷3.0mg/L，</w:t>
            </w:r>
            <w:r>
              <w:rPr>
                <w:rFonts w:cs="Times New Roman"/>
                <w:color w:val="auto"/>
                <w:sz w:val="24"/>
                <w:szCs w:val="24"/>
              </w:rPr>
              <w:t>废水水质能够满足</w:t>
            </w:r>
            <w:r>
              <w:rPr>
                <w:rFonts w:hint="eastAsia" w:cs="Times New Roman"/>
                <w:color w:val="auto"/>
                <w:sz w:val="24"/>
                <w:szCs w:val="24"/>
              </w:rPr>
              <w:t>大块镇</w:t>
            </w:r>
            <w:r>
              <w:rPr>
                <w:rFonts w:cs="Times New Roman"/>
                <w:color w:val="auto"/>
                <w:sz w:val="24"/>
                <w:szCs w:val="24"/>
              </w:rPr>
              <w:t>污水处理厂收水水质（COD≤350mg/L，SS≤</w:t>
            </w:r>
            <w:r>
              <w:rPr>
                <w:rFonts w:hint="eastAsia" w:cs="Times New Roman"/>
                <w:color w:val="auto"/>
                <w:sz w:val="24"/>
                <w:szCs w:val="24"/>
              </w:rPr>
              <w:t>15</w:t>
            </w:r>
            <w:r>
              <w:rPr>
                <w:rFonts w:cs="Times New Roman"/>
                <w:color w:val="auto"/>
                <w:sz w:val="24"/>
                <w:szCs w:val="24"/>
              </w:rPr>
              <w:t>0mg/L，氨氮≤35mg/L，总磷≤4mg/L）要求。</w:t>
            </w:r>
            <w:r>
              <w:rPr>
                <w:rFonts w:hint="eastAsia" w:cs="Times New Roman"/>
                <w:color w:val="auto"/>
                <w:sz w:val="24"/>
                <w:szCs w:val="24"/>
              </w:rPr>
              <w:t>工程废水没有生物毒性，与大块镇污水处理厂其他废水混合后不会对污水处理厂的生化工艺造成不利影响，对污水处理厂冲击较小。</w:t>
            </w:r>
          </w:p>
          <w:p>
            <w:pPr>
              <w:spacing w:line="360" w:lineRule="auto"/>
              <w:ind w:firstLine="496" w:firstLineChars="200"/>
              <w:rPr>
                <w:rFonts w:cs="Times New Roman"/>
                <w:color w:val="auto"/>
                <w:spacing w:val="4"/>
                <w:sz w:val="24"/>
                <w:szCs w:val="24"/>
              </w:rPr>
            </w:pPr>
            <w:r>
              <w:rPr>
                <w:rFonts w:cs="Times New Roman"/>
                <w:color w:val="auto"/>
                <w:spacing w:val="4"/>
                <w:sz w:val="24"/>
                <w:szCs w:val="24"/>
              </w:rPr>
              <w:t>综上分析，本项目选址位于</w:t>
            </w:r>
            <w:r>
              <w:rPr>
                <w:rFonts w:hint="eastAsia" w:cs="Times New Roman"/>
                <w:color w:val="auto"/>
                <w:spacing w:val="4"/>
                <w:sz w:val="24"/>
                <w:szCs w:val="24"/>
              </w:rPr>
              <w:t>新乡市动力电池专业园区西片区</w:t>
            </w:r>
            <w:r>
              <w:rPr>
                <w:rFonts w:cs="Times New Roman"/>
                <w:bCs/>
                <w:color w:val="auto"/>
                <w:sz w:val="24"/>
                <w:szCs w:val="24"/>
              </w:rPr>
              <w:t>，属于规划</w:t>
            </w:r>
            <w:r>
              <w:rPr>
                <w:rFonts w:hint="eastAsia" w:cs="Times New Roman"/>
                <w:color w:val="auto"/>
                <w:spacing w:val="4"/>
                <w:sz w:val="24"/>
                <w:szCs w:val="24"/>
              </w:rPr>
              <w:t>大块镇</w:t>
            </w:r>
            <w:r>
              <w:rPr>
                <w:rFonts w:cs="Times New Roman"/>
                <w:color w:val="auto"/>
                <w:spacing w:val="4"/>
                <w:sz w:val="24"/>
                <w:szCs w:val="24"/>
              </w:rPr>
              <w:t>污水处理厂的服务范围内，</w:t>
            </w:r>
            <w:r>
              <w:rPr>
                <w:rFonts w:cs="Times New Roman"/>
                <w:color w:val="auto"/>
                <w:sz w:val="24"/>
                <w:szCs w:val="24"/>
              </w:rPr>
              <w:t>待</w:t>
            </w:r>
            <w:r>
              <w:rPr>
                <w:rFonts w:hint="eastAsia" w:cs="Times New Roman"/>
                <w:color w:val="auto"/>
                <w:sz w:val="24"/>
                <w:szCs w:val="24"/>
              </w:rPr>
              <w:t>大块镇</w:t>
            </w:r>
            <w:r>
              <w:rPr>
                <w:rFonts w:cs="Times New Roman"/>
                <w:color w:val="auto"/>
                <w:sz w:val="24"/>
                <w:szCs w:val="24"/>
              </w:rPr>
              <w:t>污水处理厂运行且项目区域污水管网接通后，</w:t>
            </w:r>
            <w:r>
              <w:rPr>
                <w:rFonts w:cs="Times New Roman"/>
                <w:color w:val="auto"/>
                <w:spacing w:val="4"/>
                <w:sz w:val="24"/>
                <w:szCs w:val="24"/>
              </w:rPr>
              <w:t>本项目生活废水可以经管网排入</w:t>
            </w:r>
            <w:r>
              <w:rPr>
                <w:rFonts w:hint="eastAsia" w:cs="Times New Roman"/>
                <w:color w:val="auto"/>
                <w:spacing w:val="4"/>
                <w:sz w:val="24"/>
                <w:szCs w:val="24"/>
              </w:rPr>
              <w:t>大块镇</w:t>
            </w:r>
            <w:r>
              <w:rPr>
                <w:rFonts w:cs="Times New Roman"/>
                <w:color w:val="auto"/>
                <w:spacing w:val="4"/>
                <w:sz w:val="24"/>
                <w:szCs w:val="24"/>
              </w:rPr>
              <w:t>污水处理厂进行统一处理，本工程废水能够满足该污水处理厂进水设计指标要求。因此本项目废水进入</w:t>
            </w:r>
            <w:r>
              <w:rPr>
                <w:rFonts w:hint="eastAsia" w:cs="Times New Roman"/>
                <w:color w:val="auto"/>
                <w:spacing w:val="4"/>
                <w:sz w:val="24"/>
                <w:szCs w:val="24"/>
              </w:rPr>
              <w:t>大块镇区</w:t>
            </w:r>
            <w:r>
              <w:rPr>
                <w:rFonts w:cs="Times New Roman"/>
                <w:color w:val="auto"/>
                <w:spacing w:val="4"/>
                <w:sz w:val="24"/>
                <w:szCs w:val="24"/>
              </w:rPr>
              <w:t>污水处理厂是可行的。</w:t>
            </w:r>
          </w:p>
          <w:p>
            <w:pPr>
              <w:pStyle w:val="33"/>
              <w:numPr>
                <w:ilvl w:val="0"/>
                <w:numId w:val="7"/>
              </w:numPr>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建设项目污染物排放信息</w:t>
            </w:r>
          </w:p>
          <w:p>
            <w:pPr>
              <w:pStyle w:val="33"/>
              <w:adjustRightIn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①废水类别、污染物及污染治理设施信息</w:t>
            </w:r>
          </w:p>
          <w:p>
            <w:pPr>
              <w:pStyle w:val="21"/>
              <w:ind w:firstLine="420"/>
              <w:rPr>
                <w:color w:val="auto"/>
              </w:rPr>
            </w:pPr>
            <w:r>
              <w:rPr>
                <w:rFonts w:hint="eastAsia"/>
                <w:color w:val="auto"/>
              </w:rPr>
              <w:t xml:space="preserve">        </w:t>
            </w:r>
            <w:r>
              <w:rPr>
                <w:color w:val="auto"/>
              </w:rPr>
              <w:t>废水类别、污染物及污染治理设施信息表</w:t>
            </w:r>
          </w:p>
          <w:tbl>
            <w:tblPr>
              <w:tblStyle w:val="26"/>
              <w:tblW w:w="85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396"/>
              <w:gridCol w:w="777"/>
              <w:gridCol w:w="612"/>
              <w:gridCol w:w="1170"/>
              <w:gridCol w:w="766"/>
              <w:gridCol w:w="652"/>
              <w:gridCol w:w="629"/>
              <w:gridCol w:w="786"/>
              <w:gridCol w:w="844"/>
              <w:gridCol w:w="15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dxa"/>
                  <w:vMerge w:val="restart"/>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序号</w:t>
                  </w:r>
                </w:p>
              </w:tc>
              <w:tc>
                <w:tcPr>
                  <w:tcW w:w="388" w:type="dxa"/>
                  <w:vMerge w:val="restart"/>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废水类别</w:t>
                  </w:r>
                </w:p>
              </w:tc>
              <w:tc>
                <w:tcPr>
                  <w:tcW w:w="717" w:type="dxa"/>
                  <w:vMerge w:val="restart"/>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污染物种类</w:t>
                  </w:r>
                </w:p>
              </w:tc>
              <w:tc>
                <w:tcPr>
                  <w:tcW w:w="646" w:type="dxa"/>
                  <w:vMerge w:val="restart"/>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排放去向</w:t>
                  </w:r>
                </w:p>
              </w:tc>
              <w:tc>
                <w:tcPr>
                  <w:tcW w:w="1263" w:type="dxa"/>
                  <w:vMerge w:val="restart"/>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排放规律</w:t>
                  </w:r>
                </w:p>
              </w:tc>
              <w:tc>
                <w:tcPr>
                  <w:tcW w:w="1981" w:type="dxa"/>
                  <w:gridSpan w:val="3"/>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污染治理设施</w:t>
                  </w:r>
                </w:p>
              </w:tc>
              <w:tc>
                <w:tcPr>
                  <w:tcW w:w="589" w:type="dxa"/>
                  <w:vMerge w:val="restart"/>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排放口编号</w:t>
                  </w:r>
                </w:p>
              </w:tc>
              <w:tc>
                <w:tcPr>
                  <w:tcW w:w="889" w:type="dxa"/>
                  <w:vMerge w:val="restart"/>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排放空间设施是否符合要求</w:t>
                  </w:r>
                </w:p>
              </w:tc>
              <w:tc>
                <w:tcPr>
                  <w:tcW w:w="1651" w:type="dxa"/>
                  <w:vMerge w:val="restart"/>
                  <w:vAlign w:val="center"/>
                </w:tcPr>
                <w:p>
                  <w:pPr>
                    <w:pStyle w:val="100"/>
                    <w:spacing w:line="280" w:lineRule="exact"/>
                    <w:jc w:val="center"/>
                    <w:rPr>
                      <w:rFonts w:cs="Times New Roman"/>
                      <w:color w:val="auto"/>
                      <w:sz w:val="18"/>
                      <w:szCs w:val="18"/>
                    </w:rPr>
                  </w:pPr>
                </w:p>
                <w:p>
                  <w:pPr>
                    <w:pStyle w:val="100"/>
                    <w:spacing w:line="280" w:lineRule="exact"/>
                    <w:jc w:val="center"/>
                    <w:rPr>
                      <w:rFonts w:cs="Times New Roman"/>
                      <w:color w:val="auto"/>
                      <w:sz w:val="18"/>
                      <w:szCs w:val="18"/>
                    </w:rPr>
                  </w:pPr>
                  <w:r>
                    <w:rPr>
                      <w:rFonts w:cs="Times New Roman"/>
                      <w:color w:val="auto"/>
                      <w:sz w:val="18"/>
                      <w:szCs w:val="18"/>
                    </w:rPr>
                    <w:t>排放口类型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dxa"/>
                  <w:vMerge w:val="continue"/>
                  <w:vAlign w:val="center"/>
                </w:tcPr>
                <w:p>
                  <w:pPr>
                    <w:pStyle w:val="33"/>
                    <w:adjustRightInd/>
                    <w:spacing w:line="260" w:lineRule="exact"/>
                    <w:rPr>
                      <w:rFonts w:ascii="Times New Roman" w:hAnsi="Times New Roman" w:eastAsia="宋体" w:cs="Times New Roman"/>
                      <w:color w:val="auto"/>
                      <w:sz w:val="18"/>
                      <w:szCs w:val="18"/>
                    </w:rPr>
                  </w:pPr>
                </w:p>
              </w:tc>
              <w:tc>
                <w:tcPr>
                  <w:tcW w:w="388" w:type="dxa"/>
                  <w:vMerge w:val="continue"/>
                  <w:vAlign w:val="center"/>
                </w:tcPr>
                <w:p>
                  <w:pPr>
                    <w:pStyle w:val="33"/>
                    <w:adjustRightInd/>
                    <w:spacing w:line="260" w:lineRule="exact"/>
                    <w:rPr>
                      <w:rFonts w:ascii="Times New Roman" w:hAnsi="Times New Roman" w:eastAsia="宋体" w:cs="Times New Roman"/>
                      <w:color w:val="auto"/>
                      <w:sz w:val="18"/>
                      <w:szCs w:val="18"/>
                    </w:rPr>
                  </w:pPr>
                </w:p>
              </w:tc>
              <w:tc>
                <w:tcPr>
                  <w:tcW w:w="717" w:type="dxa"/>
                  <w:vMerge w:val="continue"/>
                  <w:vAlign w:val="center"/>
                </w:tcPr>
                <w:p>
                  <w:pPr>
                    <w:pStyle w:val="33"/>
                    <w:adjustRightInd/>
                    <w:spacing w:line="260" w:lineRule="exact"/>
                    <w:rPr>
                      <w:rFonts w:ascii="Times New Roman" w:hAnsi="Times New Roman" w:eastAsia="宋体" w:cs="Times New Roman"/>
                      <w:color w:val="auto"/>
                      <w:sz w:val="18"/>
                      <w:szCs w:val="18"/>
                    </w:rPr>
                  </w:pPr>
                </w:p>
              </w:tc>
              <w:tc>
                <w:tcPr>
                  <w:tcW w:w="646" w:type="dxa"/>
                  <w:vMerge w:val="continue"/>
                  <w:vAlign w:val="center"/>
                </w:tcPr>
                <w:p>
                  <w:pPr>
                    <w:pStyle w:val="33"/>
                    <w:adjustRightInd/>
                    <w:spacing w:line="260" w:lineRule="exact"/>
                    <w:rPr>
                      <w:rFonts w:ascii="Times New Roman" w:hAnsi="Times New Roman" w:eastAsia="宋体" w:cs="Times New Roman"/>
                      <w:color w:val="auto"/>
                      <w:sz w:val="18"/>
                      <w:szCs w:val="18"/>
                    </w:rPr>
                  </w:pPr>
                </w:p>
              </w:tc>
              <w:tc>
                <w:tcPr>
                  <w:tcW w:w="1263" w:type="dxa"/>
                  <w:vMerge w:val="continue"/>
                  <w:vAlign w:val="center"/>
                </w:tcPr>
                <w:p>
                  <w:pPr>
                    <w:pStyle w:val="33"/>
                    <w:adjustRightInd/>
                    <w:spacing w:line="260" w:lineRule="exact"/>
                    <w:rPr>
                      <w:rFonts w:ascii="Times New Roman" w:hAnsi="Times New Roman" w:eastAsia="宋体" w:cs="Times New Roman"/>
                      <w:color w:val="auto"/>
                      <w:sz w:val="18"/>
                      <w:szCs w:val="18"/>
                    </w:rPr>
                  </w:pPr>
                </w:p>
              </w:tc>
              <w:tc>
                <w:tcPr>
                  <w:tcW w:w="632" w:type="dxa"/>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污染治理设施编号</w:t>
                  </w:r>
                </w:p>
              </w:tc>
              <w:tc>
                <w:tcPr>
                  <w:tcW w:w="688" w:type="dxa"/>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污染治理设施名称</w:t>
                  </w:r>
                </w:p>
              </w:tc>
              <w:tc>
                <w:tcPr>
                  <w:tcW w:w="661" w:type="dxa"/>
                  <w:vAlign w:val="center"/>
                </w:tcPr>
                <w:p>
                  <w:pPr>
                    <w:pStyle w:val="33"/>
                    <w:adjustRightInd/>
                    <w:spacing w:line="26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污染治理设施工艺</w:t>
                  </w:r>
                </w:p>
              </w:tc>
              <w:tc>
                <w:tcPr>
                  <w:tcW w:w="589" w:type="dxa"/>
                  <w:vMerge w:val="continue"/>
                  <w:vAlign w:val="center"/>
                </w:tcPr>
                <w:p>
                  <w:pPr>
                    <w:pStyle w:val="33"/>
                    <w:adjustRightInd/>
                    <w:spacing w:line="280" w:lineRule="exact"/>
                    <w:rPr>
                      <w:rFonts w:ascii="Times New Roman" w:hAnsi="Times New Roman" w:eastAsia="宋体" w:cs="Times New Roman"/>
                      <w:color w:val="auto"/>
                      <w:sz w:val="18"/>
                      <w:szCs w:val="18"/>
                    </w:rPr>
                  </w:pPr>
                </w:p>
              </w:tc>
              <w:tc>
                <w:tcPr>
                  <w:tcW w:w="889" w:type="dxa"/>
                  <w:vMerge w:val="continue"/>
                  <w:vAlign w:val="center"/>
                </w:tcPr>
                <w:p>
                  <w:pPr>
                    <w:pStyle w:val="33"/>
                    <w:adjustRightInd/>
                    <w:spacing w:line="280" w:lineRule="exact"/>
                    <w:rPr>
                      <w:rFonts w:ascii="Times New Roman" w:hAnsi="Times New Roman" w:eastAsia="宋体" w:cs="Times New Roman"/>
                      <w:color w:val="auto"/>
                      <w:sz w:val="18"/>
                      <w:szCs w:val="18"/>
                    </w:rPr>
                  </w:pPr>
                </w:p>
              </w:tc>
              <w:tc>
                <w:tcPr>
                  <w:tcW w:w="1651" w:type="dxa"/>
                  <w:vMerge w:val="continue"/>
                  <w:vAlign w:val="center"/>
                </w:tcPr>
                <w:p>
                  <w:pPr>
                    <w:pStyle w:val="100"/>
                    <w:spacing w:line="280" w:lineRule="exact"/>
                    <w:jc w:val="center"/>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dxa"/>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388" w:type="dxa"/>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生活污水</w:t>
                  </w:r>
                </w:p>
              </w:tc>
              <w:tc>
                <w:tcPr>
                  <w:tcW w:w="717" w:type="dxa"/>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COD、氨氮、SS、总磷</w:t>
                  </w:r>
                </w:p>
              </w:tc>
              <w:tc>
                <w:tcPr>
                  <w:tcW w:w="646" w:type="dxa"/>
                  <w:vAlign w:val="center"/>
                </w:tcPr>
                <w:p>
                  <w:pPr>
                    <w:pStyle w:val="33"/>
                    <w:adjustRightInd/>
                    <w:spacing w:line="280" w:lineRule="exact"/>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大块镇</w:t>
                  </w:r>
                  <w:r>
                    <w:rPr>
                      <w:rFonts w:ascii="Times New Roman" w:hAnsi="Times New Roman" w:eastAsia="宋体" w:cs="Times New Roman"/>
                      <w:color w:val="auto"/>
                      <w:sz w:val="18"/>
                      <w:szCs w:val="18"/>
                    </w:rPr>
                    <w:t>污水处理厂</w:t>
                  </w:r>
                </w:p>
              </w:tc>
              <w:tc>
                <w:tcPr>
                  <w:tcW w:w="1263" w:type="dxa"/>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间断排放，排放期间流量不稳定且无规律，但不属于冲击型排放</w:t>
                  </w:r>
                </w:p>
              </w:tc>
              <w:tc>
                <w:tcPr>
                  <w:tcW w:w="632" w:type="dxa"/>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TW001</w:t>
                  </w:r>
                </w:p>
              </w:tc>
              <w:tc>
                <w:tcPr>
                  <w:tcW w:w="688" w:type="dxa"/>
                  <w:vAlign w:val="center"/>
                </w:tcPr>
                <w:p>
                  <w:pPr>
                    <w:pStyle w:val="33"/>
                    <w:adjustRightInd/>
                    <w:spacing w:line="280" w:lineRule="exact"/>
                    <w:ind w:left="1" w:leftChars="-52" w:right="-56" w:rightChars="-20" w:hanging="147" w:hangingChars="82"/>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化粪池</w:t>
                  </w:r>
                </w:p>
              </w:tc>
              <w:tc>
                <w:tcPr>
                  <w:tcW w:w="661" w:type="dxa"/>
                  <w:vAlign w:val="center"/>
                </w:tcPr>
                <w:p>
                  <w:pPr>
                    <w:pStyle w:val="33"/>
                    <w:adjustRightInd/>
                    <w:spacing w:line="280" w:lineRule="exact"/>
                    <w:ind w:left="1" w:leftChars="-52" w:right="-56" w:rightChars="-20" w:hanging="147" w:hangingChars="82"/>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化粪池</w:t>
                  </w:r>
                </w:p>
              </w:tc>
              <w:tc>
                <w:tcPr>
                  <w:tcW w:w="589" w:type="dxa"/>
                  <w:vAlign w:val="center"/>
                </w:tcPr>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DW001</w:t>
                  </w:r>
                </w:p>
              </w:tc>
              <w:tc>
                <w:tcPr>
                  <w:tcW w:w="889" w:type="dxa"/>
                  <w:vAlign w:val="center"/>
                </w:tcPr>
                <w:p>
                  <w:pPr>
                    <w:pStyle w:val="100"/>
                    <w:spacing w:line="280" w:lineRule="exact"/>
                    <w:jc w:val="center"/>
                    <w:rPr>
                      <w:rFonts w:cs="Times New Roman"/>
                      <w:color w:val="auto"/>
                      <w:sz w:val="18"/>
                      <w:szCs w:val="18"/>
                    </w:rPr>
                  </w:pPr>
                  <w:r>
                    <w:rPr>
                      <w:rFonts w:cs="Times New Roman"/>
                      <w:color w:val="auto"/>
                      <w:sz w:val="18"/>
                      <w:szCs w:val="18"/>
                    </w:rPr>
                    <w:sym w:font="Wingdings 2" w:char="0052"/>
                  </w:r>
                  <w:r>
                    <w:rPr>
                      <w:rFonts w:cs="Times New Roman"/>
                      <w:color w:val="auto"/>
                      <w:sz w:val="18"/>
                      <w:szCs w:val="18"/>
                    </w:rPr>
                    <w:t>是</w:t>
                  </w:r>
                </w:p>
                <w:p>
                  <w:pPr>
                    <w:pStyle w:val="33"/>
                    <w:adjustRightInd/>
                    <w:spacing w:line="280" w:lineRule="exact"/>
                    <w:rPr>
                      <w:rFonts w:ascii="Times New Roman" w:hAnsi="Times New Roman" w:eastAsia="宋体" w:cs="Times New Roman"/>
                      <w:color w:val="auto"/>
                      <w:sz w:val="18"/>
                      <w:szCs w:val="18"/>
                    </w:rPr>
                  </w:pPr>
                  <w:r>
                    <w:rPr>
                      <w:rFonts w:cs="Times New Roman" w:asciiTheme="majorEastAsia" w:hAnsiTheme="majorEastAsia" w:eastAsiaTheme="majorEastAsia"/>
                      <w:color w:val="auto"/>
                      <w:sz w:val="18"/>
                      <w:szCs w:val="18"/>
                    </w:rPr>
                    <w:t>□</w:t>
                  </w:r>
                  <w:r>
                    <w:rPr>
                      <w:rFonts w:hint="eastAsia" w:cs="Times New Roman" w:asciiTheme="majorEastAsia" w:hAnsiTheme="majorEastAsia" w:eastAsiaTheme="majorEastAsia"/>
                      <w:color w:val="auto"/>
                      <w:sz w:val="18"/>
                      <w:szCs w:val="18"/>
                    </w:rPr>
                    <w:t xml:space="preserve"> </w:t>
                  </w:r>
                  <w:r>
                    <w:rPr>
                      <w:rFonts w:ascii="Times New Roman" w:hAnsi="Times New Roman" w:eastAsia="宋体" w:cs="Times New Roman"/>
                      <w:color w:val="auto"/>
                      <w:sz w:val="18"/>
                      <w:szCs w:val="18"/>
                    </w:rPr>
                    <w:t>否</w:t>
                  </w:r>
                </w:p>
              </w:tc>
              <w:tc>
                <w:tcPr>
                  <w:tcW w:w="1651" w:type="dxa"/>
                  <w:vAlign w:val="center"/>
                </w:tcPr>
                <w:p>
                  <w:pPr>
                    <w:pStyle w:val="100"/>
                    <w:spacing w:line="280" w:lineRule="exact"/>
                    <w:jc w:val="center"/>
                    <w:rPr>
                      <w:rFonts w:cs="Times New Roman"/>
                      <w:color w:val="auto"/>
                      <w:sz w:val="18"/>
                      <w:szCs w:val="18"/>
                    </w:rPr>
                  </w:pPr>
                  <w:r>
                    <w:rPr>
                      <w:rFonts w:cs="Times New Roman"/>
                      <w:color w:val="auto"/>
                      <w:sz w:val="18"/>
                      <w:szCs w:val="18"/>
                    </w:rPr>
                    <w:sym w:font="Wingdings 2" w:char="0052"/>
                  </w:r>
                  <w:r>
                    <w:rPr>
                      <w:rFonts w:cs="Times New Roman"/>
                      <w:color w:val="auto"/>
                      <w:sz w:val="18"/>
                      <w:szCs w:val="18"/>
                    </w:rPr>
                    <w:t>企业总排</w:t>
                  </w:r>
                </w:p>
                <w:p>
                  <w:pPr>
                    <w:pStyle w:val="100"/>
                    <w:spacing w:line="280" w:lineRule="exact"/>
                    <w:jc w:val="center"/>
                    <w:rPr>
                      <w:rFonts w:cs="Times New Roman"/>
                      <w:color w:val="auto"/>
                      <w:sz w:val="18"/>
                      <w:szCs w:val="18"/>
                    </w:rPr>
                  </w:pPr>
                  <w:r>
                    <w:rPr>
                      <w:rFonts w:cs="Times New Roman"/>
                      <w:color w:val="auto"/>
                      <w:sz w:val="18"/>
                      <w:szCs w:val="18"/>
                    </w:rPr>
                    <w:t>□雨水排放</w:t>
                  </w:r>
                </w:p>
                <w:p>
                  <w:pPr>
                    <w:pStyle w:val="100"/>
                    <w:spacing w:line="280" w:lineRule="exact"/>
                    <w:jc w:val="center"/>
                    <w:rPr>
                      <w:rFonts w:cs="Times New Roman"/>
                      <w:color w:val="auto"/>
                      <w:sz w:val="18"/>
                      <w:szCs w:val="18"/>
                    </w:rPr>
                  </w:pPr>
                  <w:r>
                    <w:rPr>
                      <w:rFonts w:cs="Times New Roman"/>
                      <w:color w:val="auto"/>
                      <w:spacing w:val="-18"/>
                      <w:sz w:val="18"/>
                      <w:szCs w:val="18"/>
                    </w:rPr>
                    <w:t>□清净下水排放</w:t>
                  </w:r>
                </w:p>
                <w:p>
                  <w:pPr>
                    <w:pStyle w:val="100"/>
                    <w:spacing w:line="280" w:lineRule="exact"/>
                    <w:jc w:val="center"/>
                    <w:rPr>
                      <w:rFonts w:cs="Times New Roman"/>
                      <w:color w:val="auto"/>
                      <w:sz w:val="18"/>
                      <w:szCs w:val="18"/>
                    </w:rPr>
                  </w:pPr>
                  <w:r>
                    <w:rPr>
                      <w:rFonts w:cs="Times New Roman"/>
                      <w:color w:val="auto"/>
                      <w:sz w:val="18"/>
                      <w:szCs w:val="18"/>
                    </w:rPr>
                    <w:t>□温排水排放</w:t>
                  </w:r>
                </w:p>
                <w:p>
                  <w:pPr>
                    <w:pStyle w:val="33"/>
                    <w:adjustRightInd/>
                    <w:spacing w:line="28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w:t>
                  </w:r>
                  <w:r>
                    <w:rPr>
                      <w:rFonts w:ascii="Times New Roman" w:hAnsi="Times New Roman" w:eastAsia="宋体" w:cs="Times New Roman"/>
                      <w:color w:val="auto"/>
                      <w:spacing w:val="-66"/>
                      <w:sz w:val="18"/>
                      <w:szCs w:val="18"/>
                    </w:rPr>
                    <w:t xml:space="preserve"> </w:t>
                  </w:r>
                  <w:r>
                    <w:rPr>
                      <w:rFonts w:ascii="Times New Roman" w:hAnsi="Times New Roman" w:eastAsia="宋体" w:cs="Times New Roman"/>
                      <w:color w:val="auto"/>
                      <w:sz w:val="18"/>
                      <w:szCs w:val="18"/>
                    </w:rPr>
                    <w:t>车</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间</w:t>
                  </w:r>
                  <w:r>
                    <w:rPr>
                      <w:rFonts w:ascii="Times New Roman" w:hAnsi="Times New Roman" w:eastAsia="宋体" w:cs="Times New Roman"/>
                      <w:color w:val="auto"/>
                      <w:spacing w:val="-64"/>
                      <w:sz w:val="18"/>
                      <w:szCs w:val="18"/>
                    </w:rPr>
                    <w:t xml:space="preserve"> </w:t>
                  </w:r>
                  <w:r>
                    <w:rPr>
                      <w:rFonts w:ascii="Times New Roman" w:hAnsi="Times New Roman" w:eastAsia="宋体" w:cs="Times New Roman"/>
                      <w:color w:val="auto"/>
                      <w:sz w:val="18"/>
                      <w:szCs w:val="18"/>
                    </w:rPr>
                    <w:t>或</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车</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间处</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理</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设</w:t>
                  </w:r>
                  <w:r>
                    <w:rPr>
                      <w:rFonts w:ascii="Times New Roman" w:hAnsi="Times New Roman" w:eastAsia="宋体" w:cs="Times New Roman"/>
                      <w:color w:val="auto"/>
                      <w:spacing w:val="-64"/>
                      <w:sz w:val="18"/>
                      <w:szCs w:val="18"/>
                    </w:rPr>
                    <w:t xml:space="preserve"> </w:t>
                  </w:r>
                  <w:r>
                    <w:rPr>
                      <w:rFonts w:ascii="Times New Roman" w:hAnsi="Times New Roman" w:eastAsia="宋体" w:cs="Times New Roman"/>
                      <w:color w:val="auto"/>
                      <w:sz w:val="18"/>
                      <w:szCs w:val="18"/>
                    </w:rPr>
                    <w:t>施</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排</w:t>
                  </w:r>
                  <w:r>
                    <w:rPr>
                      <w:rFonts w:ascii="Times New Roman" w:hAnsi="Times New Roman" w:eastAsia="宋体" w:cs="Times New Roman"/>
                      <w:color w:val="auto"/>
                      <w:spacing w:val="-67"/>
                      <w:sz w:val="18"/>
                      <w:szCs w:val="18"/>
                    </w:rPr>
                    <w:t xml:space="preserve"> </w:t>
                  </w:r>
                  <w:r>
                    <w:rPr>
                      <w:rFonts w:ascii="Times New Roman" w:hAnsi="Times New Roman" w:eastAsia="宋体" w:cs="Times New Roman"/>
                      <w:color w:val="auto"/>
                      <w:sz w:val="18"/>
                      <w:szCs w:val="18"/>
                    </w:rPr>
                    <w:t>放口</w:t>
                  </w:r>
                </w:p>
              </w:tc>
            </w:tr>
          </w:tbl>
          <w:p>
            <w:pPr>
              <w:pStyle w:val="33"/>
              <w:spacing w:line="360" w:lineRule="auto"/>
              <w:ind w:left="560" w:leftChars="200"/>
              <w:jc w:val="both"/>
              <w:rPr>
                <w:rFonts w:ascii="Times New Roman" w:hAnsi="Times New Roman" w:eastAsia="宋体" w:cs="Times New Roman"/>
                <w:color w:val="auto"/>
              </w:rPr>
            </w:pPr>
            <w:r>
              <w:rPr>
                <w:rFonts w:ascii="Times New Roman" w:hAnsi="Times New Roman" w:eastAsia="宋体" w:cs="Times New Roman"/>
                <w:color w:val="auto"/>
              </w:rPr>
              <w:t>②废水间接排放口基本情况</w:t>
            </w:r>
          </w:p>
          <w:p>
            <w:pPr>
              <w:pStyle w:val="21"/>
              <w:ind w:firstLine="420"/>
              <w:rPr>
                <w:color w:val="auto"/>
              </w:rPr>
            </w:pPr>
            <w:r>
              <w:rPr>
                <w:rFonts w:hint="eastAsia"/>
                <w:color w:val="auto"/>
              </w:rPr>
              <w:t xml:space="preserve">             </w:t>
            </w:r>
            <w:r>
              <w:rPr>
                <w:color w:val="auto"/>
              </w:rPr>
              <w:t>废水间接排放口基本情况</w:t>
            </w:r>
          </w:p>
          <w:tbl>
            <w:tblPr>
              <w:tblStyle w:val="26"/>
              <w:tblW w:w="8586"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57"/>
              <w:gridCol w:w="580"/>
              <w:gridCol w:w="859"/>
              <w:gridCol w:w="832"/>
              <w:gridCol w:w="653"/>
              <w:gridCol w:w="669"/>
              <w:gridCol w:w="1435"/>
              <w:gridCol w:w="612"/>
              <w:gridCol w:w="640"/>
              <w:gridCol w:w="578"/>
              <w:gridCol w:w="147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0" w:type="dxa"/>
                  <w:vMerge w:val="restart"/>
                  <w:vAlign w:val="center"/>
                </w:tcPr>
                <w:p>
                  <w:pPr>
                    <w:jc w:val="center"/>
                    <w:rPr>
                      <w:rFonts w:cs="Times New Roman"/>
                      <w:color w:val="auto"/>
                      <w:sz w:val="18"/>
                      <w:szCs w:val="18"/>
                    </w:rPr>
                  </w:pPr>
                </w:p>
                <w:p>
                  <w:pPr>
                    <w:jc w:val="center"/>
                    <w:rPr>
                      <w:rFonts w:cs="Times New Roman"/>
                      <w:color w:val="auto"/>
                      <w:sz w:val="18"/>
                      <w:szCs w:val="18"/>
                    </w:rPr>
                  </w:pPr>
                  <w:r>
                    <w:rPr>
                      <w:rFonts w:cs="Times New Roman"/>
                      <w:color w:val="auto"/>
                      <w:sz w:val="18"/>
                      <w:szCs w:val="18"/>
                    </w:rPr>
                    <w:t>序 号</w:t>
                  </w:r>
                </w:p>
              </w:tc>
              <w:tc>
                <w:tcPr>
                  <w:tcW w:w="482" w:type="dxa"/>
                  <w:vMerge w:val="restart"/>
                  <w:vAlign w:val="center"/>
                </w:tcPr>
                <w:p>
                  <w:pPr>
                    <w:jc w:val="center"/>
                    <w:rPr>
                      <w:rFonts w:cs="Times New Roman"/>
                      <w:color w:val="auto"/>
                      <w:sz w:val="18"/>
                      <w:szCs w:val="18"/>
                    </w:rPr>
                  </w:pPr>
                </w:p>
                <w:p>
                  <w:pPr>
                    <w:jc w:val="center"/>
                    <w:rPr>
                      <w:rFonts w:cs="Times New Roman"/>
                      <w:color w:val="auto"/>
                      <w:sz w:val="18"/>
                      <w:szCs w:val="18"/>
                    </w:rPr>
                  </w:pPr>
                  <w:r>
                    <w:rPr>
                      <w:rFonts w:cs="Times New Roman"/>
                      <w:color w:val="auto"/>
                      <w:sz w:val="18"/>
                      <w:szCs w:val="18"/>
                    </w:rPr>
                    <w:t>排放口 编号</w:t>
                  </w:r>
                </w:p>
              </w:tc>
              <w:tc>
                <w:tcPr>
                  <w:tcW w:w="1639" w:type="dxa"/>
                  <w:gridSpan w:val="2"/>
                  <w:vAlign w:val="center"/>
                </w:tcPr>
                <w:p>
                  <w:pPr>
                    <w:jc w:val="center"/>
                    <w:rPr>
                      <w:rFonts w:cs="Times New Roman"/>
                      <w:color w:val="auto"/>
                      <w:sz w:val="18"/>
                      <w:szCs w:val="18"/>
                    </w:rPr>
                  </w:pPr>
                  <w:r>
                    <w:rPr>
                      <w:rFonts w:cs="Times New Roman"/>
                      <w:color w:val="auto"/>
                      <w:sz w:val="18"/>
                      <w:szCs w:val="18"/>
                    </w:rPr>
                    <w:t>排放口地理坐标</w:t>
                  </w:r>
                </w:p>
              </w:tc>
              <w:tc>
                <w:tcPr>
                  <w:tcW w:w="659" w:type="dxa"/>
                  <w:vMerge w:val="restart"/>
                  <w:vAlign w:val="center"/>
                </w:tcPr>
                <w:p>
                  <w:pPr>
                    <w:jc w:val="center"/>
                    <w:rPr>
                      <w:rFonts w:cs="Times New Roman"/>
                      <w:color w:val="auto"/>
                      <w:sz w:val="18"/>
                      <w:szCs w:val="18"/>
                    </w:rPr>
                  </w:pPr>
                  <w:r>
                    <w:rPr>
                      <w:rFonts w:cs="Times New Roman"/>
                      <w:color w:val="auto"/>
                      <w:sz w:val="18"/>
                      <w:szCs w:val="18"/>
                    </w:rPr>
                    <w:t>废水排放量/</w:t>
                  </w:r>
                </w:p>
                <w:p>
                  <w:pPr>
                    <w:jc w:val="center"/>
                    <w:rPr>
                      <w:rFonts w:cs="Times New Roman"/>
                      <w:color w:val="auto"/>
                      <w:sz w:val="18"/>
                      <w:szCs w:val="18"/>
                    </w:rPr>
                  </w:pPr>
                  <w:r>
                    <w:rPr>
                      <w:rFonts w:cs="Times New Roman"/>
                      <w:color w:val="auto"/>
                      <w:sz w:val="18"/>
                      <w:szCs w:val="18"/>
                    </w:rPr>
                    <w:t>（万t/a）</w:t>
                  </w:r>
                </w:p>
              </w:tc>
              <w:tc>
                <w:tcPr>
                  <w:tcW w:w="688" w:type="dxa"/>
                  <w:vMerge w:val="restart"/>
                  <w:vAlign w:val="center"/>
                </w:tcPr>
                <w:p>
                  <w:pPr>
                    <w:jc w:val="center"/>
                    <w:rPr>
                      <w:rFonts w:cs="Times New Roman"/>
                      <w:color w:val="auto"/>
                      <w:sz w:val="18"/>
                      <w:szCs w:val="18"/>
                    </w:rPr>
                  </w:pPr>
                  <w:r>
                    <w:rPr>
                      <w:rFonts w:cs="Times New Roman"/>
                      <w:color w:val="auto"/>
                      <w:sz w:val="18"/>
                      <w:szCs w:val="18"/>
                    </w:rPr>
                    <w:t>排放去向</w:t>
                  </w:r>
                </w:p>
              </w:tc>
              <w:tc>
                <w:tcPr>
                  <w:tcW w:w="1478" w:type="dxa"/>
                  <w:vMerge w:val="restart"/>
                  <w:vAlign w:val="center"/>
                </w:tcPr>
                <w:p>
                  <w:pPr>
                    <w:jc w:val="center"/>
                    <w:rPr>
                      <w:rFonts w:cs="Times New Roman"/>
                      <w:color w:val="auto"/>
                      <w:sz w:val="18"/>
                      <w:szCs w:val="18"/>
                    </w:rPr>
                  </w:pPr>
                  <w:r>
                    <w:rPr>
                      <w:rFonts w:cs="Times New Roman"/>
                      <w:color w:val="auto"/>
                      <w:sz w:val="18"/>
                      <w:szCs w:val="18"/>
                    </w:rPr>
                    <w:t>排放 规律</w:t>
                  </w:r>
                </w:p>
              </w:tc>
              <w:tc>
                <w:tcPr>
                  <w:tcW w:w="629" w:type="dxa"/>
                  <w:vMerge w:val="restart"/>
                  <w:vAlign w:val="center"/>
                </w:tcPr>
                <w:p>
                  <w:pPr>
                    <w:jc w:val="center"/>
                    <w:rPr>
                      <w:rFonts w:cs="Times New Roman"/>
                      <w:color w:val="auto"/>
                      <w:sz w:val="18"/>
                      <w:szCs w:val="18"/>
                    </w:rPr>
                  </w:pPr>
                  <w:r>
                    <w:rPr>
                      <w:rFonts w:cs="Times New Roman"/>
                      <w:color w:val="auto"/>
                      <w:sz w:val="18"/>
                      <w:szCs w:val="18"/>
                    </w:rPr>
                    <w:t>间歇排放时段</w:t>
                  </w:r>
                </w:p>
              </w:tc>
              <w:tc>
                <w:tcPr>
                  <w:tcW w:w="2751" w:type="dxa"/>
                  <w:gridSpan w:val="3"/>
                  <w:vAlign w:val="center"/>
                </w:tcPr>
                <w:p>
                  <w:pPr>
                    <w:jc w:val="center"/>
                    <w:rPr>
                      <w:rFonts w:cs="Times New Roman"/>
                      <w:color w:val="auto"/>
                      <w:sz w:val="18"/>
                      <w:szCs w:val="18"/>
                    </w:rPr>
                  </w:pPr>
                  <w:r>
                    <w:rPr>
                      <w:rFonts w:cs="Times New Roman"/>
                      <w:color w:val="auto"/>
                      <w:sz w:val="18"/>
                      <w:szCs w:val="18"/>
                    </w:rPr>
                    <w:t>受纳污水处理厂信息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60" w:type="dxa"/>
                  <w:vMerge w:val="continue"/>
                  <w:vAlign w:val="center"/>
                </w:tcPr>
                <w:p>
                  <w:pPr>
                    <w:jc w:val="center"/>
                    <w:rPr>
                      <w:rFonts w:cs="Times New Roman"/>
                      <w:color w:val="auto"/>
                      <w:sz w:val="18"/>
                      <w:szCs w:val="18"/>
                    </w:rPr>
                  </w:pPr>
                </w:p>
              </w:tc>
              <w:tc>
                <w:tcPr>
                  <w:tcW w:w="482" w:type="dxa"/>
                  <w:vMerge w:val="continue"/>
                  <w:vAlign w:val="center"/>
                </w:tcPr>
                <w:p>
                  <w:pPr>
                    <w:jc w:val="center"/>
                    <w:rPr>
                      <w:rFonts w:cs="Times New Roman"/>
                      <w:color w:val="auto"/>
                      <w:sz w:val="18"/>
                      <w:szCs w:val="18"/>
                    </w:rPr>
                  </w:pPr>
                </w:p>
              </w:tc>
              <w:tc>
                <w:tcPr>
                  <w:tcW w:w="805" w:type="dxa"/>
                  <w:vAlign w:val="center"/>
                </w:tcPr>
                <w:p>
                  <w:pPr>
                    <w:jc w:val="center"/>
                    <w:rPr>
                      <w:rFonts w:cs="Times New Roman"/>
                      <w:color w:val="auto"/>
                      <w:sz w:val="18"/>
                      <w:szCs w:val="18"/>
                    </w:rPr>
                  </w:pPr>
                  <w:r>
                    <w:rPr>
                      <w:rFonts w:cs="Times New Roman"/>
                      <w:color w:val="auto"/>
                      <w:sz w:val="18"/>
                      <w:szCs w:val="18"/>
                    </w:rPr>
                    <w:t>经度</w:t>
                  </w:r>
                </w:p>
              </w:tc>
              <w:tc>
                <w:tcPr>
                  <w:tcW w:w="834" w:type="dxa"/>
                  <w:vAlign w:val="center"/>
                </w:tcPr>
                <w:p>
                  <w:pPr>
                    <w:jc w:val="center"/>
                    <w:rPr>
                      <w:rFonts w:cs="Times New Roman"/>
                      <w:color w:val="auto"/>
                      <w:sz w:val="18"/>
                      <w:szCs w:val="18"/>
                    </w:rPr>
                  </w:pPr>
                  <w:r>
                    <w:rPr>
                      <w:rFonts w:cs="Times New Roman"/>
                      <w:color w:val="auto"/>
                      <w:sz w:val="18"/>
                      <w:szCs w:val="18"/>
                    </w:rPr>
                    <w:t>纬度</w:t>
                  </w:r>
                </w:p>
              </w:tc>
              <w:tc>
                <w:tcPr>
                  <w:tcW w:w="659" w:type="dxa"/>
                  <w:vMerge w:val="continue"/>
                  <w:vAlign w:val="center"/>
                </w:tcPr>
                <w:p>
                  <w:pPr>
                    <w:jc w:val="center"/>
                    <w:rPr>
                      <w:rFonts w:cs="Times New Roman"/>
                      <w:color w:val="auto"/>
                      <w:sz w:val="18"/>
                      <w:szCs w:val="18"/>
                    </w:rPr>
                  </w:pPr>
                </w:p>
              </w:tc>
              <w:tc>
                <w:tcPr>
                  <w:tcW w:w="688" w:type="dxa"/>
                  <w:vMerge w:val="continue"/>
                  <w:vAlign w:val="center"/>
                </w:tcPr>
                <w:p>
                  <w:pPr>
                    <w:jc w:val="center"/>
                    <w:rPr>
                      <w:rFonts w:cs="Times New Roman"/>
                      <w:color w:val="auto"/>
                      <w:sz w:val="18"/>
                      <w:szCs w:val="18"/>
                    </w:rPr>
                  </w:pPr>
                </w:p>
              </w:tc>
              <w:tc>
                <w:tcPr>
                  <w:tcW w:w="1478" w:type="dxa"/>
                  <w:vMerge w:val="continue"/>
                  <w:vAlign w:val="center"/>
                </w:tcPr>
                <w:p>
                  <w:pPr>
                    <w:jc w:val="center"/>
                    <w:rPr>
                      <w:rFonts w:cs="Times New Roman"/>
                      <w:color w:val="auto"/>
                      <w:sz w:val="18"/>
                      <w:szCs w:val="18"/>
                    </w:rPr>
                  </w:pPr>
                </w:p>
              </w:tc>
              <w:tc>
                <w:tcPr>
                  <w:tcW w:w="629" w:type="dxa"/>
                  <w:vMerge w:val="continue"/>
                  <w:vAlign w:val="center"/>
                </w:tcPr>
                <w:p>
                  <w:pPr>
                    <w:jc w:val="center"/>
                    <w:rPr>
                      <w:rFonts w:cs="Times New Roman"/>
                      <w:color w:val="auto"/>
                      <w:sz w:val="18"/>
                      <w:szCs w:val="18"/>
                    </w:rPr>
                  </w:pPr>
                </w:p>
              </w:tc>
              <w:tc>
                <w:tcPr>
                  <w:tcW w:w="658" w:type="dxa"/>
                  <w:vAlign w:val="center"/>
                </w:tcPr>
                <w:p>
                  <w:pPr>
                    <w:jc w:val="center"/>
                    <w:rPr>
                      <w:rFonts w:cs="Times New Roman"/>
                      <w:color w:val="auto"/>
                      <w:sz w:val="18"/>
                      <w:szCs w:val="18"/>
                    </w:rPr>
                  </w:pPr>
                  <w:r>
                    <w:rPr>
                      <w:rFonts w:cs="Times New Roman"/>
                      <w:color w:val="auto"/>
                      <w:sz w:val="18"/>
                      <w:szCs w:val="18"/>
                    </w:rPr>
                    <w:t>名称</w:t>
                  </w:r>
                </w:p>
              </w:tc>
              <w:tc>
                <w:tcPr>
                  <w:tcW w:w="586" w:type="dxa"/>
                  <w:vAlign w:val="center"/>
                </w:tcPr>
                <w:p>
                  <w:pPr>
                    <w:jc w:val="center"/>
                    <w:rPr>
                      <w:rFonts w:cs="Times New Roman"/>
                      <w:color w:val="auto"/>
                      <w:sz w:val="18"/>
                      <w:szCs w:val="18"/>
                    </w:rPr>
                  </w:pPr>
                  <w:r>
                    <w:rPr>
                      <w:rFonts w:cs="Times New Roman"/>
                      <w:color w:val="auto"/>
                      <w:sz w:val="18"/>
                      <w:szCs w:val="18"/>
                    </w:rPr>
                    <w:t>污染物种类</w:t>
                  </w:r>
                </w:p>
              </w:tc>
              <w:tc>
                <w:tcPr>
                  <w:tcW w:w="1507" w:type="dxa"/>
                  <w:vAlign w:val="center"/>
                </w:tcPr>
                <w:p>
                  <w:pPr>
                    <w:jc w:val="center"/>
                    <w:rPr>
                      <w:rFonts w:cs="Times New Roman"/>
                      <w:color w:val="auto"/>
                      <w:sz w:val="18"/>
                      <w:szCs w:val="18"/>
                    </w:rPr>
                  </w:pPr>
                  <w:r>
                    <w:rPr>
                      <w:rFonts w:cs="Times New Roman"/>
                      <w:color w:val="auto"/>
                      <w:sz w:val="18"/>
                      <w:szCs w:val="18"/>
                    </w:rPr>
                    <w:t>国家或地方污染物排放 标准浓度限值/(mg/L)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260" w:type="dxa"/>
                  <w:vMerge w:val="restart"/>
                  <w:vAlign w:val="center"/>
                </w:tcPr>
                <w:p>
                  <w:pPr>
                    <w:jc w:val="center"/>
                    <w:rPr>
                      <w:rFonts w:cs="Times New Roman"/>
                      <w:color w:val="auto"/>
                      <w:sz w:val="18"/>
                      <w:szCs w:val="18"/>
                    </w:rPr>
                  </w:pPr>
                </w:p>
                <w:p>
                  <w:pPr>
                    <w:jc w:val="center"/>
                    <w:rPr>
                      <w:rFonts w:cs="Times New Roman"/>
                      <w:color w:val="auto"/>
                      <w:sz w:val="18"/>
                      <w:szCs w:val="18"/>
                    </w:rPr>
                  </w:pPr>
                  <w:r>
                    <w:rPr>
                      <w:rFonts w:cs="Times New Roman"/>
                      <w:color w:val="auto"/>
                      <w:sz w:val="18"/>
                      <w:szCs w:val="18"/>
                    </w:rPr>
                    <w:t>1</w:t>
                  </w:r>
                </w:p>
              </w:tc>
              <w:tc>
                <w:tcPr>
                  <w:tcW w:w="482" w:type="dxa"/>
                  <w:vMerge w:val="restart"/>
                  <w:vAlign w:val="center"/>
                </w:tcPr>
                <w:p>
                  <w:pPr>
                    <w:jc w:val="center"/>
                    <w:rPr>
                      <w:rFonts w:cs="Times New Roman"/>
                      <w:color w:val="auto"/>
                      <w:sz w:val="18"/>
                      <w:szCs w:val="18"/>
                    </w:rPr>
                  </w:pPr>
                  <w:r>
                    <w:rPr>
                      <w:rFonts w:cs="Times New Roman"/>
                      <w:color w:val="auto"/>
                      <w:sz w:val="18"/>
                      <w:szCs w:val="18"/>
                    </w:rPr>
                    <w:t>DW001</w:t>
                  </w:r>
                </w:p>
              </w:tc>
              <w:tc>
                <w:tcPr>
                  <w:tcW w:w="805" w:type="dxa"/>
                  <w:vMerge w:val="restart"/>
                  <w:vAlign w:val="center"/>
                </w:tcPr>
                <w:p>
                  <w:pPr>
                    <w:jc w:val="center"/>
                    <w:rPr>
                      <w:rFonts w:cs="Times New Roman"/>
                      <w:color w:val="auto"/>
                      <w:sz w:val="18"/>
                      <w:szCs w:val="18"/>
                    </w:rPr>
                  </w:pPr>
                  <w:r>
                    <w:rPr>
                      <w:rFonts w:hint="eastAsia" w:cs="Times New Roman"/>
                      <w:color w:val="auto"/>
                      <w:sz w:val="18"/>
                      <w:szCs w:val="18"/>
                    </w:rPr>
                    <w:t>113.845554</w:t>
                  </w:r>
                </w:p>
              </w:tc>
              <w:tc>
                <w:tcPr>
                  <w:tcW w:w="834" w:type="dxa"/>
                  <w:vMerge w:val="restart"/>
                  <w:vAlign w:val="center"/>
                </w:tcPr>
                <w:p>
                  <w:pPr>
                    <w:jc w:val="center"/>
                    <w:rPr>
                      <w:rFonts w:cs="Times New Roman"/>
                      <w:color w:val="auto"/>
                      <w:sz w:val="18"/>
                      <w:szCs w:val="18"/>
                    </w:rPr>
                  </w:pPr>
                  <w:r>
                    <w:rPr>
                      <w:rFonts w:hint="eastAsia" w:cs="Times New Roman"/>
                      <w:color w:val="auto"/>
                      <w:sz w:val="18"/>
                      <w:szCs w:val="18"/>
                    </w:rPr>
                    <w:t>35.366139</w:t>
                  </w:r>
                </w:p>
              </w:tc>
              <w:tc>
                <w:tcPr>
                  <w:tcW w:w="659" w:type="dxa"/>
                  <w:vMerge w:val="restart"/>
                  <w:vAlign w:val="center"/>
                </w:tcPr>
                <w:p>
                  <w:pPr>
                    <w:jc w:val="center"/>
                    <w:rPr>
                      <w:rFonts w:cs="Times New Roman"/>
                      <w:color w:val="auto"/>
                      <w:sz w:val="18"/>
                      <w:szCs w:val="18"/>
                    </w:rPr>
                  </w:pPr>
                  <w:r>
                    <w:rPr>
                      <w:rFonts w:hint="eastAsia" w:cs="Times New Roman"/>
                      <w:color w:val="auto"/>
                      <w:sz w:val="18"/>
                      <w:szCs w:val="18"/>
                    </w:rPr>
                    <w:t>0.0072</w:t>
                  </w:r>
                </w:p>
              </w:tc>
              <w:tc>
                <w:tcPr>
                  <w:tcW w:w="688" w:type="dxa"/>
                  <w:vMerge w:val="restart"/>
                  <w:vAlign w:val="center"/>
                </w:tcPr>
                <w:p>
                  <w:pPr>
                    <w:jc w:val="center"/>
                    <w:rPr>
                      <w:rFonts w:cs="Times New Roman"/>
                      <w:color w:val="auto"/>
                      <w:sz w:val="18"/>
                      <w:szCs w:val="18"/>
                    </w:rPr>
                  </w:pPr>
                  <w:r>
                    <w:rPr>
                      <w:rFonts w:hint="eastAsia" w:cs="Times New Roman"/>
                      <w:color w:val="auto"/>
                      <w:sz w:val="18"/>
                      <w:szCs w:val="18"/>
                    </w:rPr>
                    <w:t>大块镇</w:t>
                  </w:r>
                  <w:r>
                    <w:rPr>
                      <w:rFonts w:cs="Times New Roman"/>
                      <w:color w:val="auto"/>
                      <w:sz w:val="18"/>
                      <w:szCs w:val="18"/>
                    </w:rPr>
                    <w:t>污水处理厂</w:t>
                  </w:r>
                </w:p>
              </w:tc>
              <w:tc>
                <w:tcPr>
                  <w:tcW w:w="1478" w:type="dxa"/>
                  <w:vMerge w:val="restart"/>
                  <w:vAlign w:val="center"/>
                </w:tcPr>
                <w:p>
                  <w:pPr>
                    <w:jc w:val="center"/>
                    <w:rPr>
                      <w:rFonts w:cs="Times New Roman"/>
                      <w:color w:val="auto"/>
                      <w:sz w:val="18"/>
                      <w:szCs w:val="18"/>
                    </w:rPr>
                  </w:pPr>
                  <w:r>
                    <w:rPr>
                      <w:rFonts w:cs="Times New Roman"/>
                      <w:color w:val="auto"/>
                      <w:sz w:val="18"/>
                      <w:szCs w:val="18"/>
                    </w:rPr>
                    <w:t>间断排放，排放期间流量不稳定且无规律，但不属于冲击型排放</w:t>
                  </w:r>
                </w:p>
              </w:tc>
              <w:tc>
                <w:tcPr>
                  <w:tcW w:w="629" w:type="dxa"/>
                  <w:vMerge w:val="restart"/>
                  <w:vAlign w:val="center"/>
                </w:tcPr>
                <w:p>
                  <w:pPr>
                    <w:jc w:val="center"/>
                    <w:rPr>
                      <w:rFonts w:cs="Times New Roman"/>
                      <w:color w:val="auto"/>
                      <w:sz w:val="18"/>
                      <w:szCs w:val="18"/>
                    </w:rPr>
                  </w:pPr>
                  <w:r>
                    <w:rPr>
                      <w:rFonts w:cs="Times New Roman"/>
                      <w:color w:val="auto"/>
                      <w:sz w:val="18"/>
                      <w:szCs w:val="18"/>
                    </w:rPr>
                    <w:t>/</w:t>
                  </w:r>
                </w:p>
                <w:p>
                  <w:pPr>
                    <w:jc w:val="center"/>
                    <w:rPr>
                      <w:rFonts w:cs="Times New Roman"/>
                      <w:color w:val="auto"/>
                      <w:sz w:val="18"/>
                      <w:szCs w:val="18"/>
                    </w:rPr>
                  </w:pPr>
                </w:p>
              </w:tc>
              <w:tc>
                <w:tcPr>
                  <w:tcW w:w="658" w:type="dxa"/>
                  <w:vMerge w:val="restart"/>
                  <w:vAlign w:val="center"/>
                </w:tcPr>
                <w:p>
                  <w:pPr>
                    <w:jc w:val="center"/>
                    <w:rPr>
                      <w:rFonts w:cs="Times New Roman"/>
                      <w:color w:val="auto"/>
                      <w:sz w:val="18"/>
                      <w:szCs w:val="18"/>
                    </w:rPr>
                  </w:pPr>
                  <w:r>
                    <w:rPr>
                      <w:rFonts w:hint="eastAsia" w:cs="Times New Roman"/>
                      <w:color w:val="auto"/>
                      <w:sz w:val="18"/>
                      <w:szCs w:val="18"/>
                    </w:rPr>
                    <w:t>大块镇</w:t>
                  </w:r>
                  <w:r>
                    <w:rPr>
                      <w:rFonts w:cs="Times New Roman"/>
                      <w:color w:val="auto"/>
                      <w:sz w:val="18"/>
                      <w:szCs w:val="18"/>
                    </w:rPr>
                    <w:t>污水处理厂</w:t>
                  </w:r>
                </w:p>
              </w:tc>
              <w:tc>
                <w:tcPr>
                  <w:tcW w:w="586" w:type="dxa"/>
                  <w:vAlign w:val="center"/>
                </w:tcPr>
                <w:p>
                  <w:pPr>
                    <w:jc w:val="center"/>
                    <w:rPr>
                      <w:rFonts w:cs="Times New Roman"/>
                      <w:color w:val="auto"/>
                      <w:sz w:val="18"/>
                      <w:szCs w:val="18"/>
                    </w:rPr>
                  </w:pPr>
                  <w:r>
                    <w:rPr>
                      <w:rFonts w:cs="Times New Roman"/>
                      <w:color w:val="auto"/>
                      <w:sz w:val="18"/>
                      <w:szCs w:val="18"/>
                    </w:rPr>
                    <w:t>COD</w:t>
                  </w:r>
                </w:p>
              </w:tc>
              <w:tc>
                <w:tcPr>
                  <w:tcW w:w="1507" w:type="dxa"/>
                  <w:vAlign w:val="center"/>
                </w:tcPr>
                <w:p>
                  <w:pPr>
                    <w:jc w:val="center"/>
                    <w:rPr>
                      <w:rFonts w:cs="Times New Roman"/>
                      <w:color w:val="auto"/>
                      <w:sz w:val="18"/>
                      <w:szCs w:val="18"/>
                    </w:rPr>
                  </w:pPr>
                  <w:r>
                    <w:rPr>
                      <w:rFonts w:cs="Times New Roman"/>
                      <w:color w:val="auto"/>
                      <w:sz w:val="18"/>
                      <w:szCs w:val="18"/>
                    </w:rPr>
                    <w:t>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42" w:hRule="atLeast"/>
              </w:trPr>
              <w:tc>
                <w:tcPr>
                  <w:tcW w:w="260" w:type="dxa"/>
                  <w:vMerge w:val="continue"/>
                  <w:vAlign w:val="center"/>
                </w:tcPr>
                <w:p>
                  <w:pPr>
                    <w:jc w:val="center"/>
                    <w:rPr>
                      <w:rFonts w:cs="Times New Roman"/>
                      <w:color w:val="auto"/>
                      <w:sz w:val="18"/>
                      <w:szCs w:val="18"/>
                    </w:rPr>
                  </w:pPr>
                </w:p>
              </w:tc>
              <w:tc>
                <w:tcPr>
                  <w:tcW w:w="482" w:type="dxa"/>
                  <w:vMerge w:val="continue"/>
                  <w:vAlign w:val="center"/>
                </w:tcPr>
                <w:p>
                  <w:pPr>
                    <w:jc w:val="center"/>
                    <w:rPr>
                      <w:rFonts w:cs="Times New Roman"/>
                      <w:color w:val="auto"/>
                      <w:sz w:val="18"/>
                      <w:szCs w:val="18"/>
                    </w:rPr>
                  </w:pPr>
                </w:p>
              </w:tc>
              <w:tc>
                <w:tcPr>
                  <w:tcW w:w="805" w:type="dxa"/>
                  <w:vMerge w:val="continue"/>
                  <w:vAlign w:val="center"/>
                </w:tcPr>
                <w:p>
                  <w:pPr>
                    <w:jc w:val="center"/>
                    <w:rPr>
                      <w:rFonts w:cs="Times New Roman"/>
                      <w:color w:val="auto"/>
                      <w:sz w:val="18"/>
                      <w:szCs w:val="18"/>
                    </w:rPr>
                  </w:pPr>
                </w:p>
              </w:tc>
              <w:tc>
                <w:tcPr>
                  <w:tcW w:w="834" w:type="dxa"/>
                  <w:vMerge w:val="continue"/>
                  <w:vAlign w:val="center"/>
                </w:tcPr>
                <w:p>
                  <w:pPr>
                    <w:jc w:val="center"/>
                    <w:rPr>
                      <w:rFonts w:cs="Times New Roman"/>
                      <w:color w:val="auto"/>
                      <w:sz w:val="18"/>
                      <w:szCs w:val="18"/>
                    </w:rPr>
                  </w:pPr>
                </w:p>
              </w:tc>
              <w:tc>
                <w:tcPr>
                  <w:tcW w:w="659" w:type="dxa"/>
                  <w:vMerge w:val="continue"/>
                  <w:vAlign w:val="center"/>
                </w:tcPr>
                <w:p>
                  <w:pPr>
                    <w:jc w:val="center"/>
                    <w:rPr>
                      <w:rFonts w:cs="Times New Roman"/>
                      <w:color w:val="auto"/>
                      <w:sz w:val="18"/>
                      <w:szCs w:val="18"/>
                    </w:rPr>
                  </w:pPr>
                </w:p>
              </w:tc>
              <w:tc>
                <w:tcPr>
                  <w:tcW w:w="688" w:type="dxa"/>
                  <w:vMerge w:val="continue"/>
                  <w:vAlign w:val="center"/>
                </w:tcPr>
                <w:p>
                  <w:pPr>
                    <w:jc w:val="center"/>
                    <w:rPr>
                      <w:rFonts w:cs="Times New Roman"/>
                      <w:color w:val="auto"/>
                      <w:sz w:val="18"/>
                      <w:szCs w:val="18"/>
                    </w:rPr>
                  </w:pPr>
                </w:p>
              </w:tc>
              <w:tc>
                <w:tcPr>
                  <w:tcW w:w="1478" w:type="dxa"/>
                  <w:vMerge w:val="continue"/>
                  <w:vAlign w:val="center"/>
                </w:tcPr>
                <w:p>
                  <w:pPr>
                    <w:jc w:val="center"/>
                    <w:rPr>
                      <w:rFonts w:cs="Times New Roman"/>
                      <w:color w:val="auto"/>
                      <w:sz w:val="18"/>
                      <w:szCs w:val="18"/>
                    </w:rPr>
                  </w:pPr>
                </w:p>
              </w:tc>
              <w:tc>
                <w:tcPr>
                  <w:tcW w:w="629" w:type="dxa"/>
                  <w:vMerge w:val="continue"/>
                  <w:vAlign w:val="center"/>
                </w:tcPr>
                <w:p>
                  <w:pPr>
                    <w:jc w:val="center"/>
                    <w:rPr>
                      <w:rFonts w:cs="Times New Roman"/>
                      <w:color w:val="auto"/>
                      <w:sz w:val="18"/>
                      <w:szCs w:val="18"/>
                    </w:rPr>
                  </w:pPr>
                </w:p>
              </w:tc>
              <w:tc>
                <w:tcPr>
                  <w:tcW w:w="658" w:type="dxa"/>
                  <w:vMerge w:val="continue"/>
                  <w:vAlign w:val="center"/>
                </w:tcPr>
                <w:p>
                  <w:pPr>
                    <w:jc w:val="center"/>
                    <w:rPr>
                      <w:rFonts w:cs="Times New Roman"/>
                      <w:color w:val="auto"/>
                      <w:sz w:val="18"/>
                      <w:szCs w:val="18"/>
                    </w:rPr>
                  </w:pPr>
                </w:p>
              </w:tc>
              <w:tc>
                <w:tcPr>
                  <w:tcW w:w="586" w:type="dxa"/>
                  <w:vAlign w:val="center"/>
                </w:tcPr>
                <w:p>
                  <w:pPr>
                    <w:jc w:val="center"/>
                    <w:rPr>
                      <w:rFonts w:cs="Times New Roman"/>
                      <w:color w:val="auto"/>
                      <w:sz w:val="18"/>
                      <w:szCs w:val="18"/>
                    </w:rPr>
                  </w:pPr>
                  <w:r>
                    <w:rPr>
                      <w:rFonts w:cs="Times New Roman"/>
                      <w:color w:val="auto"/>
                      <w:sz w:val="18"/>
                      <w:szCs w:val="18"/>
                    </w:rPr>
                    <w:t>氨氮</w:t>
                  </w:r>
                </w:p>
              </w:tc>
              <w:tc>
                <w:tcPr>
                  <w:tcW w:w="1507" w:type="dxa"/>
                  <w:vAlign w:val="center"/>
                </w:tcPr>
                <w:p>
                  <w:pPr>
                    <w:jc w:val="center"/>
                    <w:rPr>
                      <w:rFonts w:cs="Times New Roman"/>
                      <w:color w:val="auto"/>
                      <w:sz w:val="18"/>
                      <w:szCs w:val="18"/>
                    </w:rPr>
                  </w:pPr>
                  <w:r>
                    <w:rPr>
                      <w:rFonts w:cs="Times New Roman"/>
                      <w:color w:val="auto"/>
                      <w:sz w:val="18"/>
                      <w:szCs w:val="18"/>
                    </w:rPr>
                    <w:t>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199" w:hRule="atLeast"/>
              </w:trPr>
              <w:tc>
                <w:tcPr>
                  <w:tcW w:w="260" w:type="dxa"/>
                  <w:vMerge w:val="continue"/>
                  <w:vAlign w:val="center"/>
                </w:tcPr>
                <w:p>
                  <w:pPr>
                    <w:jc w:val="center"/>
                    <w:rPr>
                      <w:rFonts w:cs="Times New Roman"/>
                      <w:color w:val="auto"/>
                      <w:sz w:val="18"/>
                      <w:szCs w:val="18"/>
                    </w:rPr>
                  </w:pPr>
                </w:p>
              </w:tc>
              <w:tc>
                <w:tcPr>
                  <w:tcW w:w="482" w:type="dxa"/>
                  <w:vMerge w:val="continue"/>
                  <w:vAlign w:val="center"/>
                </w:tcPr>
                <w:p>
                  <w:pPr>
                    <w:jc w:val="center"/>
                    <w:rPr>
                      <w:rFonts w:cs="Times New Roman"/>
                      <w:color w:val="auto"/>
                      <w:sz w:val="18"/>
                      <w:szCs w:val="18"/>
                    </w:rPr>
                  </w:pPr>
                </w:p>
              </w:tc>
              <w:tc>
                <w:tcPr>
                  <w:tcW w:w="805" w:type="dxa"/>
                  <w:vMerge w:val="continue"/>
                  <w:vAlign w:val="center"/>
                </w:tcPr>
                <w:p>
                  <w:pPr>
                    <w:jc w:val="center"/>
                    <w:rPr>
                      <w:rFonts w:cs="Times New Roman"/>
                      <w:color w:val="auto"/>
                      <w:sz w:val="18"/>
                      <w:szCs w:val="18"/>
                    </w:rPr>
                  </w:pPr>
                </w:p>
              </w:tc>
              <w:tc>
                <w:tcPr>
                  <w:tcW w:w="834" w:type="dxa"/>
                  <w:vMerge w:val="continue"/>
                  <w:vAlign w:val="center"/>
                </w:tcPr>
                <w:p>
                  <w:pPr>
                    <w:jc w:val="center"/>
                    <w:rPr>
                      <w:rFonts w:cs="Times New Roman"/>
                      <w:color w:val="auto"/>
                      <w:sz w:val="18"/>
                      <w:szCs w:val="18"/>
                    </w:rPr>
                  </w:pPr>
                </w:p>
              </w:tc>
              <w:tc>
                <w:tcPr>
                  <w:tcW w:w="659" w:type="dxa"/>
                  <w:vMerge w:val="continue"/>
                  <w:vAlign w:val="center"/>
                </w:tcPr>
                <w:p>
                  <w:pPr>
                    <w:jc w:val="center"/>
                    <w:rPr>
                      <w:rFonts w:cs="Times New Roman"/>
                      <w:color w:val="auto"/>
                      <w:sz w:val="18"/>
                      <w:szCs w:val="18"/>
                    </w:rPr>
                  </w:pPr>
                </w:p>
              </w:tc>
              <w:tc>
                <w:tcPr>
                  <w:tcW w:w="688" w:type="dxa"/>
                  <w:vMerge w:val="continue"/>
                  <w:vAlign w:val="center"/>
                </w:tcPr>
                <w:p>
                  <w:pPr>
                    <w:jc w:val="center"/>
                    <w:rPr>
                      <w:rFonts w:cs="Times New Roman"/>
                      <w:color w:val="auto"/>
                      <w:sz w:val="18"/>
                      <w:szCs w:val="18"/>
                    </w:rPr>
                  </w:pPr>
                </w:p>
              </w:tc>
              <w:tc>
                <w:tcPr>
                  <w:tcW w:w="1478" w:type="dxa"/>
                  <w:vMerge w:val="continue"/>
                  <w:vAlign w:val="center"/>
                </w:tcPr>
                <w:p>
                  <w:pPr>
                    <w:jc w:val="center"/>
                    <w:rPr>
                      <w:rFonts w:cs="Times New Roman"/>
                      <w:color w:val="auto"/>
                      <w:sz w:val="18"/>
                      <w:szCs w:val="18"/>
                    </w:rPr>
                  </w:pPr>
                </w:p>
              </w:tc>
              <w:tc>
                <w:tcPr>
                  <w:tcW w:w="629" w:type="dxa"/>
                  <w:vMerge w:val="continue"/>
                  <w:vAlign w:val="center"/>
                </w:tcPr>
                <w:p>
                  <w:pPr>
                    <w:jc w:val="center"/>
                    <w:rPr>
                      <w:rFonts w:cs="Times New Roman"/>
                      <w:color w:val="auto"/>
                      <w:sz w:val="18"/>
                      <w:szCs w:val="18"/>
                    </w:rPr>
                  </w:pPr>
                </w:p>
              </w:tc>
              <w:tc>
                <w:tcPr>
                  <w:tcW w:w="658" w:type="dxa"/>
                  <w:vMerge w:val="continue"/>
                  <w:vAlign w:val="center"/>
                </w:tcPr>
                <w:p>
                  <w:pPr>
                    <w:jc w:val="center"/>
                    <w:rPr>
                      <w:rFonts w:cs="Times New Roman"/>
                      <w:color w:val="auto"/>
                      <w:sz w:val="18"/>
                      <w:szCs w:val="18"/>
                    </w:rPr>
                  </w:pPr>
                </w:p>
              </w:tc>
              <w:tc>
                <w:tcPr>
                  <w:tcW w:w="586" w:type="dxa"/>
                  <w:vAlign w:val="center"/>
                </w:tcPr>
                <w:p>
                  <w:pPr>
                    <w:jc w:val="center"/>
                    <w:rPr>
                      <w:rFonts w:cs="Times New Roman"/>
                      <w:color w:val="auto"/>
                      <w:sz w:val="18"/>
                      <w:szCs w:val="18"/>
                    </w:rPr>
                  </w:pPr>
                  <w:r>
                    <w:rPr>
                      <w:rFonts w:cs="Times New Roman"/>
                      <w:color w:val="auto"/>
                      <w:sz w:val="18"/>
                      <w:szCs w:val="18"/>
                    </w:rPr>
                    <w:t>总磷</w:t>
                  </w:r>
                </w:p>
              </w:tc>
              <w:tc>
                <w:tcPr>
                  <w:tcW w:w="1507" w:type="dxa"/>
                  <w:vAlign w:val="center"/>
                </w:tcPr>
                <w:p>
                  <w:pPr>
                    <w:jc w:val="center"/>
                    <w:rPr>
                      <w:rFonts w:cs="Times New Roman"/>
                      <w:color w:val="auto"/>
                      <w:sz w:val="18"/>
                      <w:szCs w:val="18"/>
                    </w:rPr>
                  </w:pPr>
                  <w:r>
                    <w:rPr>
                      <w:rFonts w:cs="Times New Roman"/>
                      <w:color w:val="auto"/>
                      <w:sz w:val="18"/>
                      <w:szCs w:val="18"/>
                    </w:rPr>
                    <w:t>0.4</w:t>
                  </w:r>
                </w:p>
              </w:tc>
            </w:tr>
          </w:tbl>
          <w:p>
            <w:pPr>
              <w:pStyle w:val="33"/>
              <w:spacing w:line="360" w:lineRule="auto"/>
              <w:ind w:left="560" w:leftChars="200"/>
              <w:jc w:val="both"/>
              <w:rPr>
                <w:rFonts w:ascii="Times New Roman" w:hAnsi="Times New Roman" w:eastAsia="宋体" w:cs="Times New Roman"/>
                <w:color w:val="auto"/>
              </w:rPr>
            </w:pPr>
            <w:r>
              <w:rPr>
                <w:rFonts w:ascii="Times New Roman" w:hAnsi="Times New Roman" w:eastAsia="宋体" w:cs="Times New Roman"/>
                <w:color w:val="auto"/>
              </w:rPr>
              <w:t>③废水污染物排放执行标准</w:t>
            </w:r>
          </w:p>
          <w:p>
            <w:pPr>
              <w:pStyle w:val="21"/>
              <w:ind w:firstLine="420"/>
              <w:rPr>
                <w:color w:val="auto"/>
              </w:rPr>
            </w:pPr>
            <w:r>
              <w:rPr>
                <w:rFonts w:hint="eastAsia"/>
                <w:color w:val="auto"/>
              </w:rPr>
              <w:t xml:space="preserve">             </w:t>
            </w:r>
            <w:r>
              <w:rPr>
                <w:color w:val="auto"/>
              </w:rPr>
              <w:t>废水污染物排放执行标准表</w:t>
            </w:r>
          </w:p>
          <w:tbl>
            <w:tblPr>
              <w:tblStyle w:val="26"/>
              <w:tblW w:w="8586"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40"/>
              <w:gridCol w:w="1496"/>
              <w:gridCol w:w="1715"/>
              <w:gridCol w:w="2113"/>
              <w:gridCol w:w="252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40" w:type="dxa"/>
                  <w:vMerge w:val="restart"/>
                  <w:vAlign w:val="center"/>
                </w:tcPr>
                <w:p>
                  <w:pPr>
                    <w:pStyle w:val="100"/>
                    <w:spacing w:line="240" w:lineRule="exact"/>
                    <w:jc w:val="center"/>
                    <w:rPr>
                      <w:rFonts w:cs="Times New Roman"/>
                      <w:color w:val="auto"/>
                      <w:sz w:val="18"/>
                      <w:szCs w:val="18"/>
                    </w:rPr>
                  </w:pPr>
                  <w:r>
                    <w:rPr>
                      <w:rFonts w:cs="Times New Roman"/>
                      <w:color w:val="auto"/>
                      <w:sz w:val="18"/>
                      <w:szCs w:val="18"/>
                    </w:rPr>
                    <w:t>序号</w:t>
                  </w:r>
                </w:p>
              </w:tc>
              <w:tc>
                <w:tcPr>
                  <w:tcW w:w="1496" w:type="dxa"/>
                  <w:vMerge w:val="restart"/>
                  <w:vAlign w:val="center"/>
                </w:tcPr>
                <w:p>
                  <w:pPr>
                    <w:pStyle w:val="100"/>
                    <w:spacing w:line="240" w:lineRule="exact"/>
                    <w:jc w:val="center"/>
                    <w:rPr>
                      <w:rFonts w:cs="Times New Roman"/>
                      <w:color w:val="auto"/>
                      <w:sz w:val="18"/>
                      <w:szCs w:val="18"/>
                    </w:rPr>
                  </w:pPr>
                  <w:r>
                    <w:rPr>
                      <w:rFonts w:cs="Times New Roman"/>
                      <w:color w:val="auto"/>
                      <w:sz w:val="18"/>
                      <w:szCs w:val="18"/>
                    </w:rPr>
                    <w:t>排放口编号</w:t>
                  </w:r>
                </w:p>
              </w:tc>
              <w:tc>
                <w:tcPr>
                  <w:tcW w:w="1715" w:type="dxa"/>
                  <w:vMerge w:val="restart"/>
                  <w:vAlign w:val="center"/>
                </w:tcPr>
                <w:p>
                  <w:pPr>
                    <w:pStyle w:val="100"/>
                    <w:spacing w:line="240" w:lineRule="exact"/>
                    <w:jc w:val="center"/>
                    <w:rPr>
                      <w:rFonts w:cs="Times New Roman"/>
                      <w:color w:val="auto"/>
                      <w:sz w:val="18"/>
                      <w:szCs w:val="18"/>
                    </w:rPr>
                  </w:pPr>
                  <w:r>
                    <w:rPr>
                      <w:rFonts w:cs="Times New Roman"/>
                      <w:color w:val="auto"/>
                      <w:sz w:val="18"/>
                      <w:szCs w:val="18"/>
                    </w:rPr>
                    <w:t>污染物种类</w:t>
                  </w:r>
                </w:p>
              </w:tc>
              <w:tc>
                <w:tcPr>
                  <w:tcW w:w="4635" w:type="dxa"/>
                  <w:gridSpan w:val="2"/>
                  <w:vAlign w:val="center"/>
                </w:tcPr>
                <w:p>
                  <w:pPr>
                    <w:pStyle w:val="100"/>
                    <w:spacing w:line="240" w:lineRule="exact"/>
                    <w:jc w:val="center"/>
                    <w:rPr>
                      <w:rFonts w:cs="Times New Roman"/>
                      <w:color w:val="auto"/>
                      <w:sz w:val="18"/>
                      <w:szCs w:val="18"/>
                    </w:rPr>
                  </w:pPr>
                  <w:r>
                    <w:rPr>
                      <w:rFonts w:cs="Times New Roman"/>
                      <w:color w:val="auto"/>
                      <w:sz w:val="18"/>
                      <w:szCs w:val="18"/>
                    </w:rPr>
                    <w:t>国家或地方污染物排放标准及其他按规定商定的排放协议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740" w:type="dxa"/>
                  <w:vMerge w:val="continue"/>
                  <w:vAlign w:val="center"/>
                </w:tcPr>
                <w:p>
                  <w:pPr>
                    <w:spacing w:line="240" w:lineRule="exact"/>
                    <w:jc w:val="center"/>
                    <w:rPr>
                      <w:rFonts w:cs="Times New Roman"/>
                      <w:color w:val="auto"/>
                      <w:sz w:val="18"/>
                      <w:szCs w:val="18"/>
                    </w:rPr>
                  </w:pPr>
                </w:p>
              </w:tc>
              <w:tc>
                <w:tcPr>
                  <w:tcW w:w="1496" w:type="dxa"/>
                  <w:vMerge w:val="continue"/>
                  <w:vAlign w:val="center"/>
                </w:tcPr>
                <w:p>
                  <w:pPr>
                    <w:spacing w:line="240" w:lineRule="exact"/>
                    <w:jc w:val="center"/>
                    <w:rPr>
                      <w:rFonts w:cs="Times New Roman"/>
                      <w:color w:val="auto"/>
                      <w:sz w:val="18"/>
                      <w:szCs w:val="18"/>
                    </w:rPr>
                  </w:pPr>
                </w:p>
              </w:tc>
              <w:tc>
                <w:tcPr>
                  <w:tcW w:w="1715" w:type="dxa"/>
                  <w:vMerge w:val="continue"/>
                  <w:vAlign w:val="center"/>
                </w:tcPr>
                <w:p>
                  <w:pPr>
                    <w:spacing w:line="240" w:lineRule="exact"/>
                    <w:jc w:val="center"/>
                    <w:rPr>
                      <w:rFonts w:cs="Times New Roman"/>
                      <w:color w:val="auto"/>
                      <w:sz w:val="18"/>
                      <w:szCs w:val="18"/>
                    </w:rPr>
                  </w:pPr>
                </w:p>
              </w:tc>
              <w:tc>
                <w:tcPr>
                  <w:tcW w:w="2113" w:type="dxa"/>
                  <w:vAlign w:val="center"/>
                </w:tcPr>
                <w:p>
                  <w:pPr>
                    <w:pStyle w:val="100"/>
                    <w:spacing w:line="240" w:lineRule="exact"/>
                    <w:jc w:val="center"/>
                    <w:rPr>
                      <w:rFonts w:cs="Times New Roman"/>
                      <w:color w:val="auto"/>
                      <w:sz w:val="18"/>
                      <w:szCs w:val="18"/>
                    </w:rPr>
                  </w:pPr>
                  <w:r>
                    <w:rPr>
                      <w:rFonts w:cs="Times New Roman"/>
                      <w:color w:val="auto"/>
                      <w:sz w:val="18"/>
                      <w:szCs w:val="18"/>
                    </w:rPr>
                    <w:t>名称</w:t>
                  </w:r>
                </w:p>
              </w:tc>
              <w:tc>
                <w:tcPr>
                  <w:tcW w:w="2522" w:type="dxa"/>
                  <w:vAlign w:val="center"/>
                </w:tcPr>
                <w:p>
                  <w:pPr>
                    <w:pStyle w:val="100"/>
                    <w:spacing w:line="240" w:lineRule="exact"/>
                    <w:jc w:val="center"/>
                    <w:rPr>
                      <w:rFonts w:cs="Times New Roman"/>
                      <w:color w:val="auto"/>
                      <w:sz w:val="18"/>
                      <w:szCs w:val="18"/>
                    </w:rPr>
                  </w:pPr>
                  <w:r>
                    <w:rPr>
                      <w:rFonts w:cs="Times New Roman"/>
                      <w:color w:val="auto"/>
                      <w:sz w:val="18"/>
                      <w:szCs w:val="18"/>
                    </w:rPr>
                    <w:t>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57" w:hRule="atLeast"/>
              </w:trPr>
              <w:tc>
                <w:tcPr>
                  <w:tcW w:w="740" w:type="dxa"/>
                  <w:vMerge w:val="restart"/>
                  <w:vAlign w:val="center"/>
                </w:tcPr>
                <w:p>
                  <w:pPr>
                    <w:pStyle w:val="100"/>
                    <w:spacing w:line="240" w:lineRule="exact"/>
                    <w:jc w:val="center"/>
                    <w:rPr>
                      <w:rFonts w:cs="Times New Roman"/>
                      <w:color w:val="auto"/>
                      <w:sz w:val="18"/>
                      <w:szCs w:val="18"/>
                    </w:rPr>
                  </w:pPr>
                  <w:r>
                    <w:rPr>
                      <w:rFonts w:cs="Times New Roman"/>
                      <w:color w:val="auto"/>
                      <w:sz w:val="18"/>
                      <w:szCs w:val="18"/>
                    </w:rPr>
                    <w:t>1</w:t>
                  </w:r>
                </w:p>
              </w:tc>
              <w:tc>
                <w:tcPr>
                  <w:tcW w:w="1496" w:type="dxa"/>
                  <w:vMerge w:val="restart"/>
                  <w:vAlign w:val="center"/>
                </w:tcPr>
                <w:p>
                  <w:pPr>
                    <w:pStyle w:val="100"/>
                    <w:spacing w:line="240" w:lineRule="exact"/>
                    <w:jc w:val="center"/>
                    <w:rPr>
                      <w:rFonts w:cs="Times New Roman"/>
                      <w:color w:val="auto"/>
                      <w:sz w:val="18"/>
                      <w:szCs w:val="18"/>
                    </w:rPr>
                  </w:pPr>
                  <w:r>
                    <w:rPr>
                      <w:rFonts w:cs="Times New Roman"/>
                      <w:color w:val="auto"/>
                      <w:sz w:val="18"/>
                      <w:szCs w:val="18"/>
                    </w:rPr>
                    <w:t>DW001</w:t>
                  </w:r>
                </w:p>
              </w:tc>
              <w:tc>
                <w:tcPr>
                  <w:tcW w:w="1715" w:type="dxa"/>
                  <w:vAlign w:val="center"/>
                </w:tcPr>
                <w:p>
                  <w:pPr>
                    <w:pStyle w:val="100"/>
                    <w:spacing w:line="240" w:lineRule="exact"/>
                    <w:jc w:val="center"/>
                    <w:rPr>
                      <w:rFonts w:cs="Times New Roman"/>
                      <w:color w:val="auto"/>
                      <w:sz w:val="18"/>
                      <w:szCs w:val="18"/>
                    </w:rPr>
                  </w:pPr>
                  <w:r>
                    <w:rPr>
                      <w:rFonts w:cs="Times New Roman"/>
                      <w:color w:val="auto"/>
                      <w:sz w:val="18"/>
                      <w:szCs w:val="18"/>
                    </w:rPr>
                    <w:t>COD</w:t>
                  </w:r>
                </w:p>
              </w:tc>
              <w:tc>
                <w:tcPr>
                  <w:tcW w:w="2113" w:type="dxa"/>
                  <w:vMerge w:val="restart"/>
                  <w:vAlign w:val="center"/>
                </w:tcPr>
                <w:p>
                  <w:pPr>
                    <w:pStyle w:val="100"/>
                    <w:spacing w:line="240" w:lineRule="exact"/>
                    <w:jc w:val="center"/>
                    <w:rPr>
                      <w:rFonts w:cs="Times New Roman"/>
                      <w:color w:val="auto"/>
                      <w:sz w:val="18"/>
                      <w:szCs w:val="18"/>
                    </w:rPr>
                  </w:pPr>
                  <w:r>
                    <w:rPr>
                      <w:rFonts w:hint="eastAsia" w:cs="Times New Roman"/>
                      <w:color w:val="auto"/>
                      <w:sz w:val="18"/>
                      <w:szCs w:val="18"/>
                    </w:rPr>
                    <w:t>大块镇污水处理厂收水标准</w:t>
                  </w:r>
                </w:p>
              </w:tc>
              <w:tc>
                <w:tcPr>
                  <w:tcW w:w="2522" w:type="dxa"/>
                  <w:vAlign w:val="center"/>
                </w:tcPr>
                <w:p>
                  <w:pPr>
                    <w:pStyle w:val="100"/>
                    <w:spacing w:line="240" w:lineRule="exact"/>
                    <w:jc w:val="center"/>
                    <w:rPr>
                      <w:rFonts w:cs="Times New Roman"/>
                      <w:color w:val="auto"/>
                      <w:sz w:val="18"/>
                      <w:szCs w:val="18"/>
                    </w:rPr>
                  </w:pPr>
                  <w:r>
                    <w:rPr>
                      <w:rFonts w:hint="eastAsia" w:cs="Times New Roman"/>
                      <w:color w:val="auto"/>
                      <w:sz w:val="18"/>
                      <w:szCs w:val="18"/>
                    </w:rPr>
                    <w:t>350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67" w:hRule="atLeast"/>
              </w:trPr>
              <w:tc>
                <w:tcPr>
                  <w:tcW w:w="740" w:type="dxa"/>
                  <w:vMerge w:val="continue"/>
                  <w:vAlign w:val="center"/>
                </w:tcPr>
                <w:p>
                  <w:pPr>
                    <w:pStyle w:val="100"/>
                    <w:spacing w:line="240" w:lineRule="exact"/>
                    <w:jc w:val="center"/>
                    <w:rPr>
                      <w:rFonts w:cs="Times New Roman"/>
                      <w:color w:val="auto"/>
                      <w:sz w:val="18"/>
                      <w:szCs w:val="18"/>
                    </w:rPr>
                  </w:pPr>
                </w:p>
              </w:tc>
              <w:tc>
                <w:tcPr>
                  <w:tcW w:w="1496" w:type="dxa"/>
                  <w:vMerge w:val="continue"/>
                  <w:vAlign w:val="center"/>
                </w:tcPr>
                <w:p>
                  <w:pPr>
                    <w:pStyle w:val="100"/>
                    <w:spacing w:line="240" w:lineRule="exact"/>
                    <w:jc w:val="center"/>
                    <w:rPr>
                      <w:rFonts w:cs="Times New Roman"/>
                      <w:color w:val="auto"/>
                      <w:sz w:val="18"/>
                      <w:szCs w:val="18"/>
                    </w:rPr>
                  </w:pPr>
                </w:p>
              </w:tc>
              <w:tc>
                <w:tcPr>
                  <w:tcW w:w="1715" w:type="dxa"/>
                  <w:vAlign w:val="center"/>
                </w:tcPr>
                <w:p>
                  <w:pPr>
                    <w:pStyle w:val="100"/>
                    <w:spacing w:line="240" w:lineRule="exact"/>
                    <w:jc w:val="center"/>
                    <w:rPr>
                      <w:rFonts w:cs="Times New Roman"/>
                      <w:color w:val="auto"/>
                      <w:sz w:val="18"/>
                      <w:szCs w:val="18"/>
                    </w:rPr>
                  </w:pPr>
                  <w:r>
                    <w:rPr>
                      <w:rFonts w:cs="Times New Roman"/>
                      <w:color w:val="auto"/>
                      <w:sz w:val="18"/>
                      <w:szCs w:val="18"/>
                    </w:rPr>
                    <w:t>氨氮</w:t>
                  </w:r>
                </w:p>
              </w:tc>
              <w:tc>
                <w:tcPr>
                  <w:tcW w:w="2113" w:type="dxa"/>
                  <w:vMerge w:val="continue"/>
                  <w:vAlign w:val="center"/>
                </w:tcPr>
                <w:p>
                  <w:pPr>
                    <w:pStyle w:val="100"/>
                    <w:spacing w:line="240" w:lineRule="exact"/>
                    <w:jc w:val="center"/>
                    <w:rPr>
                      <w:rFonts w:cs="Times New Roman"/>
                      <w:color w:val="auto"/>
                      <w:sz w:val="18"/>
                      <w:szCs w:val="18"/>
                    </w:rPr>
                  </w:pPr>
                </w:p>
              </w:tc>
              <w:tc>
                <w:tcPr>
                  <w:tcW w:w="2522" w:type="dxa"/>
                  <w:vAlign w:val="center"/>
                </w:tcPr>
                <w:p>
                  <w:pPr>
                    <w:pStyle w:val="100"/>
                    <w:spacing w:line="240" w:lineRule="exact"/>
                    <w:jc w:val="center"/>
                    <w:rPr>
                      <w:rFonts w:cs="Times New Roman"/>
                      <w:color w:val="auto"/>
                      <w:sz w:val="18"/>
                      <w:szCs w:val="18"/>
                    </w:rPr>
                  </w:pPr>
                  <w:r>
                    <w:rPr>
                      <w:rFonts w:hint="eastAsia" w:cs="Times New Roman"/>
                      <w:color w:val="auto"/>
                      <w:sz w:val="18"/>
                      <w:szCs w:val="18"/>
                    </w:rPr>
                    <w:t>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02" w:hRule="atLeast"/>
              </w:trPr>
              <w:tc>
                <w:tcPr>
                  <w:tcW w:w="740" w:type="dxa"/>
                  <w:vMerge w:val="continue"/>
                  <w:vAlign w:val="center"/>
                </w:tcPr>
                <w:p>
                  <w:pPr>
                    <w:pStyle w:val="100"/>
                    <w:spacing w:line="240" w:lineRule="exact"/>
                    <w:jc w:val="center"/>
                    <w:rPr>
                      <w:rFonts w:cs="Times New Roman"/>
                      <w:color w:val="auto"/>
                      <w:sz w:val="18"/>
                      <w:szCs w:val="18"/>
                    </w:rPr>
                  </w:pPr>
                </w:p>
              </w:tc>
              <w:tc>
                <w:tcPr>
                  <w:tcW w:w="1496" w:type="dxa"/>
                  <w:vMerge w:val="continue"/>
                  <w:vAlign w:val="center"/>
                </w:tcPr>
                <w:p>
                  <w:pPr>
                    <w:pStyle w:val="100"/>
                    <w:spacing w:line="240" w:lineRule="exact"/>
                    <w:jc w:val="center"/>
                    <w:rPr>
                      <w:rFonts w:cs="Times New Roman"/>
                      <w:color w:val="auto"/>
                      <w:sz w:val="18"/>
                      <w:szCs w:val="18"/>
                    </w:rPr>
                  </w:pPr>
                </w:p>
              </w:tc>
              <w:tc>
                <w:tcPr>
                  <w:tcW w:w="1715" w:type="dxa"/>
                  <w:vAlign w:val="center"/>
                </w:tcPr>
                <w:p>
                  <w:pPr>
                    <w:pStyle w:val="100"/>
                    <w:spacing w:line="240" w:lineRule="exact"/>
                    <w:jc w:val="center"/>
                    <w:rPr>
                      <w:rFonts w:cs="Times New Roman"/>
                      <w:color w:val="auto"/>
                      <w:sz w:val="18"/>
                      <w:szCs w:val="18"/>
                    </w:rPr>
                  </w:pPr>
                  <w:r>
                    <w:rPr>
                      <w:rFonts w:cs="Times New Roman"/>
                      <w:color w:val="auto"/>
                      <w:sz w:val="18"/>
                      <w:szCs w:val="18"/>
                    </w:rPr>
                    <w:t>SS</w:t>
                  </w:r>
                </w:p>
              </w:tc>
              <w:tc>
                <w:tcPr>
                  <w:tcW w:w="2113" w:type="dxa"/>
                  <w:vMerge w:val="continue"/>
                  <w:vAlign w:val="center"/>
                </w:tcPr>
                <w:p>
                  <w:pPr>
                    <w:pStyle w:val="100"/>
                    <w:spacing w:line="240" w:lineRule="exact"/>
                    <w:jc w:val="center"/>
                    <w:rPr>
                      <w:rFonts w:cs="Times New Roman"/>
                      <w:color w:val="auto"/>
                      <w:sz w:val="18"/>
                      <w:szCs w:val="18"/>
                    </w:rPr>
                  </w:pPr>
                </w:p>
              </w:tc>
              <w:tc>
                <w:tcPr>
                  <w:tcW w:w="2522" w:type="dxa"/>
                  <w:vAlign w:val="center"/>
                </w:tcPr>
                <w:p>
                  <w:pPr>
                    <w:pStyle w:val="100"/>
                    <w:spacing w:line="240" w:lineRule="exact"/>
                    <w:jc w:val="center"/>
                    <w:rPr>
                      <w:rFonts w:cs="Times New Roman"/>
                      <w:color w:val="auto"/>
                      <w:sz w:val="18"/>
                      <w:szCs w:val="18"/>
                    </w:rPr>
                  </w:pPr>
                  <w:r>
                    <w:rPr>
                      <w:rFonts w:hint="eastAsia" w:cs="Times New Roman"/>
                      <w:color w:val="auto"/>
                      <w:sz w:val="18"/>
                      <w:szCs w:val="18"/>
                    </w:rPr>
                    <w:t>150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07" w:hRule="atLeast"/>
              </w:trPr>
              <w:tc>
                <w:tcPr>
                  <w:tcW w:w="740" w:type="dxa"/>
                  <w:vMerge w:val="continue"/>
                  <w:vAlign w:val="center"/>
                </w:tcPr>
                <w:p>
                  <w:pPr>
                    <w:pStyle w:val="100"/>
                    <w:spacing w:line="240" w:lineRule="exact"/>
                    <w:jc w:val="center"/>
                    <w:rPr>
                      <w:rFonts w:cs="Times New Roman"/>
                      <w:color w:val="auto"/>
                      <w:sz w:val="18"/>
                      <w:szCs w:val="18"/>
                    </w:rPr>
                  </w:pPr>
                </w:p>
              </w:tc>
              <w:tc>
                <w:tcPr>
                  <w:tcW w:w="1496" w:type="dxa"/>
                  <w:vMerge w:val="continue"/>
                  <w:vAlign w:val="center"/>
                </w:tcPr>
                <w:p>
                  <w:pPr>
                    <w:pStyle w:val="100"/>
                    <w:spacing w:line="240" w:lineRule="exact"/>
                    <w:jc w:val="center"/>
                    <w:rPr>
                      <w:rFonts w:cs="Times New Roman"/>
                      <w:color w:val="auto"/>
                      <w:sz w:val="18"/>
                      <w:szCs w:val="18"/>
                    </w:rPr>
                  </w:pPr>
                </w:p>
              </w:tc>
              <w:tc>
                <w:tcPr>
                  <w:tcW w:w="1715" w:type="dxa"/>
                  <w:vAlign w:val="center"/>
                </w:tcPr>
                <w:p>
                  <w:pPr>
                    <w:pStyle w:val="100"/>
                    <w:spacing w:line="240" w:lineRule="exact"/>
                    <w:jc w:val="center"/>
                    <w:rPr>
                      <w:rFonts w:cs="Times New Roman"/>
                      <w:color w:val="auto"/>
                      <w:sz w:val="18"/>
                      <w:szCs w:val="18"/>
                    </w:rPr>
                  </w:pPr>
                  <w:r>
                    <w:rPr>
                      <w:rFonts w:cs="Times New Roman"/>
                      <w:color w:val="auto"/>
                      <w:sz w:val="18"/>
                      <w:szCs w:val="18"/>
                    </w:rPr>
                    <w:t>总磷</w:t>
                  </w:r>
                </w:p>
              </w:tc>
              <w:tc>
                <w:tcPr>
                  <w:tcW w:w="2113" w:type="dxa"/>
                  <w:vMerge w:val="continue"/>
                  <w:vAlign w:val="center"/>
                </w:tcPr>
                <w:p>
                  <w:pPr>
                    <w:pStyle w:val="100"/>
                    <w:spacing w:line="240" w:lineRule="exact"/>
                    <w:jc w:val="center"/>
                    <w:rPr>
                      <w:rFonts w:cs="Times New Roman"/>
                      <w:color w:val="auto"/>
                      <w:sz w:val="18"/>
                      <w:szCs w:val="18"/>
                    </w:rPr>
                  </w:pPr>
                </w:p>
              </w:tc>
              <w:tc>
                <w:tcPr>
                  <w:tcW w:w="2522" w:type="dxa"/>
                  <w:vAlign w:val="center"/>
                </w:tcPr>
                <w:p>
                  <w:pPr>
                    <w:pStyle w:val="100"/>
                    <w:spacing w:line="240" w:lineRule="exact"/>
                    <w:jc w:val="center"/>
                    <w:rPr>
                      <w:rFonts w:cs="Times New Roman"/>
                      <w:color w:val="auto"/>
                      <w:sz w:val="18"/>
                      <w:szCs w:val="18"/>
                    </w:rPr>
                  </w:pPr>
                  <w:r>
                    <w:rPr>
                      <w:rFonts w:hint="eastAsia" w:cs="Times New Roman"/>
                      <w:color w:val="auto"/>
                      <w:sz w:val="18"/>
                      <w:szCs w:val="18"/>
                    </w:rPr>
                    <w:t>4</w:t>
                  </w:r>
                </w:p>
              </w:tc>
            </w:tr>
          </w:tbl>
          <w:p>
            <w:pPr>
              <w:pStyle w:val="33"/>
              <w:spacing w:line="360" w:lineRule="auto"/>
              <w:ind w:left="560" w:leftChars="200"/>
              <w:jc w:val="both"/>
              <w:rPr>
                <w:rFonts w:ascii="Times New Roman" w:hAnsi="Times New Roman" w:eastAsia="宋体" w:cs="Times New Roman"/>
                <w:color w:val="auto"/>
              </w:rPr>
            </w:pPr>
            <w:r>
              <w:rPr>
                <w:rFonts w:ascii="Times New Roman" w:hAnsi="Times New Roman" w:eastAsia="宋体" w:cs="Times New Roman"/>
                <w:color w:val="auto"/>
              </w:rPr>
              <w:t>④废水污染物排放信息表</w:t>
            </w:r>
          </w:p>
          <w:p>
            <w:pPr>
              <w:pStyle w:val="21"/>
              <w:ind w:firstLine="420"/>
              <w:rPr>
                <w:color w:val="auto"/>
              </w:rPr>
            </w:pPr>
            <w:r>
              <w:rPr>
                <w:rFonts w:hint="eastAsia"/>
                <w:color w:val="auto"/>
              </w:rPr>
              <w:t xml:space="preserve">             </w:t>
            </w:r>
            <w:r>
              <w:rPr>
                <w:color w:val="auto"/>
              </w:rPr>
              <w:t>废水污染物排放信息表</w:t>
            </w:r>
          </w:p>
          <w:tbl>
            <w:tblPr>
              <w:tblStyle w:val="26"/>
              <w:tblW w:w="8586"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03"/>
              <w:gridCol w:w="1596"/>
              <w:gridCol w:w="1597"/>
              <w:gridCol w:w="1597"/>
              <w:gridCol w:w="1596"/>
              <w:gridCol w:w="159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03" w:type="dxa"/>
                  <w:vAlign w:val="center"/>
                </w:tcPr>
                <w:p>
                  <w:pPr>
                    <w:spacing w:line="240" w:lineRule="atLeast"/>
                    <w:jc w:val="center"/>
                    <w:rPr>
                      <w:rFonts w:cs="Times New Roman"/>
                      <w:color w:val="auto"/>
                      <w:sz w:val="18"/>
                      <w:szCs w:val="18"/>
                    </w:rPr>
                  </w:pPr>
                  <w:r>
                    <w:rPr>
                      <w:rFonts w:cs="Times New Roman"/>
                      <w:color w:val="auto"/>
                      <w:sz w:val="18"/>
                      <w:szCs w:val="18"/>
                    </w:rPr>
                    <w:t>序号</w:t>
                  </w:r>
                </w:p>
              </w:tc>
              <w:tc>
                <w:tcPr>
                  <w:tcW w:w="1596" w:type="dxa"/>
                  <w:vAlign w:val="center"/>
                </w:tcPr>
                <w:p>
                  <w:pPr>
                    <w:spacing w:line="240" w:lineRule="atLeast"/>
                    <w:jc w:val="center"/>
                    <w:rPr>
                      <w:rFonts w:cs="Times New Roman"/>
                      <w:color w:val="auto"/>
                      <w:sz w:val="18"/>
                      <w:szCs w:val="18"/>
                    </w:rPr>
                  </w:pPr>
                  <w:r>
                    <w:rPr>
                      <w:rFonts w:cs="Times New Roman"/>
                      <w:color w:val="auto"/>
                      <w:sz w:val="18"/>
                      <w:szCs w:val="18"/>
                    </w:rPr>
                    <w:t>排放口编号</w:t>
                  </w: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污染物种类</w:t>
                  </w: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排放浓度/（mg/L）</w:t>
                  </w:r>
                </w:p>
              </w:tc>
              <w:tc>
                <w:tcPr>
                  <w:tcW w:w="1596" w:type="dxa"/>
                  <w:vAlign w:val="center"/>
                </w:tcPr>
                <w:p>
                  <w:pPr>
                    <w:spacing w:line="240" w:lineRule="atLeast"/>
                    <w:jc w:val="center"/>
                    <w:rPr>
                      <w:rFonts w:cs="Times New Roman"/>
                      <w:color w:val="auto"/>
                      <w:sz w:val="18"/>
                      <w:szCs w:val="18"/>
                    </w:rPr>
                  </w:pPr>
                  <w:r>
                    <w:rPr>
                      <w:rFonts w:cs="Times New Roman"/>
                      <w:color w:val="auto"/>
                      <w:sz w:val="18"/>
                      <w:szCs w:val="18"/>
                    </w:rPr>
                    <w:t>日排放量/（t/d）</w:t>
                  </w: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年排放量/（t/a）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03" w:type="dxa"/>
                  <w:vMerge w:val="restart"/>
                  <w:vAlign w:val="center"/>
                </w:tcPr>
                <w:p>
                  <w:pPr>
                    <w:spacing w:line="240" w:lineRule="atLeast"/>
                    <w:jc w:val="center"/>
                    <w:rPr>
                      <w:rFonts w:cs="Times New Roman"/>
                      <w:color w:val="auto"/>
                      <w:sz w:val="18"/>
                      <w:szCs w:val="18"/>
                    </w:rPr>
                  </w:pPr>
                  <w:r>
                    <w:rPr>
                      <w:rFonts w:cs="Times New Roman"/>
                      <w:color w:val="auto"/>
                      <w:sz w:val="18"/>
                      <w:szCs w:val="18"/>
                    </w:rPr>
                    <w:t>1</w:t>
                  </w:r>
                </w:p>
              </w:tc>
              <w:tc>
                <w:tcPr>
                  <w:tcW w:w="1596" w:type="dxa"/>
                  <w:vMerge w:val="restart"/>
                  <w:vAlign w:val="center"/>
                </w:tcPr>
                <w:p>
                  <w:pPr>
                    <w:spacing w:line="240" w:lineRule="atLeast"/>
                    <w:jc w:val="center"/>
                    <w:rPr>
                      <w:rFonts w:cs="Times New Roman"/>
                      <w:color w:val="auto"/>
                      <w:sz w:val="18"/>
                      <w:szCs w:val="18"/>
                    </w:rPr>
                  </w:pPr>
                  <w:r>
                    <w:rPr>
                      <w:rFonts w:cs="Times New Roman"/>
                      <w:color w:val="auto"/>
                      <w:sz w:val="18"/>
                      <w:szCs w:val="18"/>
                    </w:rPr>
                    <w:t>DW001</w:t>
                  </w: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COD</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210</w:t>
                  </w:r>
                </w:p>
              </w:tc>
              <w:tc>
                <w:tcPr>
                  <w:tcW w:w="1596" w:type="dxa"/>
                  <w:vAlign w:val="center"/>
                </w:tcPr>
                <w:p>
                  <w:pPr>
                    <w:spacing w:line="240" w:lineRule="atLeast"/>
                    <w:jc w:val="center"/>
                    <w:rPr>
                      <w:rFonts w:cs="Times New Roman"/>
                      <w:color w:val="auto"/>
                      <w:sz w:val="18"/>
                      <w:szCs w:val="18"/>
                    </w:rPr>
                  </w:pPr>
                  <w:r>
                    <w:rPr>
                      <w:rFonts w:hint="eastAsia" w:cs="Times New Roman"/>
                      <w:color w:val="auto"/>
                      <w:sz w:val="18"/>
                      <w:szCs w:val="18"/>
                    </w:rPr>
                    <w:t>5</w:t>
                  </w:r>
                  <w:r>
                    <w:rPr>
                      <w:rFonts w:ascii="Arial" w:hAnsi="Arial" w:cs="Arial"/>
                      <w:color w:val="auto"/>
                      <w:sz w:val="18"/>
                      <w:szCs w:val="18"/>
                    </w:rPr>
                    <w:t>×</w:t>
                  </w:r>
                  <w:r>
                    <w:rPr>
                      <w:rFonts w:hint="eastAsia" w:cs="Times New Roman"/>
                      <w:color w:val="auto"/>
                      <w:sz w:val="18"/>
                      <w:szCs w:val="18"/>
                    </w:rPr>
                    <w:t>10</w:t>
                  </w:r>
                  <w:r>
                    <w:rPr>
                      <w:rFonts w:hint="eastAsia" w:cs="Times New Roman"/>
                      <w:color w:val="auto"/>
                      <w:sz w:val="18"/>
                      <w:szCs w:val="18"/>
                      <w:vertAlign w:val="superscript"/>
                    </w:rPr>
                    <w:t>-5</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12" w:hRule="atLeast"/>
              </w:trPr>
              <w:tc>
                <w:tcPr>
                  <w:tcW w:w="603" w:type="dxa"/>
                  <w:vMerge w:val="continue"/>
                  <w:vAlign w:val="center"/>
                </w:tcPr>
                <w:p>
                  <w:pPr>
                    <w:spacing w:line="240" w:lineRule="atLeast"/>
                    <w:jc w:val="center"/>
                    <w:rPr>
                      <w:rFonts w:cs="Times New Roman"/>
                      <w:color w:val="auto"/>
                      <w:sz w:val="18"/>
                      <w:szCs w:val="18"/>
                    </w:rPr>
                  </w:pPr>
                </w:p>
              </w:tc>
              <w:tc>
                <w:tcPr>
                  <w:tcW w:w="1596" w:type="dxa"/>
                  <w:vMerge w:val="continue"/>
                  <w:vAlign w:val="center"/>
                </w:tcPr>
                <w:p>
                  <w:pPr>
                    <w:spacing w:line="240" w:lineRule="atLeast"/>
                    <w:jc w:val="center"/>
                    <w:rPr>
                      <w:rFonts w:cs="Times New Roman"/>
                      <w:color w:val="auto"/>
                      <w:sz w:val="18"/>
                      <w:szCs w:val="18"/>
                    </w:rPr>
                  </w:pP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氨氮</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25</w:t>
                  </w:r>
                </w:p>
              </w:tc>
              <w:tc>
                <w:tcPr>
                  <w:tcW w:w="1596" w:type="dxa"/>
                  <w:vAlign w:val="center"/>
                </w:tcPr>
                <w:p>
                  <w:pPr>
                    <w:spacing w:line="240" w:lineRule="atLeast"/>
                    <w:jc w:val="center"/>
                    <w:rPr>
                      <w:rFonts w:cs="Times New Roman"/>
                      <w:color w:val="auto"/>
                      <w:sz w:val="18"/>
                      <w:szCs w:val="18"/>
                    </w:rPr>
                  </w:pPr>
                  <w:r>
                    <w:rPr>
                      <w:rFonts w:hint="eastAsia" w:cs="Times New Roman"/>
                      <w:color w:val="auto"/>
                      <w:sz w:val="18"/>
                      <w:szCs w:val="18"/>
                    </w:rPr>
                    <w:t>0.6</w:t>
                  </w:r>
                  <w:r>
                    <w:rPr>
                      <w:rFonts w:ascii="Arial" w:hAnsi="Arial" w:cs="Arial"/>
                      <w:color w:val="auto"/>
                      <w:sz w:val="18"/>
                      <w:szCs w:val="18"/>
                    </w:rPr>
                    <w:t>×</w:t>
                  </w:r>
                  <w:r>
                    <w:rPr>
                      <w:rFonts w:hint="eastAsia" w:cs="Times New Roman"/>
                      <w:color w:val="auto"/>
                      <w:sz w:val="18"/>
                      <w:szCs w:val="18"/>
                    </w:rPr>
                    <w:t>10</w:t>
                  </w:r>
                  <w:r>
                    <w:rPr>
                      <w:rFonts w:hint="eastAsia" w:cs="Times New Roman"/>
                      <w:color w:val="auto"/>
                      <w:sz w:val="18"/>
                      <w:szCs w:val="18"/>
                      <w:vertAlign w:val="superscript"/>
                    </w:rPr>
                    <w:t>-5</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0.0018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67" w:hRule="atLeast"/>
              </w:trPr>
              <w:tc>
                <w:tcPr>
                  <w:tcW w:w="603" w:type="dxa"/>
                  <w:vMerge w:val="continue"/>
                  <w:vAlign w:val="center"/>
                </w:tcPr>
                <w:p>
                  <w:pPr>
                    <w:spacing w:line="240" w:lineRule="atLeast"/>
                    <w:jc w:val="center"/>
                    <w:rPr>
                      <w:rFonts w:cs="Times New Roman"/>
                      <w:color w:val="auto"/>
                      <w:sz w:val="18"/>
                      <w:szCs w:val="18"/>
                    </w:rPr>
                  </w:pPr>
                </w:p>
              </w:tc>
              <w:tc>
                <w:tcPr>
                  <w:tcW w:w="1596" w:type="dxa"/>
                  <w:vMerge w:val="continue"/>
                  <w:vAlign w:val="center"/>
                </w:tcPr>
                <w:p>
                  <w:pPr>
                    <w:spacing w:line="240" w:lineRule="atLeast"/>
                    <w:jc w:val="center"/>
                    <w:rPr>
                      <w:rFonts w:cs="Times New Roman"/>
                      <w:color w:val="auto"/>
                      <w:sz w:val="18"/>
                      <w:szCs w:val="18"/>
                    </w:rPr>
                  </w:pP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SS</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125</w:t>
                  </w:r>
                </w:p>
              </w:tc>
              <w:tc>
                <w:tcPr>
                  <w:tcW w:w="1596" w:type="dxa"/>
                  <w:vAlign w:val="center"/>
                </w:tcPr>
                <w:p>
                  <w:pPr>
                    <w:spacing w:line="240" w:lineRule="atLeast"/>
                    <w:jc w:val="center"/>
                    <w:rPr>
                      <w:rFonts w:cs="Times New Roman"/>
                      <w:color w:val="auto"/>
                      <w:sz w:val="18"/>
                      <w:szCs w:val="18"/>
                    </w:rPr>
                  </w:pPr>
                  <w:r>
                    <w:rPr>
                      <w:rFonts w:hint="eastAsia" w:cs="Times New Roman"/>
                      <w:color w:val="auto"/>
                      <w:sz w:val="18"/>
                      <w:szCs w:val="18"/>
                    </w:rPr>
                    <w:t>3</w:t>
                  </w:r>
                  <w:r>
                    <w:rPr>
                      <w:rFonts w:ascii="Arial" w:hAnsi="Arial" w:cs="Arial"/>
                      <w:color w:val="auto"/>
                      <w:sz w:val="18"/>
                      <w:szCs w:val="18"/>
                    </w:rPr>
                    <w:t>×</w:t>
                  </w:r>
                  <w:r>
                    <w:rPr>
                      <w:rFonts w:hint="eastAsia" w:cs="Times New Roman"/>
                      <w:color w:val="auto"/>
                      <w:sz w:val="18"/>
                      <w:szCs w:val="18"/>
                    </w:rPr>
                    <w:t>10</w:t>
                  </w:r>
                  <w:r>
                    <w:rPr>
                      <w:rFonts w:hint="eastAsia" w:cs="Times New Roman"/>
                      <w:color w:val="auto"/>
                      <w:sz w:val="18"/>
                      <w:szCs w:val="18"/>
                      <w:vertAlign w:val="superscript"/>
                    </w:rPr>
                    <w:t>-5</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0.009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67" w:hRule="atLeast"/>
              </w:trPr>
              <w:tc>
                <w:tcPr>
                  <w:tcW w:w="603" w:type="dxa"/>
                  <w:vMerge w:val="continue"/>
                  <w:vAlign w:val="center"/>
                </w:tcPr>
                <w:p>
                  <w:pPr>
                    <w:spacing w:line="240" w:lineRule="atLeast"/>
                    <w:jc w:val="center"/>
                    <w:rPr>
                      <w:rFonts w:cs="Times New Roman"/>
                      <w:color w:val="auto"/>
                      <w:sz w:val="18"/>
                      <w:szCs w:val="18"/>
                    </w:rPr>
                  </w:pPr>
                </w:p>
              </w:tc>
              <w:tc>
                <w:tcPr>
                  <w:tcW w:w="1596" w:type="dxa"/>
                  <w:vMerge w:val="continue"/>
                  <w:vAlign w:val="center"/>
                </w:tcPr>
                <w:p>
                  <w:pPr>
                    <w:spacing w:line="240" w:lineRule="atLeast"/>
                    <w:jc w:val="center"/>
                    <w:rPr>
                      <w:rFonts w:cs="Times New Roman"/>
                      <w:color w:val="auto"/>
                      <w:sz w:val="18"/>
                      <w:szCs w:val="18"/>
                    </w:rPr>
                  </w:pPr>
                </w:p>
              </w:tc>
              <w:tc>
                <w:tcPr>
                  <w:tcW w:w="1597" w:type="dxa"/>
                  <w:vAlign w:val="center"/>
                </w:tcPr>
                <w:p>
                  <w:pPr>
                    <w:spacing w:line="240" w:lineRule="atLeast"/>
                    <w:jc w:val="center"/>
                    <w:rPr>
                      <w:rFonts w:cs="Times New Roman"/>
                      <w:color w:val="auto"/>
                      <w:sz w:val="18"/>
                      <w:szCs w:val="18"/>
                    </w:rPr>
                  </w:pPr>
                  <w:r>
                    <w:rPr>
                      <w:rFonts w:cs="Times New Roman"/>
                      <w:color w:val="auto"/>
                      <w:sz w:val="18"/>
                      <w:szCs w:val="18"/>
                    </w:rPr>
                    <w:t>总磷</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3</w:t>
                  </w:r>
                </w:p>
              </w:tc>
              <w:tc>
                <w:tcPr>
                  <w:tcW w:w="1596" w:type="dxa"/>
                  <w:vAlign w:val="center"/>
                </w:tcPr>
                <w:p>
                  <w:pPr>
                    <w:spacing w:line="240" w:lineRule="atLeast"/>
                    <w:jc w:val="center"/>
                    <w:rPr>
                      <w:rFonts w:cs="Times New Roman"/>
                      <w:color w:val="auto"/>
                      <w:sz w:val="18"/>
                      <w:szCs w:val="18"/>
                    </w:rPr>
                  </w:pPr>
                  <w:r>
                    <w:rPr>
                      <w:rFonts w:hint="eastAsia" w:cs="Times New Roman"/>
                      <w:color w:val="auto"/>
                      <w:sz w:val="18"/>
                      <w:szCs w:val="18"/>
                    </w:rPr>
                    <w:t>0.67</w:t>
                  </w:r>
                  <w:r>
                    <w:rPr>
                      <w:rFonts w:ascii="Arial" w:hAnsi="Arial" w:cs="Arial"/>
                      <w:color w:val="auto"/>
                      <w:sz w:val="18"/>
                      <w:szCs w:val="18"/>
                    </w:rPr>
                    <w:t>×</w:t>
                  </w:r>
                  <w:r>
                    <w:rPr>
                      <w:rFonts w:hint="eastAsia" w:cs="Times New Roman"/>
                      <w:color w:val="auto"/>
                      <w:sz w:val="18"/>
                      <w:szCs w:val="18"/>
                    </w:rPr>
                    <w:t>10</w:t>
                  </w:r>
                  <w:r>
                    <w:rPr>
                      <w:rFonts w:hint="eastAsia" w:cs="Times New Roman"/>
                      <w:color w:val="auto"/>
                      <w:sz w:val="18"/>
                      <w:szCs w:val="18"/>
                      <w:vertAlign w:val="superscript"/>
                    </w:rPr>
                    <w:t>-6</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0.0002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37" w:hRule="atLeast"/>
              </w:trPr>
              <w:tc>
                <w:tcPr>
                  <w:tcW w:w="2199" w:type="dxa"/>
                  <w:gridSpan w:val="2"/>
                  <w:vMerge w:val="restart"/>
                  <w:vAlign w:val="center"/>
                </w:tcPr>
                <w:p>
                  <w:pPr>
                    <w:spacing w:line="240" w:lineRule="atLeast"/>
                    <w:jc w:val="center"/>
                    <w:rPr>
                      <w:rFonts w:cs="Times New Roman"/>
                      <w:color w:val="auto"/>
                      <w:sz w:val="18"/>
                      <w:szCs w:val="18"/>
                    </w:rPr>
                  </w:pPr>
                  <w:r>
                    <w:rPr>
                      <w:rFonts w:cs="Times New Roman"/>
                      <w:color w:val="auto"/>
                      <w:sz w:val="18"/>
                      <w:szCs w:val="18"/>
                    </w:rPr>
                    <w:t>全厂排放口合计</w:t>
                  </w:r>
                </w:p>
              </w:tc>
              <w:tc>
                <w:tcPr>
                  <w:tcW w:w="4790" w:type="dxa"/>
                  <w:gridSpan w:val="3"/>
                  <w:vAlign w:val="center"/>
                </w:tcPr>
                <w:p>
                  <w:pPr>
                    <w:spacing w:line="240" w:lineRule="atLeast"/>
                    <w:jc w:val="center"/>
                    <w:rPr>
                      <w:rFonts w:cs="Times New Roman"/>
                      <w:color w:val="auto"/>
                      <w:sz w:val="18"/>
                      <w:szCs w:val="18"/>
                    </w:rPr>
                  </w:pPr>
                  <w:r>
                    <w:rPr>
                      <w:rFonts w:cs="Times New Roman"/>
                      <w:color w:val="auto"/>
                      <w:sz w:val="18"/>
                      <w:szCs w:val="18"/>
                    </w:rPr>
                    <w:t>COD</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52" w:hRule="atLeast"/>
              </w:trPr>
              <w:tc>
                <w:tcPr>
                  <w:tcW w:w="2199" w:type="dxa"/>
                  <w:gridSpan w:val="2"/>
                  <w:vMerge w:val="continue"/>
                  <w:vAlign w:val="center"/>
                </w:tcPr>
                <w:p>
                  <w:pPr>
                    <w:spacing w:line="240" w:lineRule="atLeast"/>
                    <w:jc w:val="center"/>
                    <w:rPr>
                      <w:rFonts w:cs="Times New Roman"/>
                      <w:color w:val="auto"/>
                      <w:sz w:val="18"/>
                      <w:szCs w:val="18"/>
                    </w:rPr>
                  </w:pPr>
                </w:p>
              </w:tc>
              <w:tc>
                <w:tcPr>
                  <w:tcW w:w="4790" w:type="dxa"/>
                  <w:gridSpan w:val="3"/>
                  <w:vAlign w:val="center"/>
                </w:tcPr>
                <w:p>
                  <w:pPr>
                    <w:spacing w:line="240" w:lineRule="atLeast"/>
                    <w:jc w:val="center"/>
                    <w:rPr>
                      <w:rFonts w:cs="Times New Roman"/>
                      <w:color w:val="auto"/>
                      <w:sz w:val="18"/>
                      <w:szCs w:val="18"/>
                    </w:rPr>
                  </w:pPr>
                  <w:r>
                    <w:rPr>
                      <w:rFonts w:cs="Times New Roman"/>
                      <w:color w:val="auto"/>
                      <w:sz w:val="18"/>
                      <w:szCs w:val="18"/>
                    </w:rPr>
                    <w:t>氨氮</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0.0018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2" w:hRule="atLeast"/>
              </w:trPr>
              <w:tc>
                <w:tcPr>
                  <w:tcW w:w="2199" w:type="dxa"/>
                  <w:gridSpan w:val="2"/>
                  <w:vMerge w:val="continue"/>
                  <w:vAlign w:val="center"/>
                </w:tcPr>
                <w:p>
                  <w:pPr>
                    <w:spacing w:line="240" w:lineRule="atLeast"/>
                    <w:jc w:val="center"/>
                    <w:rPr>
                      <w:rFonts w:cs="Times New Roman"/>
                      <w:color w:val="auto"/>
                      <w:sz w:val="18"/>
                      <w:szCs w:val="18"/>
                    </w:rPr>
                  </w:pPr>
                </w:p>
              </w:tc>
              <w:tc>
                <w:tcPr>
                  <w:tcW w:w="4790" w:type="dxa"/>
                  <w:gridSpan w:val="3"/>
                  <w:vAlign w:val="center"/>
                </w:tcPr>
                <w:p>
                  <w:pPr>
                    <w:spacing w:line="240" w:lineRule="atLeast"/>
                    <w:jc w:val="center"/>
                    <w:rPr>
                      <w:rFonts w:cs="Times New Roman"/>
                      <w:color w:val="auto"/>
                      <w:sz w:val="18"/>
                      <w:szCs w:val="18"/>
                    </w:rPr>
                  </w:pPr>
                  <w:r>
                    <w:rPr>
                      <w:rFonts w:cs="Times New Roman"/>
                      <w:color w:val="auto"/>
                      <w:sz w:val="18"/>
                      <w:szCs w:val="18"/>
                    </w:rPr>
                    <w:t>SS</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0.009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32" w:hRule="atLeast"/>
              </w:trPr>
              <w:tc>
                <w:tcPr>
                  <w:tcW w:w="2199" w:type="dxa"/>
                  <w:gridSpan w:val="2"/>
                  <w:vMerge w:val="continue"/>
                  <w:vAlign w:val="center"/>
                </w:tcPr>
                <w:p>
                  <w:pPr>
                    <w:spacing w:line="240" w:lineRule="atLeast"/>
                    <w:jc w:val="center"/>
                    <w:rPr>
                      <w:rFonts w:cs="Times New Roman"/>
                      <w:color w:val="auto"/>
                      <w:sz w:val="18"/>
                      <w:szCs w:val="18"/>
                    </w:rPr>
                  </w:pPr>
                </w:p>
              </w:tc>
              <w:tc>
                <w:tcPr>
                  <w:tcW w:w="4790" w:type="dxa"/>
                  <w:gridSpan w:val="3"/>
                  <w:vAlign w:val="center"/>
                </w:tcPr>
                <w:p>
                  <w:pPr>
                    <w:spacing w:line="240" w:lineRule="atLeast"/>
                    <w:jc w:val="center"/>
                    <w:rPr>
                      <w:rFonts w:cs="Times New Roman"/>
                      <w:color w:val="auto"/>
                      <w:sz w:val="18"/>
                      <w:szCs w:val="18"/>
                    </w:rPr>
                  </w:pPr>
                  <w:r>
                    <w:rPr>
                      <w:rFonts w:cs="Times New Roman"/>
                      <w:color w:val="auto"/>
                      <w:sz w:val="18"/>
                      <w:szCs w:val="18"/>
                    </w:rPr>
                    <w:t>总磷</w:t>
                  </w:r>
                </w:p>
              </w:tc>
              <w:tc>
                <w:tcPr>
                  <w:tcW w:w="1597" w:type="dxa"/>
                  <w:vAlign w:val="center"/>
                </w:tcPr>
                <w:p>
                  <w:pPr>
                    <w:spacing w:line="240" w:lineRule="atLeast"/>
                    <w:jc w:val="center"/>
                    <w:rPr>
                      <w:rFonts w:cs="Times New Roman"/>
                      <w:color w:val="auto"/>
                      <w:sz w:val="18"/>
                      <w:szCs w:val="18"/>
                    </w:rPr>
                  </w:pPr>
                  <w:r>
                    <w:rPr>
                      <w:rFonts w:hint="eastAsia" w:cs="Times New Roman"/>
                      <w:color w:val="auto"/>
                      <w:sz w:val="18"/>
                      <w:szCs w:val="18"/>
                    </w:rPr>
                    <w:t>0.0002</w:t>
                  </w:r>
                </w:p>
              </w:tc>
            </w:tr>
          </w:tbl>
          <w:p>
            <w:pPr>
              <w:adjustRightInd w:val="0"/>
              <w:snapToGrid w:val="0"/>
              <w:spacing w:line="460" w:lineRule="exact"/>
              <w:ind w:firstLine="470" w:firstLineChars="196"/>
              <w:jc w:val="left"/>
              <w:rPr>
                <w:rFonts w:eastAsia="黑体" w:cs="Times New Roman"/>
                <w:color w:val="auto"/>
                <w:sz w:val="24"/>
                <w:szCs w:val="24"/>
              </w:rPr>
            </w:pPr>
            <w:r>
              <w:rPr>
                <w:rFonts w:eastAsia="黑体" w:cs="Times New Roman"/>
                <w:color w:val="auto"/>
                <w:sz w:val="24"/>
                <w:szCs w:val="24"/>
              </w:rPr>
              <w:t>3、固体废弃物</w:t>
            </w:r>
          </w:p>
          <w:p>
            <w:pPr>
              <w:pStyle w:val="80"/>
              <w:spacing w:line="360" w:lineRule="auto"/>
              <w:ind w:firstLine="480" w:firstLineChars="200"/>
              <w:rPr>
                <w:rFonts w:hint="default" w:ascii="Times New Roman" w:hAnsi="Times New Roman"/>
                <w:b w:val="0"/>
                <w:bCs/>
                <w:color w:val="auto"/>
                <w:sz w:val="24"/>
                <w:szCs w:val="24"/>
                <w:lang w:eastAsia="zh-CN"/>
              </w:rPr>
            </w:pPr>
            <w:r>
              <w:rPr>
                <w:rFonts w:hint="default" w:ascii="Times New Roman" w:hAnsi="Times New Roman"/>
                <w:b w:val="0"/>
                <w:bCs/>
                <w:color w:val="auto"/>
                <w:sz w:val="24"/>
                <w:szCs w:val="24"/>
                <w:lang w:eastAsia="zh-CN"/>
              </w:rPr>
              <w:t>项目固废主要包括原料拆装过程中产生的废包装袋、废玻璃瓶（硝酸、贵金属）、检验不合格产品、纯水制备过程中产生的废滤芯和反渗透膜</w:t>
            </w:r>
            <w:r>
              <w:rPr>
                <w:rFonts w:hint="eastAsia" w:ascii="Times New Roman" w:hAnsi="Times New Roman"/>
                <w:b w:val="0"/>
                <w:bCs/>
                <w:color w:val="auto"/>
                <w:sz w:val="24"/>
                <w:szCs w:val="24"/>
                <w:lang w:eastAsia="zh-CN"/>
              </w:rPr>
              <w:t>、</w:t>
            </w:r>
            <w:r>
              <w:rPr>
                <w:rFonts w:hint="eastAsia" w:ascii="Times New Roman" w:hAnsi="Times New Roman"/>
                <w:b w:val="0"/>
                <w:bCs/>
                <w:color w:val="auto"/>
                <w:sz w:val="24"/>
                <w:szCs w:val="24"/>
                <w:lang w:val="en-US" w:eastAsia="zh-CN"/>
              </w:rPr>
              <w:t>絮凝沉淀池污泥</w:t>
            </w:r>
            <w:r>
              <w:rPr>
                <w:rFonts w:hint="default" w:ascii="Times New Roman" w:hAnsi="Times New Roman"/>
                <w:b w:val="0"/>
                <w:bCs/>
                <w:color w:val="auto"/>
                <w:sz w:val="24"/>
                <w:szCs w:val="24"/>
                <w:lang w:eastAsia="zh-CN"/>
              </w:rPr>
              <w:t>及职工办公生活垃圾。其中原料拆装过程产生的废玻璃容器（硝酸、贵金属容器）、检验过程中产生的不合格产品属于危险废物。</w:t>
            </w:r>
          </w:p>
          <w:p>
            <w:pPr>
              <w:autoSpaceDE w:val="0"/>
              <w:autoSpaceDN w:val="0"/>
              <w:spacing w:line="360" w:lineRule="auto"/>
              <w:ind w:firstLine="480" w:firstLineChars="200"/>
              <w:rPr>
                <w:rFonts w:cs="Times New Roman"/>
                <w:bCs/>
                <w:color w:val="auto"/>
                <w:sz w:val="24"/>
                <w:szCs w:val="24"/>
              </w:rPr>
            </w:pPr>
            <w:r>
              <w:rPr>
                <w:rFonts w:cs="Times New Roman"/>
                <w:bCs/>
                <w:color w:val="auto"/>
                <w:sz w:val="24"/>
                <w:szCs w:val="24"/>
              </w:rPr>
              <w:t>项目设置5m</w:t>
            </w:r>
            <w:r>
              <w:rPr>
                <w:rFonts w:cs="Times New Roman"/>
                <w:bCs/>
                <w:color w:val="auto"/>
                <w:sz w:val="24"/>
                <w:szCs w:val="24"/>
                <w:vertAlign w:val="superscript"/>
              </w:rPr>
              <w:t>2</w:t>
            </w:r>
            <w:r>
              <w:rPr>
                <w:rFonts w:cs="Times New Roman"/>
                <w:bCs/>
                <w:color w:val="auto"/>
                <w:sz w:val="24"/>
                <w:szCs w:val="24"/>
              </w:rPr>
              <w:t>一般固废暂存间一座，对一般固废进行分类暂存，一般固废暂存间和危废暂存间严格按照《一般工业固体废物贮存、处置场污染控制标准》（GB18599－2001）（2013年修订）要求建设，一般固废暂存后定期外售；</w:t>
            </w:r>
          </w:p>
          <w:p>
            <w:pPr>
              <w:autoSpaceDE w:val="0"/>
              <w:autoSpaceDN w:val="0"/>
              <w:spacing w:line="360" w:lineRule="auto"/>
              <w:ind w:firstLine="464" w:firstLineChars="200"/>
              <w:rPr>
                <w:rFonts w:eastAsia="宋体"/>
                <w:b w:val="0"/>
                <w:color w:val="auto"/>
                <w:spacing w:val="-4"/>
                <w:kern w:val="2"/>
                <w:sz w:val="24"/>
                <w:szCs w:val="24"/>
              </w:rPr>
            </w:pPr>
            <w:r>
              <w:rPr>
                <w:rFonts w:eastAsia="宋体"/>
                <w:b w:val="0"/>
                <w:color w:val="auto"/>
                <w:spacing w:val="-4"/>
                <w:kern w:val="2"/>
                <w:sz w:val="24"/>
                <w:szCs w:val="24"/>
              </w:rPr>
              <w:t>项目</w:t>
            </w:r>
            <w:r>
              <w:rPr>
                <w:rFonts w:hint="eastAsia" w:eastAsia="宋体"/>
                <w:b w:val="0"/>
                <w:color w:val="auto"/>
                <w:spacing w:val="-4"/>
                <w:kern w:val="2"/>
                <w:sz w:val="24"/>
                <w:szCs w:val="24"/>
              </w:rPr>
              <w:t>建设一座5</w:t>
            </w:r>
            <w:r>
              <w:rPr>
                <w:rFonts w:eastAsia="宋体"/>
                <w:b w:val="0"/>
                <w:color w:val="auto"/>
                <w:spacing w:val="-4"/>
                <w:kern w:val="2"/>
                <w:sz w:val="24"/>
                <w:szCs w:val="24"/>
              </w:rPr>
              <w:t>m</w:t>
            </w:r>
            <w:r>
              <w:rPr>
                <w:rFonts w:eastAsia="宋体"/>
                <w:b w:val="0"/>
                <w:color w:val="auto"/>
                <w:spacing w:val="-4"/>
                <w:kern w:val="2"/>
                <w:sz w:val="24"/>
                <w:szCs w:val="24"/>
                <w:vertAlign w:val="superscript"/>
              </w:rPr>
              <w:t>2</w:t>
            </w:r>
            <w:r>
              <w:rPr>
                <w:rFonts w:eastAsia="宋体"/>
                <w:b w:val="0"/>
                <w:color w:val="auto"/>
                <w:spacing w:val="-4"/>
                <w:kern w:val="2"/>
                <w:sz w:val="24"/>
                <w:szCs w:val="24"/>
              </w:rPr>
              <w:t>危废暂存间对危险废物暂存后，委托资质单位进行处理。该危险废物贮存间应严格按照《危险废物贮存污染控制标准》（GBl8597-2001）及其2013年修改单的相关要求进行防渗设计。危废暂存间必须防风、防雨、防晒、防渗漏，确保雨水无法进入，渗漏液无法外溢进入环境，地面与裙脚要用坚固、防渗的材料建造，防渗层为至少lm 厚粘土层（渗透系数≤10</w:t>
            </w:r>
            <w:r>
              <w:rPr>
                <w:rFonts w:eastAsia="宋体"/>
                <w:b w:val="0"/>
                <w:color w:val="auto"/>
                <w:spacing w:val="-4"/>
                <w:kern w:val="2"/>
                <w:sz w:val="24"/>
                <w:szCs w:val="24"/>
                <w:vertAlign w:val="superscript"/>
              </w:rPr>
              <w:t>-7</w:t>
            </w:r>
            <w:r>
              <w:rPr>
                <w:rFonts w:eastAsia="宋体"/>
                <w:b w:val="0"/>
                <w:color w:val="auto"/>
                <w:spacing w:val="-4"/>
                <w:kern w:val="2"/>
                <w:sz w:val="24"/>
                <w:szCs w:val="24"/>
              </w:rPr>
              <w:t>cm/s），或2mm 厚高密度聚乙烯，或至少2mm 厚的其它人工材料，渗透系数≤10</w:t>
            </w:r>
            <w:r>
              <w:rPr>
                <w:rFonts w:eastAsia="宋体"/>
                <w:b w:val="0"/>
                <w:color w:val="auto"/>
                <w:spacing w:val="-4"/>
                <w:kern w:val="2"/>
                <w:sz w:val="24"/>
                <w:szCs w:val="24"/>
                <w:vertAlign w:val="superscript"/>
              </w:rPr>
              <w:t>-10</w:t>
            </w:r>
            <w:r>
              <w:rPr>
                <w:rFonts w:eastAsia="宋体"/>
                <w:b w:val="0"/>
                <w:color w:val="auto"/>
                <w:spacing w:val="-4"/>
                <w:kern w:val="2"/>
                <w:sz w:val="24"/>
                <w:szCs w:val="24"/>
              </w:rPr>
              <w:t>cm/s，堆放危险废物的高度应根据地面承载能力确定。企业必须做好危险废物的申报登记，建立台帐管理制度，记录上注明危险废物的名称、来源、数量、特征和包装容器的类别、入库时问、存放库位、废物出库日期及接受单位名称。同时在危险废物转运的时候必须填写危险废物转运单。</w:t>
            </w:r>
          </w:p>
          <w:p>
            <w:pPr>
              <w:autoSpaceDE w:val="0"/>
              <w:autoSpaceDN w:val="0"/>
              <w:spacing w:line="360" w:lineRule="auto"/>
              <w:ind w:firstLine="480" w:firstLineChars="200"/>
              <w:rPr>
                <w:rFonts w:cs="Times New Roman"/>
                <w:color w:val="auto"/>
                <w:kern w:val="0"/>
                <w:sz w:val="24"/>
                <w:szCs w:val="24"/>
              </w:rPr>
            </w:pPr>
            <w:r>
              <w:rPr>
                <w:rFonts w:cs="Times New Roman"/>
                <w:bCs/>
                <w:color w:val="auto"/>
                <w:sz w:val="24"/>
                <w:szCs w:val="24"/>
              </w:rPr>
              <w:t>采取以上措施后，项目固废</w:t>
            </w:r>
            <w:r>
              <w:rPr>
                <w:rFonts w:cs="Times New Roman"/>
                <w:color w:val="auto"/>
                <w:kern w:val="0"/>
                <w:sz w:val="24"/>
                <w:szCs w:val="24"/>
              </w:rPr>
              <w:t>不会对周围环境造成影响，因此本项目固废处置方案可行。</w:t>
            </w:r>
          </w:p>
          <w:p>
            <w:pPr>
              <w:adjustRightInd w:val="0"/>
              <w:snapToGrid w:val="0"/>
              <w:spacing w:line="460" w:lineRule="exact"/>
              <w:ind w:firstLine="470" w:firstLineChars="196"/>
              <w:jc w:val="left"/>
              <w:rPr>
                <w:rFonts w:eastAsia="黑体" w:cs="Times New Roman"/>
                <w:color w:val="auto"/>
                <w:sz w:val="24"/>
                <w:szCs w:val="24"/>
              </w:rPr>
            </w:pPr>
            <w:r>
              <w:rPr>
                <w:rFonts w:eastAsia="黑体" w:cs="Times New Roman"/>
                <w:color w:val="auto"/>
                <w:sz w:val="24"/>
                <w:szCs w:val="24"/>
              </w:rPr>
              <w:t>4、噪声影响</w:t>
            </w:r>
          </w:p>
          <w:p>
            <w:pPr>
              <w:adjustRightInd w:val="0"/>
              <w:snapToGrid w:val="0"/>
              <w:spacing w:line="460" w:lineRule="exact"/>
              <w:ind w:firstLine="480" w:firstLineChars="200"/>
              <w:rPr>
                <w:rFonts w:cs="Times New Roman"/>
                <w:snapToGrid w:val="0"/>
                <w:color w:val="auto"/>
                <w:kern w:val="0"/>
                <w:sz w:val="24"/>
                <w:szCs w:val="24"/>
              </w:rPr>
            </w:pPr>
            <w:r>
              <w:rPr>
                <w:rFonts w:cs="Times New Roman"/>
                <w:snapToGrid w:val="0"/>
                <w:color w:val="auto"/>
                <w:kern w:val="0"/>
                <w:sz w:val="24"/>
                <w:szCs w:val="24"/>
              </w:rPr>
              <w:t>（1）噪声源强</w:t>
            </w:r>
          </w:p>
          <w:p>
            <w:pPr>
              <w:adjustRightInd w:val="0"/>
              <w:snapToGrid w:val="0"/>
              <w:spacing w:line="460" w:lineRule="exact"/>
              <w:ind w:firstLine="504" w:firstLineChars="200"/>
              <w:rPr>
                <w:rFonts w:cs="Times New Roman"/>
                <w:color w:val="auto"/>
                <w:spacing w:val="6"/>
                <w:sz w:val="24"/>
                <w:szCs w:val="24"/>
              </w:rPr>
            </w:pPr>
            <w:r>
              <w:rPr>
                <w:rFonts w:cs="Times New Roman"/>
                <w:color w:val="auto"/>
                <w:spacing w:val="6"/>
                <w:sz w:val="24"/>
                <w:szCs w:val="24"/>
              </w:rPr>
              <w:t>项目噪声主要为气动升降乳化机、半自动涂覆机、纯净水机等设备运行产生的机械噪声及风机运行产生的空气动力性噪声，噪声源强约为6</w:t>
            </w:r>
            <w:r>
              <w:rPr>
                <w:rFonts w:hint="eastAsia" w:cs="Times New Roman"/>
                <w:color w:val="auto"/>
                <w:spacing w:val="6"/>
                <w:sz w:val="24"/>
                <w:szCs w:val="24"/>
              </w:rPr>
              <w:t>5</w:t>
            </w:r>
            <w:r>
              <w:rPr>
                <w:rFonts w:cs="Times New Roman"/>
                <w:color w:val="auto"/>
                <w:spacing w:val="6"/>
                <w:sz w:val="24"/>
                <w:szCs w:val="24"/>
              </w:rPr>
              <w:t>~90dB（A）。评价要求项目生产设备采取室内布置、减振基础、加装隔声罩、消声等措施对项目噪声进行处理</w:t>
            </w:r>
            <w:r>
              <w:rPr>
                <w:rFonts w:hint="eastAsia" w:cs="Times New Roman"/>
                <w:color w:val="auto"/>
                <w:spacing w:val="6"/>
                <w:sz w:val="24"/>
                <w:szCs w:val="24"/>
              </w:rPr>
              <w:t>，处理后</w:t>
            </w:r>
            <w:r>
              <w:rPr>
                <w:rFonts w:cs="Times New Roman"/>
                <w:color w:val="auto"/>
                <w:spacing w:val="6"/>
                <w:sz w:val="24"/>
                <w:szCs w:val="24"/>
              </w:rPr>
              <w:t>噪声源强值约在</w:t>
            </w:r>
            <w:r>
              <w:rPr>
                <w:rFonts w:hint="eastAsia" w:cs="Times New Roman"/>
                <w:color w:val="auto"/>
                <w:spacing w:val="6"/>
                <w:sz w:val="24"/>
                <w:szCs w:val="24"/>
              </w:rPr>
              <w:t>40</w:t>
            </w:r>
            <w:r>
              <w:rPr>
                <w:rFonts w:cs="Times New Roman"/>
                <w:color w:val="auto"/>
                <w:spacing w:val="6"/>
                <w:sz w:val="24"/>
                <w:szCs w:val="24"/>
              </w:rPr>
              <w:t>~</w:t>
            </w:r>
            <w:r>
              <w:rPr>
                <w:rFonts w:hint="eastAsia" w:cs="Times New Roman"/>
                <w:color w:val="auto"/>
                <w:spacing w:val="6"/>
                <w:sz w:val="24"/>
                <w:szCs w:val="24"/>
              </w:rPr>
              <w:t>60</w:t>
            </w:r>
            <w:r>
              <w:rPr>
                <w:rFonts w:cs="Times New Roman"/>
                <w:color w:val="auto"/>
                <w:spacing w:val="6"/>
                <w:sz w:val="24"/>
                <w:szCs w:val="24"/>
              </w:rPr>
              <w:t>dB(A)之间</w:t>
            </w:r>
          </w:p>
          <w:p>
            <w:pPr>
              <w:adjustRightInd w:val="0"/>
              <w:snapToGrid w:val="0"/>
              <w:spacing w:line="460" w:lineRule="exact"/>
              <w:ind w:firstLine="480" w:firstLineChars="200"/>
              <w:rPr>
                <w:rFonts w:cs="Times New Roman"/>
                <w:snapToGrid w:val="0"/>
                <w:color w:val="auto"/>
                <w:kern w:val="0"/>
                <w:sz w:val="24"/>
                <w:szCs w:val="24"/>
              </w:rPr>
            </w:pPr>
            <w:r>
              <w:rPr>
                <w:rFonts w:cs="Times New Roman"/>
                <w:snapToGrid w:val="0"/>
                <w:color w:val="auto"/>
                <w:kern w:val="0"/>
                <w:sz w:val="24"/>
                <w:szCs w:val="24"/>
              </w:rPr>
              <w:t>（2）预测模式</w:t>
            </w:r>
          </w:p>
          <w:p>
            <w:pPr>
              <w:adjustRightInd w:val="0"/>
              <w:snapToGrid w:val="0"/>
              <w:spacing w:line="460" w:lineRule="exact"/>
              <w:ind w:firstLine="480" w:firstLineChars="200"/>
              <w:textAlignment w:val="baseline"/>
              <w:rPr>
                <w:rFonts w:cs="Times New Roman"/>
                <w:bCs/>
                <w:color w:val="auto"/>
                <w:kern w:val="0"/>
                <w:sz w:val="24"/>
                <w:szCs w:val="20"/>
              </w:rPr>
            </w:pPr>
            <w:r>
              <w:rPr>
                <w:rFonts w:cs="Times New Roman"/>
                <w:color w:val="auto"/>
                <w:kern w:val="0"/>
                <w:sz w:val="24"/>
                <w:szCs w:val="20"/>
              </w:rPr>
              <w:t>本次评价选用《环境影响评价技术导则声环境》（HJ2.4-2009）点声源衰减模式进行预测，将</w:t>
            </w:r>
            <w:r>
              <w:rPr>
                <w:rFonts w:cs="Times New Roman"/>
                <w:bCs/>
                <w:snapToGrid w:val="0"/>
                <w:color w:val="auto"/>
                <w:kern w:val="0"/>
                <w:sz w:val="24"/>
                <w:szCs w:val="24"/>
              </w:rPr>
              <w:t>生产车间的每个设备</w:t>
            </w:r>
            <w:r>
              <w:rPr>
                <w:rFonts w:cs="Times New Roman"/>
                <w:color w:val="auto"/>
                <w:sz w:val="24"/>
                <w:szCs w:val="20"/>
              </w:rPr>
              <w:t>分别作为一个点声源</w:t>
            </w:r>
            <w:r>
              <w:rPr>
                <w:rFonts w:cs="Times New Roman"/>
                <w:color w:val="auto"/>
                <w:kern w:val="0"/>
                <w:sz w:val="24"/>
                <w:szCs w:val="20"/>
              </w:rPr>
              <w:t>。预测方法采用多声源至受声点声压级估算方法，先用衰减模式分别计算出每个噪声源对某受声点的声压级，然后再叠加，即得到该点的总声压级。预测公式如下：</w:t>
            </w:r>
          </w:p>
          <w:p>
            <w:pPr>
              <w:widowControl/>
              <w:adjustRightInd w:val="0"/>
              <w:snapToGrid w:val="0"/>
              <w:spacing w:line="460" w:lineRule="exact"/>
              <w:ind w:firstLine="472" w:firstLineChars="197"/>
              <w:jc w:val="left"/>
              <w:rPr>
                <w:rFonts w:cs="Times New Roman"/>
                <w:bCs/>
                <w:color w:val="auto"/>
                <w:kern w:val="0"/>
                <w:sz w:val="24"/>
                <w:szCs w:val="20"/>
              </w:rPr>
            </w:pPr>
            <w:r>
              <w:rPr>
                <w:rFonts w:cs="Times New Roman"/>
                <w:color w:val="auto"/>
                <w:kern w:val="0"/>
                <w:sz w:val="24"/>
                <w:szCs w:val="20"/>
              </w:rPr>
              <w:t>①点源</w:t>
            </w:r>
            <w:r>
              <w:rPr>
                <w:rFonts w:cs="Times New Roman"/>
                <w:bCs/>
                <w:color w:val="auto"/>
                <w:kern w:val="0"/>
                <w:sz w:val="24"/>
                <w:szCs w:val="20"/>
              </w:rPr>
              <w:t>衰减模式：L=L</w:t>
            </w:r>
            <w:r>
              <w:rPr>
                <w:rFonts w:cs="Times New Roman"/>
                <w:bCs/>
                <w:color w:val="auto"/>
                <w:kern w:val="0"/>
                <w:sz w:val="24"/>
                <w:szCs w:val="20"/>
                <w:vertAlign w:val="subscript"/>
              </w:rPr>
              <w:t>0</w:t>
            </w:r>
            <w:r>
              <w:rPr>
                <w:rFonts w:cs="Times New Roman"/>
                <w:bCs/>
                <w:color w:val="auto"/>
                <w:kern w:val="0"/>
                <w:sz w:val="24"/>
                <w:szCs w:val="20"/>
              </w:rPr>
              <w:t>-20lg(r/r</w:t>
            </w:r>
            <w:r>
              <w:rPr>
                <w:rFonts w:cs="Times New Roman"/>
                <w:bCs/>
                <w:color w:val="auto"/>
                <w:kern w:val="0"/>
                <w:sz w:val="24"/>
                <w:szCs w:val="20"/>
                <w:vertAlign w:val="subscript"/>
              </w:rPr>
              <w:t>0</w:t>
            </w:r>
            <w:r>
              <w:rPr>
                <w:rFonts w:cs="Times New Roman"/>
                <w:bCs/>
                <w:color w:val="auto"/>
                <w:kern w:val="0"/>
                <w:sz w:val="24"/>
                <w:szCs w:val="20"/>
              </w:rPr>
              <w:t>)</w:t>
            </w:r>
          </w:p>
          <w:p>
            <w:pPr>
              <w:widowControl/>
              <w:adjustRightInd w:val="0"/>
              <w:snapToGrid w:val="0"/>
              <w:spacing w:line="460" w:lineRule="exact"/>
              <w:ind w:firstLine="480" w:firstLineChars="200"/>
              <w:jc w:val="left"/>
              <w:rPr>
                <w:rFonts w:cs="Times New Roman"/>
                <w:bCs/>
                <w:color w:val="auto"/>
                <w:kern w:val="0"/>
                <w:sz w:val="24"/>
                <w:szCs w:val="20"/>
              </w:rPr>
            </w:pPr>
            <w:r>
              <w:rPr>
                <w:rFonts w:cs="Times New Roman"/>
                <w:bCs/>
                <w:color w:val="auto"/>
                <w:kern w:val="0"/>
                <w:sz w:val="24"/>
                <w:szCs w:val="20"/>
              </w:rPr>
              <w:t>式中：L—受声点的声压级，dB（A）；</w:t>
            </w:r>
          </w:p>
          <w:p>
            <w:pPr>
              <w:widowControl/>
              <w:adjustRightInd w:val="0"/>
              <w:snapToGrid w:val="0"/>
              <w:spacing w:line="360" w:lineRule="auto"/>
              <w:ind w:firstLine="1320" w:firstLineChars="550"/>
              <w:jc w:val="left"/>
              <w:rPr>
                <w:rFonts w:cs="Times New Roman"/>
                <w:bCs/>
                <w:color w:val="auto"/>
                <w:kern w:val="0"/>
                <w:sz w:val="24"/>
                <w:szCs w:val="20"/>
              </w:rPr>
            </w:pPr>
            <w:r>
              <w:rPr>
                <w:rFonts w:cs="Times New Roman"/>
                <w:bCs/>
                <w:color w:val="auto"/>
                <w:kern w:val="0"/>
                <w:sz w:val="24"/>
                <w:szCs w:val="20"/>
              </w:rPr>
              <w:t>L</w:t>
            </w:r>
            <w:r>
              <w:rPr>
                <w:rFonts w:cs="Times New Roman"/>
                <w:bCs/>
                <w:color w:val="auto"/>
                <w:kern w:val="0"/>
                <w:sz w:val="24"/>
                <w:szCs w:val="20"/>
                <w:vertAlign w:val="subscript"/>
              </w:rPr>
              <w:t>0</w:t>
            </w:r>
            <w:r>
              <w:rPr>
                <w:rFonts w:cs="Times New Roman"/>
                <w:bCs/>
                <w:color w:val="auto"/>
                <w:kern w:val="0"/>
                <w:sz w:val="24"/>
                <w:szCs w:val="20"/>
              </w:rPr>
              <w:t>—厂房外声源源强，dB（A）；</w:t>
            </w:r>
          </w:p>
          <w:p>
            <w:pPr>
              <w:widowControl/>
              <w:adjustRightInd w:val="0"/>
              <w:snapToGrid w:val="0"/>
              <w:spacing w:line="360" w:lineRule="auto"/>
              <w:ind w:firstLine="480" w:firstLineChars="200"/>
              <w:jc w:val="left"/>
              <w:rPr>
                <w:rFonts w:cs="Times New Roman"/>
                <w:bCs/>
                <w:color w:val="auto"/>
                <w:kern w:val="0"/>
                <w:sz w:val="24"/>
                <w:szCs w:val="20"/>
              </w:rPr>
            </w:pPr>
            <w:r>
              <w:rPr>
                <w:rFonts w:cs="Times New Roman"/>
                <w:bCs/>
                <w:color w:val="auto"/>
                <w:kern w:val="0"/>
                <w:sz w:val="24"/>
                <w:szCs w:val="20"/>
              </w:rPr>
              <w:t xml:space="preserve">       r—厂房外声源与厂界之间的距离，m；</w:t>
            </w:r>
          </w:p>
          <w:p>
            <w:pPr>
              <w:widowControl/>
              <w:adjustRightInd w:val="0"/>
              <w:snapToGrid w:val="0"/>
              <w:spacing w:line="360" w:lineRule="auto"/>
              <w:ind w:firstLine="480" w:firstLineChars="200"/>
              <w:jc w:val="left"/>
              <w:rPr>
                <w:rFonts w:cs="Times New Roman"/>
                <w:bCs/>
                <w:color w:val="auto"/>
                <w:kern w:val="0"/>
                <w:sz w:val="24"/>
                <w:szCs w:val="20"/>
              </w:rPr>
            </w:pPr>
            <w:r>
              <w:rPr>
                <w:rFonts w:cs="Times New Roman"/>
                <w:bCs/>
                <w:color w:val="auto"/>
                <w:kern w:val="0"/>
                <w:sz w:val="24"/>
                <w:szCs w:val="20"/>
              </w:rPr>
              <w:t xml:space="preserve">       r</w:t>
            </w:r>
            <w:r>
              <w:rPr>
                <w:rFonts w:cs="Times New Roman"/>
                <w:bCs/>
                <w:color w:val="auto"/>
                <w:kern w:val="0"/>
                <w:sz w:val="24"/>
                <w:szCs w:val="20"/>
                <w:vertAlign w:val="subscript"/>
              </w:rPr>
              <w:t>0</w:t>
            </w:r>
            <w:r>
              <w:rPr>
                <w:rFonts w:cs="Times New Roman"/>
                <w:bCs/>
                <w:color w:val="auto"/>
                <w:kern w:val="0"/>
                <w:sz w:val="24"/>
                <w:szCs w:val="20"/>
              </w:rPr>
              <w:t>—距噪声源距离，取1m。</w:t>
            </w:r>
          </w:p>
          <w:p>
            <w:pPr>
              <w:widowControl/>
              <w:adjustRightInd w:val="0"/>
              <w:snapToGrid w:val="0"/>
              <w:spacing w:line="360" w:lineRule="auto"/>
              <w:ind w:firstLine="480" w:firstLineChars="200"/>
              <w:jc w:val="left"/>
              <w:rPr>
                <w:rFonts w:cs="Times New Roman"/>
                <w:color w:val="auto"/>
                <w:kern w:val="0"/>
                <w:sz w:val="24"/>
                <w:szCs w:val="20"/>
              </w:rPr>
            </w:pPr>
            <w:r>
              <w:rPr>
                <w:rFonts w:cs="Times New Roman"/>
                <w:color w:val="auto"/>
                <w:kern w:val="0"/>
                <w:sz w:val="24"/>
                <w:szCs w:val="20"/>
              </w:rPr>
              <w:t>②噪声叠加模式：</w:t>
            </w:r>
            <w:r>
              <w:rPr>
                <w:rFonts w:cs="Times New Roman"/>
                <w:color w:val="auto"/>
                <w:sz w:val="24"/>
                <w:szCs w:val="20"/>
              </w:rPr>
              <w:t>L</w:t>
            </w:r>
            <w:r>
              <w:rPr>
                <w:rFonts w:cs="Times New Roman"/>
                <w:color w:val="auto"/>
                <w:sz w:val="24"/>
                <w:szCs w:val="20"/>
                <w:vertAlign w:val="subscript"/>
              </w:rPr>
              <w:t>A</w:t>
            </w:r>
            <w:r>
              <w:rPr>
                <w:rFonts w:cs="Times New Roman"/>
                <w:color w:val="auto"/>
                <w:sz w:val="24"/>
                <w:szCs w:val="20"/>
              </w:rPr>
              <w:t>=10lg(∑10</w:t>
            </w:r>
            <w:r>
              <w:rPr>
                <w:rFonts w:cs="Times New Roman"/>
                <w:color w:val="auto"/>
                <w:sz w:val="24"/>
                <w:szCs w:val="20"/>
                <w:vertAlign w:val="superscript"/>
              </w:rPr>
              <w:t>0.1Li</w:t>
            </w:r>
            <w:r>
              <w:rPr>
                <w:rFonts w:cs="Times New Roman"/>
                <w:color w:val="auto"/>
                <w:sz w:val="24"/>
                <w:szCs w:val="20"/>
              </w:rPr>
              <w:t>)，dB(A)</w:t>
            </w:r>
          </w:p>
          <w:p>
            <w:pPr>
              <w:autoSpaceDE w:val="0"/>
              <w:autoSpaceDN w:val="0"/>
              <w:adjustRightInd w:val="0"/>
              <w:snapToGrid w:val="0"/>
              <w:spacing w:line="360" w:lineRule="auto"/>
              <w:ind w:firstLine="592" w:firstLineChars="247"/>
              <w:jc w:val="left"/>
              <w:rPr>
                <w:rFonts w:cs="Times New Roman"/>
                <w:color w:val="auto"/>
                <w:kern w:val="0"/>
                <w:sz w:val="24"/>
                <w:szCs w:val="20"/>
              </w:rPr>
            </w:pPr>
            <w:r>
              <w:rPr>
                <w:rFonts w:cs="Times New Roman"/>
                <w:color w:val="auto"/>
                <w:kern w:val="0"/>
                <w:sz w:val="24"/>
                <w:szCs w:val="20"/>
              </w:rPr>
              <w:t>式中：</w:t>
            </w:r>
            <w:r>
              <w:rPr>
                <w:rFonts w:cs="Times New Roman"/>
                <w:color w:val="auto"/>
                <w:sz w:val="24"/>
                <w:szCs w:val="20"/>
              </w:rPr>
              <w:t>L</w:t>
            </w:r>
            <w:r>
              <w:rPr>
                <w:rFonts w:cs="Times New Roman"/>
                <w:color w:val="auto"/>
                <w:sz w:val="24"/>
                <w:szCs w:val="20"/>
                <w:vertAlign w:val="subscript"/>
              </w:rPr>
              <w:t>A</w:t>
            </w:r>
            <w:r>
              <w:rPr>
                <w:rFonts w:cs="Times New Roman"/>
                <w:color w:val="auto"/>
                <w:kern w:val="0"/>
                <w:sz w:val="24"/>
                <w:szCs w:val="20"/>
              </w:rPr>
              <w:t>—预侧点噪声叠加值，dB（A）；</w:t>
            </w:r>
          </w:p>
          <w:p>
            <w:pPr>
              <w:adjustRightInd w:val="0"/>
              <w:snapToGrid w:val="0"/>
              <w:spacing w:line="360" w:lineRule="auto"/>
              <w:ind w:firstLine="1320" w:firstLineChars="550"/>
              <w:rPr>
                <w:rFonts w:cs="Times New Roman"/>
                <w:snapToGrid w:val="0"/>
                <w:color w:val="auto"/>
                <w:kern w:val="0"/>
                <w:sz w:val="24"/>
                <w:szCs w:val="24"/>
              </w:rPr>
            </w:pPr>
            <w:r>
              <w:rPr>
                <w:rFonts w:cs="Times New Roman"/>
                <w:color w:val="auto"/>
                <w:kern w:val="0"/>
                <w:sz w:val="24"/>
                <w:szCs w:val="20"/>
              </w:rPr>
              <w:t>Li—第i个声源的声压级，dB（A）</w:t>
            </w:r>
          </w:p>
          <w:p>
            <w:pPr>
              <w:adjustRightInd w:val="0"/>
              <w:snapToGrid w:val="0"/>
              <w:spacing w:line="360" w:lineRule="auto"/>
              <w:ind w:firstLine="480" w:firstLineChars="200"/>
              <w:rPr>
                <w:rFonts w:cs="Times New Roman"/>
                <w:snapToGrid w:val="0"/>
                <w:color w:val="auto"/>
                <w:kern w:val="0"/>
                <w:sz w:val="24"/>
                <w:szCs w:val="24"/>
              </w:rPr>
            </w:pPr>
            <w:r>
              <w:rPr>
                <w:rFonts w:cs="Times New Roman"/>
                <w:snapToGrid w:val="0"/>
                <w:color w:val="auto"/>
                <w:kern w:val="0"/>
                <w:sz w:val="24"/>
                <w:szCs w:val="24"/>
              </w:rPr>
              <w:t>（3）预测结果及评价</w:t>
            </w:r>
          </w:p>
          <w:p>
            <w:pPr>
              <w:widowControl/>
              <w:adjustRightInd w:val="0"/>
              <w:snapToGrid w:val="0"/>
              <w:spacing w:line="360" w:lineRule="auto"/>
              <w:ind w:firstLine="480" w:firstLineChars="200"/>
              <w:jc w:val="left"/>
              <w:rPr>
                <w:rFonts w:cs="Times New Roman"/>
                <w:color w:val="auto"/>
                <w:kern w:val="0"/>
                <w:sz w:val="24"/>
                <w:szCs w:val="20"/>
              </w:rPr>
            </w:pPr>
            <w:r>
              <w:rPr>
                <w:rFonts w:cs="Times New Roman"/>
                <w:color w:val="auto"/>
                <w:kern w:val="0"/>
                <w:sz w:val="24"/>
                <w:szCs w:val="20"/>
              </w:rPr>
              <w:t>根据项目噪声源在厂区的分布和源强，以及其与四周厂界的距离及建筑物的衰减状况，计算出各声源对四个厂界的噪声贡献值，各厂界噪声影响情况预测结果见下表。</w:t>
            </w:r>
          </w:p>
          <w:p>
            <w:pPr>
              <w:pStyle w:val="21"/>
              <w:ind w:firstLine="420"/>
              <w:rPr>
                <w:color w:val="auto"/>
              </w:rPr>
            </w:pPr>
            <w:bookmarkStart w:id="7" w:name="_Toc14088_WPSOffice_Level3"/>
            <w:r>
              <w:rPr>
                <w:rFonts w:hint="eastAsia"/>
                <w:color w:val="auto"/>
              </w:rPr>
              <w:t xml:space="preserve">               </w:t>
            </w:r>
            <w:r>
              <w:rPr>
                <w:color w:val="auto"/>
              </w:rPr>
              <w:t xml:space="preserve"> 项目厂界噪声预测结果   </w:t>
            </w:r>
            <w:r>
              <w:rPr>
                <w:rFonts w:hint="eastAsia"/>
                <w:color w:val="auto"/>
              </w:rPr>
              <w:t xml:space="preserve">              </w:t>
            </w:r>
            <w:r>
              <w:rPr>
                <w:color w:val="auto"/>
              </w:rPr>
              <w:t>单位：dB（A）</w:t>
            </w:r>
            <w:bookmarkEnd w:id="7"/>
          </w:p>
          <w:tbl>
            <w:tblPr>
              <w:tblStyle w:val="26"/>
              <w:tblW w:w="8586"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66"/>
              <w:gridCol w:w="1755"/>
              <w:gridCol w:w="1726"/>
              <w:gridCol w:w="1690"/>
              <w:gridCol w:w="124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2" w:hRule="atLeast"/>
                <w:jc w:val="center"/>
              </w:trPr>
              <w:tc>
                <w:tcPr>
                  <w:tcW w:w="2166" w:type="dxa"/>
                  <w:vMerge w:val="restart"/>
                  <w:vAlign w:val="center"/>
                </w:tcPr>
                <w:p>
                  <w:pPr>
                    <w:jc w:val="center"/>
                    <w:rPr>
                      <w:rFonts w:cs="Times New Roman"/>
                      <w:color w:val="auto"/>
                      <w:sz w:val="18"/>
                      <w:szCs w:val="18"/>
                    </w:rPr>
                  </w:pPr>
                  <w:r>
                    <w:rPr>
                      <w:rFonts w:cs="Times New Roman"/>
                      <w:color w:val="auto"/>
                      <w:sz w:val="18"/>
                      <w:szCs w:val="18"/>
                    </w:rPr>
                    <w:t>预测点</w:t>
                  </w:r>
                </w:p>
              </w:tc>
              <w:tc>
                <w:tcPr>
                  <w:tcW w:w="1755" w:type="dxa"/>
                  <w:vMerge w:val="restart"/>
                  <w:vAlign w:val="center"/>
                </w:tcPr>
                <w:p>
                  <w:pPr>
                    <w:ind w:left="110"/>
                    <w:jc w:val="center"/>
                    <w:rPr>
                      <w:rFonts w:cs="Times New Roman"/>
                      <w:color w:val="auto"/>
                      <w:sz w:val="18"/>
                      <w:szCs w:val="18"/>
                    </w:rPr>
                  </w:pPr>
                  <w:r>
                    <w:rPr>
                      <w:rFonts w:cs="Times New Roman"/>
                      <w:color w:val="auto"/>
                      <w:sz w:val="18"/>
                      <w:szCs w:val="18"/>
                    </w:rPr>
                    <w:t>贡献值</w:t>
                  </w:r>
                </w:p>
              </w:tc>
              <w:tc>
                <w:tcPr>
                  <w:tcW w:w="3416" w:type="dxa"/>
                  <w:gridSpan w:val="2"/>
                  <w:vAlign w:val="center"/>
                </w:tcPr>
                <w:p>
                  <w:pPr>
                    <w:jc w:val="center"/>
                    <w:rPr>
                      <w:rFonts w:cs="Times New Roman"/>
                      <w:color w:val="auto"/>
                      <w:sz w:val="18"/>
                      <w:szCs w:val="18"/>
                    </w:rPr>
                  </w:pPr>
                  <w:r>
                    <w:rPr>
                      <w:rFonts w:cs="Times New Roman"/>
                      <w:color w:val="auto"/>
                      <w:sz w:val="18"/>
                      <w:szCs w:val="18"/>
                    </w:rPr>
                    <w:t>标准值</w:t>
                  </w:r>
                </w:p>
              </w:tc>
              <w:tc>
                <w:tcPr>
                  <w:tcW w:w="1249" w:type="dxa"/>
                  <w:vMerge w:val="restart"/>
                  <w:vAlign w:val="center"/>
                </w:tcPr>
                <w:p>
                  <w:pPr>
                    <w:jc w:val="center"/>
                    <w:rPr>
                      <w:rFonts w:cs="Times New Roman"/>
                      <w:color w:val="auto"/>
                      <w:sz w:val="18"/>
                      <w:szCs w:val="18"/>
                    </w:rPr>
                  </w:pPr>
                  <w:r>
                    <w:rPr>
                      <w:rFonts w:cs="Times New Roman"/>
                      <w:color w:val="auto"/>
                      <w:sz w:val="18"/>
                      <w:szCs w:val="18"/>
                    </w:rPr>
                    <w:t>达标情况</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2166" w:type="dxa"/>
                  <w:vMerge w:val="continue"/>
                  <w:vAlign w:val="center"/>
                </w:tcPr>
                <w:p>
                  <w:pPr>
                    <w:jc w:val="center"/>
                    <w:rPr>
                      <w:rFonts w:cs="Times New Roman"/>
                      <w:color w:val="auto"/>
                      <w:sz w:val="18"/>
                      <w:szCs w:val="18"/>
                    </w:rPr>
                  </w:pPr>
                </w:p>
              </w:tc>
              <w:tc>
                <w:tcPr>
                  <w:tcW w:w="1755" w:type="dxa"/>
                  <w:vMerge w:val="continue"/>
                  <w:vAlign w:val="center"/>
                </w:tcPr>
                <w:p>
                  <w:pPr>
                    <w:ind w:left="110"/>
                    <w:jc w:val="center"/>
                    <w:rPr>
                      <w:rFonts w:cs="Times New Roman"/>
                      <w:color w:val="auto"/>
                      <w:sz w:val="18"/>
                      <w:szCs w:val="18"/>
                    </w:rPr>
                  </w:pPr>
                </w:p>
              </w:tc>
              <w:tc>
                <w:tcPr>
                  <w:tcW w:w="1726" w:type="dxa"/>
                  <w:vAlign w:val="center"/>
                </w:tcPr>
                <w:p>
                  <w:pPr>
                    <w:ind w:left="110"/>
                    <w:jc w:val="center"/>
                    <w:rPr>
                      <w:rFonts w:cs="Times New Roman"/>
                      <w:color w:val="auto"/>
                      <w:sz w:val="18"/>
                      <w:szCs w:val="18"/>
                    </w:rPr>
                  </w:pPr>
                  <w:r>
                    <w:rPr>
                      <w:rFonts w:cs="Times New Roman"/>
                      <w:color w:val="auto"/>
                      <w:sz w:val="18"/>
                      <w:szCs w:val="18"/>
                    </w:rPr>
                    <w:t>昼间</w:t>
                  </w:r>
                </w:p>
              </w:tc>
              <w:tc>
                <w:tcPr>
                  <w:tcW w:w="1690" w:type="dxa"/>
                  <w:vAlign w:val="center"/>
                </w:tcPr>
                <w:p>
                  <w:pPr>
                    <w:ind w:left="110"/>
                    <w:jc w:val="center"/>
                    <w:rPr>
                      <w:rFonts w:cs="Times New Roman"/>
                      <w:color w:val="auto"/>
                      <w:sz w:val="18"/>
                      <w:szCs w:val="18"/>
                    </w:rPr>
                  </w:pPr>
                  <w:r>
                    <w:rPr>
                      <w:rFonts w:cs="Times New Roman"/>
                      <w:color w:val="auto"/>
                      <w:sz w:val="18"/>
                      <w:szCs w:val="18"/>
                    </w:rPr>
                    <w:t>夜间</w:t>
                  </w:r>
                </w:p>
              </w:tc>
              <w:tc>
                <w:tcPr>
                  <w:tcW w:w="1249" w:type="dxa"/>
                  <w:vMerge w:val="continue"/>
                  <w:vAlign w:val="center"/>
                </w:tcPr>
                <w:p>
                  <w:pPr>
                    <w:jc w:val="center"/>
                    <w:rPr>
                      <w:rFonts w:cs="Times New Roman"/>
                      <w:color w:val="auto"/>
                      <w:sz w:val="18"/>
                      <w:szCs w:val="18"/>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7" w:hRule="atLeast"/>
                <w:jc w:val="center"/>
              </w:trPr>
              <w:tc>
                <w:tcPr>
                  <w:tcW w:w="2166" w:type="dxa"/>
                  <w:vAlign w:val="center"/>
                </w:tcPr>
                <w:p>
                  <w:pPr>
                    <w:jc w:val="center"/>
                    <w:rPr>
                      <w:rFonts w:cs="Times New Roman"/>
                      <w:color w:val="auto"/>
                      <w:sz w:val="18"/>
                      <w:szCs w:val="18"/>
                    </w:rPr>
                  </w:pPr>
                  <w:r>
                    <w:rPr>
                      <w:rFonts w:cs="Times New Roman"/>
                      <w:color w:val="auto"/>
                      <w:sz w:val="18"/>
                      <w:szCs w:val="18"/>
                    </w:rPr>
                    <w:t>东厂界</w:t>
                  </w:r>
                </w:p>
              </w:tc>
              <w:tc>
                <w:tcPr>
                  <w:tcW w:w="1755" w:type="dxa"/>
                  <w:vAlign w:val="center"/>
                </w:tcPr>
                <w:p>
                  <w:pPr>
                    <w:jc w:val="center"/>
                    <w:rPr>
                      <w:rFonts w:cs="Times New Roman"/>
                      <w:color w:val="auto"/>
                      <w:sz w:val="18"/>
                      <w:szCs w:val="18"/>
                    </w:rPr>
                  </w:pPr>
                  <w:r>
                    <w:rPr>
                      <w:rFonts w:hint="eastAsia" w:cs="Times New Roman"/>
                      <w:color w:val="auto"/>
                      <w:sz w:val="18"/>
                      <w:szCs w:val="18"/>
                    </w:rPr>
                    <w:t>20.13</w:t>
                  </w:r>
                </w:p>
              </w:tc>
              <w:tc>
                <w:tcPr>
                  <w:tcW w:w="1726" w:type="dxa"/>
                  <w:vAlign w:val="center"/>
                </w:tcPr>
                <w:p>
                  <w:pPr>
                    <w:adjustRightInd w:val="0"/>
                    <w:snapToGrid w:val="0"/>
                    <w:jc w:val="center"/>
                    <w:rPr>
                      <w:rFonts w:cs="Times New Roman"/>
                      <w:color w:val="auto"/>
                      <w:sz w:val="18"/>
                      <w:szCs w:val="18"/>
                    </w:rPr>
                  </w:pPr>
                  <w:r>
                    <w:rPr>
                      <w:rFonts w:hint="eastAsia" w:cs="Times New Roman"/>
                      <w:color w:val="auto"/>
                      <w:sz w:val="18"/>
                      <w:szCs w:val="18"/>
                    </w:rPr>
                    <w:t>60</w:t>
                  </w:r>
                </w:p>
              </w:tc>
              <w:tc>
                <w:tcPr>
                  <w:tcW w:w="1690" w:type="dxa"/>
                  <w:vAlign w:val="center"/>
                </w:tcPr>
                <w:p>
                  <w:pPr>
                    <w:adjustRightInd w:val="0"/>
                    <w:snapToGrid w:val="0"/>
                    <w:jc w:val="center"/>
                    <w:rPr>
                      <w:rFonts w:cs="Times New Roman"/>
                      <w:color w:val="auto"/>
                      <w:sz w:val="18"/>
                      <w:szCs w:val="18"/>
                    </w:rPr>
                  </w:pPr>
                  <w:r>
                    <w:rPr>
                      <w:rFonts w:hint="eastAsia" w:cs="Times New Roman"/>
                      <w:color w:val="auto"/>
                      <w:sz w:val="18"/>
                      <w:szCs w:val="18"/>
                    </w:rPr>
                    <w:t>50</w:t>
                  </w:r>
                </w:p>
              </w:tc>
              <w:tc>
                <w:tcPr>
                  <w:tcW w:w="1249" w:type="dxa"/>
                  <w:vAlign w:val="center"/>
                </w:tcPr>
                <w:p>
                  <w:pPr>
                    <w:jc w:val="center"/>
                    <w:rPr>
                      <w:rFonts w:cs="Times New Roman"/>
                      <w:color w:val="auto"/>
                      <w:sz w:val="18"/>
                      <w:szCs w:val="18"/>
                    </w:rPr>
                  </w:pPr>
                  <w:r>
                    <w:rPr>
                      <w:rFonts w:cs="Times New Roman"/>
                      <w:color w:val="auto"/>
                      <w:sz w:val="18"/>
                      <w:szCs w:val="18"/>
                    </w:rPr>
                    <w:t>达标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2" w:hRule="atLeast"/>
                <w:jc w:val="center"/>
              </w:trPr>
              <w:tc>
                <w:tcPr>
                  <w:tcW w:w="2166" w:type="dxa"/>
                  <w:vAlign w:val="center"/>
                </w:tcPr>
                <w:p>
                  <w:pPr>
                    <w:jc w:val="center"/>
                    <w:rPr>
                      <w:rFonts w:cs="Times New Roman"/>
                      <w:color w:val="auto"/>
                      <w:sz w:val="18"/>
                      <w:szCs w:val="18"/>
                    </w:rPr>
                  </w:pPr>
                  <w:r>
                    <w:rPr>
                      <w:rFonts w:cs="Times New Roman"/>
                      <w:color w:val="auto"/>
                      <w:sz w:val="18"/>
                      <w:szCs w:val="18"/>
                    </w:rPr>
                    <w:t>南厂界</w:t>
                  </w:r>
                </w:p>
              </w:tc>
              <w:tc>
                <w:tcPr>
                  <w:tcW w:w="1755" w:type="dxa"/>
                  <w:vAlign w:val="center"/>
                </w:tcPr>
                <w:p>
                  <w:pPr>
                    <w:jc w:val="center"/>
                    <w:rPr>
                      <w:rFonts w:cs="Times New Roman"/>
                      <w:color w:val="auto"/>
                      <w:sz w:val="18"/>
                      <w:szCs w:val="18"/>
                    </w:rPr>
                  </w:pPr>
                  <w:r>
                    <w:rPr>
                      <w:rFonts w:hint="eastAsia" w:cs="Times New Roman"/>
                      <w:color w:val="auto"/>
                      <w:sz w:val="18"/>
                      <w:szCs w:val="18"/>
                    </w:rPr>
                    <w:t>15.02</w:t>
                  </w:r>
                </w:p>
              </w:tc>
              <w:tc>
                <w:tcPr>
                  <w:tcW w:w="1726" w:type="dxa"/>
                  <w:vAlign w:val="center"/>
                </w:tcPr>
                <w:p>
                  <w:pPr>
                    <w:adjustRightInd w:val="0"/>
                    <w:snapToGrid w:val="0"/>
                    <w:jc w:val="center"/>
                    <w:rPr>
                      <w:rFonts w:cs="Times New Roman"/>
                      <w:color w:val="auto"/>
                      <w:sz w:val="18"/>
                      <w:szCs w:val="18"/>
                    </w:rPr>
                  </w:pPr>
                  <w:r>
                    <w:rPr>
                      <w:rFonts w:hint="eastAsia" w:cs="Times New Roman"/>
                      <w:color w:val="auto"/>
                      <w:sz w:val="18"/>
                      <w:szCs w:val="18"/>
                    </w:rPr>
                    <w:t>60</w:t>
                  </w:r>
                </w:p>
              </w:tc>
              <w:tc>
                <w:tcPr>
                  <w:tcW w:w="1690" w:type="dxa"/>
                  <w:vAlign w:val="center"/>
                </w:tcPr>
                <w:p>
                  <w:pPr>
                    <w:adjustRightInd w:val="0"/>
                    <w:snapToGrid w:val="0"/>
                    <w:jc w:val="center"/>
                    <w:rPr>
                      <w:rFonts w:cs="Times New Roman"/>
                      <w:color w:val="auto"/>
                      <w:sz w:val="18"/>
                      <w:szCs w:val="18"/>
                    </w:rPr>
                  </w:pPr>
                  <w:r>
                    <w:rPr>
                      <w:rFonts w:hint="eastAsia" w:cs="Times New Roman"/>
                      <w:color w:val="auto"/>
                      <w:sz w:val="18"/>
                      <w:szCs w:val="18"/>
                    </w:rPr>
                    <w:t>50</w:t>
                  </w:r>
                </w:p>
              </w:tc>
              <w:tc>
                <w:tcPr>
                  <w:tcW w:w="1249" w:type="dxa"/>
                  <w:vAlign w:val="center"/>
                </w:tcPr>
                <w:p>
                  <w:pPr>
                    <w:jc w:val="center"/>
                    <w:rPr>
                      <w:rFonts w:cs="Times New Roman"/>
                      <w:color w:val="auto"/>
                      <w:sz w:val="18"/>
                      <w:szCs w:val="18"/>
                    </w:rPr>
                  </w:pPr>
                  <w:r>
                    <w:rPr>
                      <w:rFonts w:cs="Times New Roman"/>
                      <w:color w:val="auto"/>
                      <w:sz w:val="18"/>
                      <w:szCs w:val="18"/>
                    </w:rPr>
                    <w:t>达标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2166" w:type="dxa"/>
                  <w:vAlign w:val="center"/>
                </w:tcPr>
                <w:p>
                  <w:pPr>
                    <w:jc w:val="center"/>
                    <w:rPr>
                      <w:rFonts w:cs="Times New Roman"/>
                      <w:color w:val="auto"/>
                      <w:sz w:val="18"/>
                      <w:szCs w:val="18"/>
                    </w:rPr>
                  </w:pPr>
                  <w:r>
                    <w:rPr>
                      <w:rFonts w:cs="Times New Roman"/>
                      <w:color w:val="auto"/>
                      <w:sz w:val="18"/>
                      <w:szCs w:val="18"/>
                    </w:rPr>
                    <w:t>西厂界</w:t>
                  </w:r>
                </w:p>
              </w:tc>
              <w:tc>
                <w:tcPr>
                  <w:tcW w:w="1755" w:type="dxa"/>
                  <w:vAlign w:val="center"/>
                </w:tcPr>
                <w:p>
                  <w:pPr>
                    <w:jc w:val="center"/>
                    <w:rPr>
                      <w:rFonts w:cs="Times New Roman"/>
                      <w:color w:val="auto"/>
                      <w:sz w:val="18"/>
                      <w:szCs w:val="18"/>
                    </w:rPr>
                  </w:pPr>
                  <w:r>
                    <w:rPr>
                      <w:rFonts w:hint="eastAsia" w:cs="Times New Roman"/>
                      <w:color w:val="auto"/>
                      <w:sz w:val="18"/>
                      <w:szCs w:val="18"/>
                    </w:rPr>
                    <w:t>40.13</w:t>
                  </w:r>
                </w:p>
              </w:tc>
              <w:tc>
                <w:tcPr>
                  <w:tcW w:w="1726" w:type="dxa"/>
                  <w:vAlign w:val="center"/>
                </w:tcPr>
                <w:p>
                  <w:pPr>
                    <w:adjustRightInd w:val="0"/>
                    <w:snapToGrid w:val="0"/>
                    <w:jc w:val="center"/>
                    <w:rPr>
                      <w:rFonts w:cs="Times New Roman"/>
                      <w:color w:val="auto"/>
                      <w:sz w:val="18"/>
                      <w:szCs w:val="18"/>
                    </w:rPr>
                  </w:pPr>
                  <w:r>
                    <w:rPr>
                      <w:rFonts w:hint="eastAsia" w:cs="Times New Roman"/>
                      <w:color w:val="auto"/>
                      <w:sz w:val="18"/>
                      <w:szCs w:val="18"/>
                    </w:rPr>
                    <w:t>60</w:t>
                  </w:r>
                </w:p>
              </w:tc>
              <w:tc>
                <w:tcPr>
                  <w:tcW w:w="1690" w:type="dxa"/>
                  <w:vAlign w:val="center"/>
                </w:tcPr>
                <w:p>
                  <w:pPr>
                    <w:adjustRightInd w:val="0"/>
                    <w:snapToGrid w:val="0"/>
                    <w:jc w:val="center"/>
                    <w:rPr>
                      <w:rFonts w:cs="Times New Roman"/>
                      <w:color w:val="auto"/>
                      <w:sz w:val="18"/>
                      <w:szCs w:val="18"/>
                    </w:rPr>
                  </w:pPr>
                  <w:r>
                    <w:rPr>
                      <w:rFonts w:hint="eastAsia" w:cs="Times New Roman"/>
                      <w:color w:val="auto"/>
                      <w:sz w:val="18"/>
                      <w:szCs w:val="18"/>
                    </w:rPr>
                    <w:t>50</w:t>
                  </w:r>
                </w:p>
              </w:tc>
              <w:tc>
                <w:tcPr>
                  <w:tcW w:w="1249" w:type="dxa"/>
                  <w:vAlign w:val="center"/>
                </w:tcPr>
                <w:p>
                  <w:pPr>
                    <w:jc w:val="center"/>
                    <w:rPr>
                      <w:rFonts w:cs="Times New Roman"/>
                      <w:color w:val="auto"/>
                      <w:sz w:val="18"/>
                      <w:szCs w:val="18"/>
                    </w:rPr>
                  </w:pPr>
                  <w:r>
                    <w:rPr>
                      <w:rFonts w:cs="Times New Roman"/>
                      <w:color w:val="auto"/>
                      <w:sz w:val="18"/>
                      <w:szCs w:val="18"/>
                    </w:rPr>
                    <w:t>达标</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7" w:hRule="atLeast"/>
                <w:jc w:val="center"/>
              </w:trPr>
              <w:tc>
                <w:tcPr>
                  <w:tcW w:w="2166" w:type="dxa"/>
                  <w:vAlign w:val="center"/>
                </w:tcPr>
                <w:p>
                  <w:pPr>
                    <w:jc w:val="center"/>
                    <w:rPr>
                      <w:rFonts w:cs="Times New Roman"/>
                      <w:color w:val="auto"/>
                      <w:sz w:val="18"/>
                      <w:szCs w:val="18"/>
                    </w:rPr>
                  </w:pPr>
                  <w:r>
                    <w:rPr>
                      <w:rFonts w:cs="Times New Roman"/>
                      <w:color w:val="auto"/>
                      <w:sz w:val="18"/>
                      <w:szCs w:val="18"/>
                    </w:rPr>
                    <w:t>北厂界</w:t>
                  </w:r>
                </w:p>
              </w:tc>
              <w:tc>
                <w:tcPr>
                  <w:tcW w:w="1755" w:type="dxa"/>
                  <w:vAlign w:val="center"/>
                </w:tcPr>
                <w:p>
                  <w:pPr>
                    <w:jc w:val="center"/>
                    <w:rPr>
                      <w:rFonts w:cs="Times New Roman"/>
                      <w:color w:val="auto"/>
                      <w:sz w:val="18"/>
                      <w:szCs w:val="18"/>
                    </w:rPr>
                  </w:pPr>
                  <w:r>
                    <w:rPr>
                      <w:rFonts w:hint="eastAsia" w:cs="Times New Roman"/>
                      <w:color w:val="auto"/>
                      <w:sz w:val="18"/>
                      <w:szCs w:val="18"/>
                    </w:rPr>
                    <w:t>17.2</w:t>
                  </w:r>
                </w:p>
              </w:tc>
              <w:tc>
                <w:tcPr>
                  <w:tcW w:w="1726" w:type="dxa"/>
                  <w:vAlign w:val="center"/>
                </w:tcPr>
                <w:p>
                  <w:pPr>
                    <w:adjustRightInd w:val="0"/>
                    <w:snapToGrid w:val="0"/>
                    <w:jc w:val="center"/>
                    <w:rPr>
                      <w:rFonts w:cs="Times New Roman"/>
                      <w:color w:val="auto"/>
                      <w:sz w:val="18"/>
                      <w:szCs w:val="18"/>
                    </w:rPr>
                  </w:pPr>
                  <w:r>
                    <w:rPr>
                      <w:rFonts w:hint="eastAsia" w:cs="Times New Roman"/>
                      <w:color w:val="auto"/>
                      <w:sz w:val="18"/>
                      <w:szCs w:val="18"/>
                    </w:rPr>
                    <w:t>60</w:t>
                  </w:r>
                </w:p>
              </w:tc>
              <w:tc>
                <w:tcPr>
                  <w:tcW w:w="1690" w:type="dxa"/>
                  <w:vAlign w:val="center"/>
                </w:tcPr>
                <w:p>
                  <w:pPr>
                    <w:adjustRightInd w:val="0"/>
                    <w:snapToGrid w:val="0"/>
                    <w:jc w:val="center"/>
                    <w:rPr>
                      <w:rFonts w:cs="Times New Roman"/>
                      <w:color w:val="auto"/>
                      <w:sz w:val="18"/>
                      <w:szCs w:val="18"/>
                    </w:rPr>
                  </w:pPr>
                  <w:r>
                    <w:rPr>
                      <w:rFonts w:hint="eastAsia" w:cs="Times New Roman"/>
                      <w:color w:val="auto"/>
                      <w:sz w:val="18"/>
                      <w:szCs w:val="18"/>
                    </w:rPr>
                    <w:t>50</w:t>
                  </w:r>
                </w:p>
              </w:tc>
              <w:tc>
                <w:tcPr>
                  <w:tcW w:w="1249" w:type="dxa"/>
                  <w:vAlign w:val="center"/>
                </w:tcPr>
                <w:p>
                  <w:pPr>
                    <w:jc w:val="center"/>
                    <w:rPr>
                      <w:rFonts w:cs="Times New Roman"/>
                      <w:color w:val="auto"/>
                      <w:sz w:val="18"/>
                      <w:szCs w:val="18"/>
                    </w:rPr>
                  </w:pPr>
                  <w:r>
                    <w:rPr>
                      <w:rFonts w:cs="Times New Roman"/>
                      <w:color w:val="auto"/>
                      <w:sz w:val="18"/>
                      <w:szCs w:val="18"/>
                    </w:rPr>
                    <w:t>达标</w:t>
                  </w:r>
                </w:p>
              </w:tc>
            </w:tr>
          </w:tbl>
          <w:p>
            <w:pPr>
              <w:adjustRightInd w:val="0"/>
              <w:snapToGrid w:val="0"/>
              <w:spacing w:line="360" w:lineRule="auto"/>
              <w:ind w:firstLine="470" w:firstLineChars="196"/>
              <w:rPr>
                <w:rFonts w:cs="Times New Roman"/>
                <w:color w:val="auto"/>
                <w:sz w:val="24"/>
                <w:szCs w:val="24"/>
              </w:rPr>
            </w:pPr>
            <w:r>
              <w:rPr>
                <w:rFonts w:cs="Times New Roman"/>
                <w:color w:val="auto"/>
                <w:sz w:val="24"/>
                <w:szCs w:val="24"/>
              </w:rPr>
              <w:t>由以上预测结果可知，</w:t>
            </w:r>
            <w:r>
              <w:rPr>
                <w:rStyle w:val="32"/>
                <w:rFonts w:ascii="Times New Roman" w:hAnsi="Times New Roman" w:cs="Times New Roman"/>
                <w:b w:val="0"/>
                <w:bCs/>
                <w:color w:val="auto"/>
                <w:sz w:val="24"/>
                <w:szCs w:val="24"/>
                <w:lang w:eastAsia="zh-CN"/>
              </w:rPr>
              <w:t>项目四厂界</w:t>
            </w:r>
            <w:r>
              <w:rPr>
                <w:rFonts w:cs="Times New Roman"/>
                <w:bCs/>
                <w:color w:val="auto"/>
                <w:sz w:val="24"/>
                <w:szCs w:val="24"/>
              </w:rPr>
              <w:t>噪声值贡献值均满足</w:t>
            </w:r>
            <w:r>
              <w:rPr>
                <w:rStyle w:val="32"/>
                <w:rFonts w:ascii="Times New Roman" w:hAnsi="Times New Roman" w:cs="Times New Roman"/>
                <w:b w:val="0"/>
                <w:bCs/>
                <w:color w:val="auto"/>
                <w:sz w:val="24"/>
                <w:szCs w:val="24"/>
                <w:lang w:eastAsia="zh-CN"/>
              </w:rPr>
              <w:t>《工业企业厂界环境噪声排放标准》（GB12348-2008）2类标准要求，</w:t>
            </w:r>
            <w:r>
              <w:rPr>
                <w:rFonts w:cs="Times New Roman"/>
                <w:bCs/>
                <w:color w:val="auto"/>
                <w:sz w:val="24"/>
                <w:szCs w:val="24"/>
              </w:rPr>
              <w:t>项</w:t>
            </w:r>
            <w:r>
              <w:rPr>
                <w:rFonts w:cs="Times New Roman"/>
                <w:color w:val="auto"/>
                <w:sz w:val="24"/>
                <w:szCs w:val="24"/>
              </w:rPr>
              <w:t>目噪声对周围声环境影响可接受。</w:t>
            </w:r>
          </w:p>
          <w:p>
            <w:pPr>
              <w:spacing w:line="360" w:lineRule="auto"/>
              <w:ind w:firstLine="480" w:firstLineChars="200"/>
              <w:rPr>
                <w:rFonts w:eastAsia="黑体" w:cs="Times New Roman"/>
                <w:bCs/>
                <w:color w:val="auto"/>
                <w:sz w:val="24"/>
                <w:szCs w:val="24"/>
              </w:rPr>
            </w:pPr>
            <w:r>
              <w:rPr>
                <w:rFonts w:hint="eastAsia" w:eastAsia="黑体" w:cs="Times New Roman"/>
                <w:bCs/>
                <w:color w:val="auto"/>
                <w:sz w:val="24"/>
                <w:szCs w:val="24"/>
              </w:rPr>
              <w:t>5、土壤</w:t>
            </w:r>
          </w:p>
          <w:p>
            <w:pPr>
              <w:spacing w:line="440" w:lineRule="exact"/>
              <w:ind w:firstLine="480" w:firstLineChars="200"/>
              <w:rPr>
                <w:color w:val="auto"/>
                <w:sz w:val="24"/>
                <w:szCs w:val="24"/>
              </w:rPr>
            </w:pPr>
            <w:r>
              <w:rPr>
                <w:rFonts w:hint="eastAsia"/>
                <w:color w:val="auto"/>
                <w:sz w:val="24"/>
                <w:szCs w:val="24"/>
              </w:rPr>
              <w:t>根据《环境影响评价技术导则</w:t>
            </w:r>
            <w:r>
              <w:rPr>
                <w:color w:val="auto"/>
                <w:sz w:val="24"/>
                <w:szCs w:val="24"/>
              </w:rPr>
              <w:t xml:space="preserve"> </w:t>
            </w:r>
            <w:r>
              <w:rPr>
                <w:rFonts w:hint="eastAsia"/>
                <w:color w:val="auto"/>
                <w:sz w:val="24"/>
                <w:szCs w:val="24"/>
              </w:rPr>
              <w:t>土壤环境（试行）》（</w:t>
            </w:r>
            <w:r>
              <w:rPr>
                <w:color w:val="auto"/>
                <w:sz w:val="24"/>
                <w:szCs w:val="24"/>
              </w:rPr>
              <w:t>HJ964-2018</w:t>
            </w:r>
            <w:r>
              <w:rPr>
                <w:rFonts w:hint="eastAsia"/>
                <w:color w:val="auto"/>
                <w:sz w:val="24"/>
                <w:szCs w:val="24"/>
              </w:rPr>
              <w:t>）评价等级划分依据，建设项目评价等级由项目类别和环境敏感程度共同判定：</w:t>
            </w:r>
          </w:p>
          <w:p>
            <w:pPr>
              <w:spacing w:line="440" w:lineRule="exact"/>
              <w:ind w:firstLine="480" w:firstLineChars="200"/>
              <w:rPr>
                <w:color w:val="auto"/>
                <w:sz w:val="24"/>
                <w:szCs w:val="24"/>
              </w:rPr>
            </w:pPr>
            <w:r>
              <w:rPr>
                <w:rFonts w:hint="eastAsia"/>
                <w:color w:val="auto"/>
                <w:sz w:val="24"/>
                <w:szCs w:val="24"/>
              </w:rPr>
              <w:t>（1）建设项目占地规模：大型（≥50hm</w:t>
            </w:r>
            <w:r>
              <w:rPr>
                <w:rFonts w:hint="eastAsia"/>
                <w:color w:val="auto"/>
                <w:sz w:val="24"/>
                <w:szCs w:val="24"/>
                <w:vertAlign w:val="superscript"/>
              </w:rPr>
              <w:t>2</w:t>
            </w:r>
            <w:r>
              <w:rPr>
                <w:rFonts w:hint="eastAsia"/>
                <w:color w:val="auto"/>
                <w:sz w:val="24"/>
                <w:szCs w:val="24"/>
              </w:rPr>
              <w:t>）、中型（5-50hm</w:t>
            </w:r>
            <w:r>
              <w:rPr>
                <w:rFonts w:hint="eastAsia"/>
                <w:color w:val="auto"/>
                <w:sz w:val="24"/>
                <w:szCs w:val="24"/>
                <w:vertAlign w:val="superscript"/>
              </w:rPr>
              <w:t>2</w:t>
            </w:r>
            <w:r>
              <w:rPr>
                <w:rFonts w:hint="eastAsia"/>
                <w:color w:val="auto"/>
                <w:sz w:val="24"/>
                <w:szCs w:val="24"/>
              </w:rPr>
              <w:t>）、小型（≤5hm</w:t>
            </w:r>
            <w:r>
              <w:rPr>
                <w:rFonts w:hint="eastAsia"/>
                <w:color w:val="auto"/>
                <w:sz w:val="24"/>
                <w:szCs w:val="24"/>
                <w:vertAlign w:val="superscript"/>
              </w:rPr>
              <w:t>2</w:t>
            </w:r>
            <w:r>
              <w:rPr>
                <w:rFonts w:hint="eastAsia"/>
                <w:color w:val="auto"/>
                <w:sz w:val="24"/>
                <w:szCs w:val="24"/>
              </w:rPr>
              <w:t>）。本项目占地面积720m</w:t>
            </w:r>
            <w:r>
              <w:rPr>
                <w:rFonts w:hint="eastAsia"/>
                <w:color w:val="auto"/>
                <w:sz w:val="24"/>
                <w:szCs w:val="24"/>
                <w:vertAlign w:val="superscript"/>
              </w:rPr>
              <w:t>2</w:t>
            </w:r>
            <w:r>
              <w:rPr>
                <w:rFonts w:hint="eastAsia"/>
                <w:color w:val="auto"/>
                <w:sz w:val="24"/>
                <w:szCs w:val="24"/>
              </w:rPr>
              <w:t>，占地规模属于小型。</w:t>
            </w:r>
          </w:p>
          <w:p>
            <w:pPr>
              <w:spacing w:line="440" w:lineRule="exact"/>
              <w:ind w:firstLine="480" w:firstLineChars="200"/>
              <w:rPr>
                <w:color w:val="auto"/>
                <w:sz w:val="24"/>
                <w:szCs w:val="24"/>
              </w:rPr>
            </w:pPr>
            <w:r>
              <w:rPr>
                <w:rFonts w:hint="eastAsia"/>
                <w:color w:val="auto"/>
                <w:sz w:val="24"/>
                <w:szCs w:val="24"/>
              </w:rPr>
              <w:t>（2）土壤环境影响评价项目类别：根据《环境影响评价技术导则</w:t>
            </w:r>
            <w:r>
              <w:rPr>
                <w:color w:val="auto"/>
                <w:sz w:val="24"/>
                <w:szCs w:val="24"/>
              </w:rPr>
              <w:t xml:space="preserve"> </w:t>
            </w:r>
            <w:r>
              <w:rPr>
                <w:rFonts w:hint="eastAsia"/>
                <w:color w:val="auto"/>
                <w:sz w:val="24"/>
                <w:szCs w:val="24"/>
              </w:rPr>
              <w:t>土壤环境（试行）》（</w:t>
            </w:r>
            <w:r>
              <w:rPr>
                <w:color w:val="auto"/>
                <w:sz w:val="24"/>
                <w:szCs w:val="24"/>
              </w:rPr>
              <w:t>HJ964-2018</w:t>
            </w:r>
            <w:r>
              <w:rPr>
                <w:rFonts w:hint="eastAsia"/>
                <w:color w:val="auto"/>
                <w:sz w:val="24"/>
                <w:szCs w:val="24"/>
              </w:rPr>
              <w:t>）附录</w:t>
            </w:r>
            <w:r>
              <w:rPr>
                <w:color w:val="auto"/>
                <w:sz w:val="24"/>
                <w:szCs w:val="24"/>
              </w:rPr>
              <w:t>A“</w:t>
            </w:r>
            <w:r>
              <w:rPr>
                <w:rFonts w:hint="eastAsia"/>
                <w:color w:val="auto"/>
                <w:sz w:val="24"/>
                <w:szCs w:val="24"/>
              </w:rPr>
              <w:t>土壤环境影响评价项目类别</w:t>
            </w:r>
            <w:r>
              <w:rPr>
                <w:color w:val="auto"/>
                <w:sz w:val="24"/>
                <w:szCs w:val="24"/>
              </w:rPr>
              <w:t>”</w:t>
            </w:r>
            <w:r>
              <w:rPr>
                <w:rFonts w:hint="eastAsia"/>
                <w:color w:val="auto"/>
                <w:sz w:val="24"/>
                <w:szCs w:val="24"/>
              </w:rPr>
              <w:t>，本项目行业类别属于设备制造、金属制品、汽车制造及其他用品制造中的</w:t>
            </w:r>
            <w:r>
              <w:rPr>
                <w:color w:val="auto"/>
                <w:sz w:val="24"/>
                <w:szCs w:val="24"/>
              </w:rPr>
              <w:t xml:space="preserve"> </w:t>
            </w:r>
            <w:r>
              <w:rPr>
                <w:rFonts w:hint="eastAsia"/>
                <w:color w:val="auto"/>
                <w:sz w:val="24"/>
                <w:szCs w:val="24"/>
              </w:rPr>
              <w:t>“其他”，因此本项目土壤环境影响评价项目类别为</w:t>
            </w:r>
            <w:r>
              <w:rPr>
                <w:color w:val="auto"/>
                <w:sz w:val="24"/>
                <w:szCs w:val="24"/>
              </w:rPr>
              <w:fldChar w:fldCharType="begin"/>
            </w:r>
            <w:r>
              <w:rPr>
                <w:color w:val="auto"/>
                <w:sz w:val="24"/>
                <w:szCs w:val="24"/>
              </w:rPr>
              <w:instrText xml:space="preserve"> = 3 \* ROMAN </w:instrText>
            </w:r>
            <w:r>
              <w:rPr>
                <w:color w:val="auto"/>
                <w:sz w:val="24"/>
                <w:szCs w:val="24"/>
              </w:rPr>
              <w:fldChar w:fldCharType="separate"/>
            </w:r>
            <w:r>
              <w:rPr>
                <w:color w:val="auto"/>
                <w:sz w:val="24"/>
                <w:szCs w:val="24"/>
              </w:rPr>
              <w:t>III</w:t>
            </w:r>
            <w:r>
              <w:rPr>
                <w:color w:val="auto"/>
                <w:sz w:val="24"/>
                <w:szCs w:val="24"/>
              </w:rPr>
              <w:fldChar w:fldCharType="end"/>
            </w:r>
            <w:r>
              <w:rPr>
                <w:rFonts w:hint="eastAsia"/>
                <w:color w:val="auto"/>
                <w:sz w:val="24"/>
                <w:szCs w:val="24"/>
              </w:rPr>
              <w:t>类。</w:t>
            </w:r>
          </w:p>
          <w:p>
            <w:pPr>
              <w:spacing w:line="440" w:lineRule="exact"/>
              <w:ind w:firstLine="480" w:firstLineChars="200"/>
              <w:rPr>
                <w:color w:val="auto"/>
                <w:sz w:val="24"/>
                <w:szCs w:val="24"/>
              </w:rPr>
            </w:pPr>
            <w:r>
              <w:rPr>
                <w:rFonts w:hint="eastAsia"/>
                <w:color w:val="auto"/>
                <w:sz w:val="24"/>
                <w:szCs w:val="24"/>
              </w:rPr>
              <w:t>（3）建设项目土壤环境影响类型：根据《环境影响评价技术导则</w:t>
            </w:r>
            <w:r>
              <w:rPr>
                <w:color w:val="auto"/>
                <w:sz w:val="24"/>
                <w:szCs w:val="24"/>
              </w:rPr>
              <w:t xml:space="preserve"> </w:t>
            </w:r>
            <w:r>
              <w:rPr>
                <w:rFonts w:hint="eastAsia"/>
                <w:color w:val="auto"/>
                <w:sz w:val="24"/>
                <w:szCs w:val="24"/>
              </w:rPr>
              <w:t>土壤环境（试行）》（</w:t>
            </w:r>
            <w:r>
              <w:rPr>
                <w:color w:val="auto"/>
                <w:sz w:val="24"/>
                <w:szCs w:val="24"/>
              </w:rPr>
              <w:t>HJ964-2018</w:t>
            </w:r>
            <w:r>
              <w:rPr>
                <w:rFonts w:hint="eastAsia"/>
                <w:color w:val="auto"/>
                <w:sz w:val="24"/>
                <w:szCs w:val="24"/>
              </w:rPr>
              <w:t>），建设项目土壤环境影响类型为污染影响性。</w:t>
            </w:r>
          </w:p>
          <w:p>
            <w:pPr>
              <w:spacing w:line="440" w:lineRule="exact"/>
              <w:ind w:firstLine="480" w:firstLineChars="200"/>
              <w:rPr>
                <w:color w:val="auto"/>
                <w:sz w:val="24"/>
                <w:szCs w:val="24"/>
              </w:rPr>
            </w:pPr>
            <w:r>
              <w:rPr>
                <w:rFonts w:hint="eastAsia"/>
                <w:color w:val="auto"/>
                <w:sz w:val="24"/>
                <w:szCs w:val="24"/>
              </w:rPr>
              <w:t>（4）建设项目所在地周边的土壤环境敏感程度：本项目生产加工过程中涉及大气沉降污染途径，主要为配料过程中产的颗粒物，根据大气环境影响预测，颗粒物最大落地浓度距离排放源102m，根据现场调查，颗粒物最大落地浓度范围内全部为本项目租赁厂区和林地，影响范围内不存在耕地、园地、牧草地、饮用水水源地，不存在居民区、学校、医院、疗养院、养老院等土壤环境敏感目标，因此建设项目所在周边土壤环境敏感程度为不敏感。</w:t>
            </w:r>
          </w:p>
          <w:p>
            <w:pPr>
              <w:spacing w:line="440" w:lineRule="exact"/>
              <w:ind w:firstLine="720" w:firstLineChars="300"/>
              <w:rPr>
                <w:color w:val="auto"/>
                <w:sz w:val="24"/>
                <w:szCs w:val="24"/>
              </w:rPr>
            </w:pPr>
            <w:r>
              <w:rPr>
                <w:rFonts w:hint="eastAsia"/>
                <w:color w:val="auto"/>
                <w:sz w:val="24"/>
                <w:szCs w:val="24"/>
              </w:rPr>
              <w:t>具体指标判断见下表。</w:t>
            </w:r>
          </w:p>
          <w:p>
            <w:pPr>
              <w:pStyle w:val="21"/>
              <w:ind w:firstLine="420"/>
              <w:rPr>
                <w:color w:val="auto"/>
              </w:rPr>
            </w:pPr>
            <w:r>
              <w:rPr>
                <w:color w:val="auto"/>
              </w:rPr>
              <w:t xml:space="preserve">            污染影响型评价工作等级划分表</w:t>
            </w:r>
          </w:p>
          <w:tbl>
            <w:tblPr>
              <w:tblStyle w:val="26"/>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807"/>
              <w:gridCol w:w="808"/>
              <w:gridCol w:w="807"/>
              <w:gridCol w:w="808"/>
              <w:gridCol w:w="807"/>
              <w:gridCol w:w="808"/>
              <w:gridCol w:w="807"/>
              <w:gridCol w:w="808"/>
              <w:gridCol w:w="71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Merge w:val="restart"/>
                  <w:tcBorders>
                    <w:top w:val="single" w:color="auto" w:sz="8" w:space="0"/>
                    <w:bottom w:val="single" w:color="auto" w:sz="4"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pict>
                      <v:shape id="_x0000_s1045" o:spid="_x0000_s1045" o:spt="202" type="#_x0000_t202" style="position:absolute;left:0pt;margin-left:-10.05pt;margin-top:27.15pt;height:16.6pt;width:53.55pt;z-index:251628544;mso-width-relative:page;mso-height-relative:page;" filled="f" stroked="f" coordsize="21600,21600">
                        <v:path/>
                        <v:fill on="f" focussize="0,0"/>
                        <v:stroke on="f" joinstyle="miter"/>
                        <v:imagedata o:title=""/>
                        <o:lock v:ext="edit"/>
                        <v:textbox>
                          <w:txbxContent>
                            <w:p>
                              <w:pPr>
                                <w:snapToGrid w:val="0"/>
                                <w:rPr>
                                  <w:rFonts w:ascii="黑体" w:hAnsi="黑体" w:eastAsia="黑体"/>
                                  <w:sz w:val="18"/>
                                  <w:szCs w:val="18"/>
                                </w:rPr>
                              </w:pPr>
                              <w:r>
                                <w:rPr>
                                  <w:rFonts w:hint="eastAsia" w:ascii="黑体" w:hAnsi="黑体" w:eastAsia="黑体"/>
                                  <w:sz w:val="18"/>
                                  <w:szCs w:val="18"/>
                                </w:rPr>
                                <w:t>敏感程度</w:t>
                              </w:r>
                            </w:p>
                          </w:txbxContent>
                        </v:textbox>
                      </v:shape>
                    </w:pict>
                  </w:r>
                  <w:r>
                    <w:rPr>
                      <w:rFonts w:cs="Times New Roman" w:eastAsiaTheme="minorEastAsia"/>
                      <w:color w:val="auto"/>
                      <w:sz w:val="21"/>
                      <w:szCs w:val="21"/>
                    </w:rPr>
                    <w:pict>
                      <v:shape id="_x0000_s1046" o:spid="_x0000_s1046" o:spt="32" type="#_x0000_t32" style="position:absolute;left:0pt;margin-left:-8.1pt;margin-top:22.45pt;height:18.55pt;width:78.7pt;z-index:251629568;mso-width-relative:page;mso-height-relative:page;" o:connectortype="straight" filled="f" coordsize="21600,21600">
                        <v:path arrowok="t"/>
                        <v:fill on="f" focussize="0,0"/>
                        <v:stroke/>
                        <v:imagedata o:title=""/>
                        <o:lock v:ext="edit"/>
                      </v:shape>
                    </w:pict>
                  </w:r>
                  <w:r>
                    <w:rPr>
                      <w:rFonts w:cs="Times New Roman" w:eastAsiaTheme="minorEastAsia"/>
                      <w:color w:val="auto"/>
                      <w:sz w:val="21"/>
                      <w:szCs w:val="21"/>
                    </w:rPr>
                    <w:pict>
                      <v:shape id="_x0000_s1047" o:spid="_x0000_s1047" o:spt="202" type="#_x0000_t202" style="position:absolute;left:0pt;margin-left:-3.4pt;margin-top:1pt;height:29.9pt;width:52.75pt;z-index:251630592;mso-width-relative:page;mso-height-relative:page;" filled="f" stroked="f" coordsize="21600,21600">
                        <v:path/>
                        <v:fill on="f" focussize="0,0"/>
                        <v:stroke on="f" joinstyle="miter"/>
                        <v:imagedata o:title=""/>
                        <o:lock v:ext="edit"/>
                        <v:textbox>
                          <w:txbxContent>
                            <w:p>
                              <w:pPr>
                                <w:snapToGrid w:val="0"/>
                                <w:rPr>
                                  <w:rFonts w:ascii="黑体" w:hAnsi="黑体" w:eastAsia="黑体"/>
                                  <w:sz w:val="18"/>
                                  <w:szCs w:val="18"/>
                                </w:rPr>
                              </w:pPr>
                              <w:r>
                                <w:rPr>
                                  <w:rFonts w:hint="eastAsia" w:ascii="黑体" w:hAnsi="黑体" w:eastAsia="黑体"/>
                                  <w:sz w:val="18"/>
                                  <w:szCs w:val="18"/>
                                </w:rPr>
                                <w:t>评价</w:t>
                              </w:r>
                            </w:p>
                            <w:p>
                              <w:pPr>
                                <w:snapToGrid w:val="0"/>
                                <w:rPr>
                                  <w:rFonts w:ascii="黑体" w:hAnsi="黑体" w:eastAsia="黑体"/>
                                  <w:sz w:val="18"/>
                                  <w:szCs w:val="18"/>
                                </w:rPr>
                              </w:pPr>
                              <w:r>
                                <w:rPr>
                                  <w:rFonts w:hint="eastAsia" w:ascii="黑体" w:hAnsi="黑体" w:eastAsia="黑体"/>
                                  <w:sz w:val="18"/>
                                  <w:szCs w:val="18"/>
                                </w:rPr>
                                <w:t>工作等级</w:t>
                              </w:r>
                            </w:p>
                          </w:txbxContent>
                        </v:textbox>
                      </v:shape>
                    </w:pict>
                  </w:r>
                  <w:r>
                    <w:rPr>
                      <w:rFonts w:cs="Times New Roman" w:eastAsiaTheme="minorEastAsia"/>
                      <w:color w:val="auto"/>
                      <w:sz w:val="21"/>
                      <w:szCs w:val="21"/>
                    </w:rPr>
                    <w:pict>
                      <v:shape id="_x0000_s1048" o:spid="_x0000_s1048" o:spt="32" type="#_x0000_t32" style="position:absolute;left:0pt;margin-left:20.4pt;margin-top:0.8pt;height:39.6pt;width:50pt;z-index:251631616;mso-width-relative:page;mso-height-relative:page;" o:connectortype="straight" filled="f" coordsize="21600,21600">
                        <v:path arrowok="t"/>
                        <v:fill on="f" focussize="0,0"/>
                        <v:stroke/>
                        <v:imagedata o:title=""/>
                        <o:lock v:ext="edit"/>
                      </v:shape>
                    </w:pict>
                  </w:r>
                  <w:r>
                    <w:rPr>
                      <w:rFonts w:cs="Times New Roman" w:eastAsiaTheme="minorEastAsia"/>
                      <w:color w:val="auto"/>
                      <w:sz w:val="21"/>
                      <w:szCs w:val="21"/>
                    </w:rPr>
                    <w:pict>
                      <v:shape id="_x0000_s1049" o:spid="_x0000_s1049" o:spt="202" type="#_x0000_t202" style="position:absolute;left:0pt;margin-left:36.2pt;margin-top:0.3pt;height:29.6pt;width:34.5pt;z-index:251632640;mso-width-relative:page;mso-height-relative:page;" filled="f" stroked="f" coordsize="21600,21600">
                        <v:path/>
                        <v:fill on="f" focussize="0,0"/>
                        <v:stroke on="f" joinstyle="miter"/>
                        <v:imagedata o:title=""/>
                        <o:lock v:ext="edit"/>
                        <v:textbox>
                          <w:txbxContent>
                            <w:p>
                              <w:pPr>
                                <w:snapToGrid w:val="0"/>
                                <w:rPr>
                                  <w:rFonts w:ascii="黑体" w:hAnsi="黑体" w:eastAsia="黑体"/>
                                  <w:sz w:val="18"/>
                                  <w:szCs w:val="18"/>
                                </w:rPr>
                              </w:pPr>
                              <w:r>
                                <w:rPr>
                                  <w:rFonts w:hint="eastAsia" w:ascii="黑体" w:hAnsi="黑体" w:eastAsia="黑体"/>
                                  <w:sz w:val="18"/>
                                  <w:szCs w:val="18"/>
                                </w:rPr>
                                <w:t>占地</w:t>
                              </w:r>
                            </w:p>
                            <w:p>
                              <w:pPr>
                                <w:snapToGrid w:val="0"/>
                                <w:rPr>
                                  <w:rFonts w:ascii="黑体" w:hAnsi="黑体" w:eastAsia="黑体"/>
                                  <w:sz w:val="18"/>
                                  <w:szCs w:val="18"/>
                                </w:rPr>
                              </w:pPr>
                              <w:r>
                                <w:rPr>
                                  <w:rFonts w:hint="eastAsia" w:ascii="黑体" w:hAnsi="黑体" w:eastAsia="黑体"/>
                                  <w:sz w:val="18"/>
                                  <w:szCs w:val="18"/>
                                </w:rPr>
                                <w:t>规模</w:t>
                              </w:r>
                            </w:p>
                          </w:txbxContent>
                        </v:textbox>
                      </v:shape>
                    </w:pict>
                  </w:r>
                </w:p>
              </w:tc>
              <w:tc>
                <w:tcPr>
                  <w:tcW w:w="2551" w:type="dxa"/>
                  <w:gridSpan w:val="3"/>
                  <w:tcBorders>
                    <w:top w:val="single" w:color="auto" w:sz="8" w:space="0"/>
                    <w:bottom w:val="single" w:color="auto" w:sz="4"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fldChar w:fldCharType="begin"/>
                  </w:r>
                  <w:r>
                    <w:rPr>
                      <w:rFonts w:cs="Times New Roman" w:eastAsiaTheme="minorEastAsia"/>
                      <w:color w:val="auto"/>
                      <w:sz w:val="21"/>
                      <w:szCs w:val="21"/>
                    </w:rPr>
                    <w:instrText xml:space="preserve"> = 1 \* ROMAN </w:instrText>
                  </w:r>
                  <w:r>
                    <w:rPr>
                      <w:rFonts w:cs="Times New Roman" w:eastAsiaTheme="minorEastAsia"/>
                      <w:color w:val="auto"/>
                      <w:sz w:val="21"/>
                      <w:szCs w:val="21"/>
                    </w:rPr>
                    <w:fldChar w:fldCharType="separate"/>
                  </w:r>
                  <w:r>
                    <w:rPr>
                      <w:rFonts w:cs="Times New Roman" w:eastAsiaTheme="minorEastAsia"/>
                      <w:color w:val="auto"/>
                      <w:sz w:val="21"/>
                      <w:szCs w:val="21"/>
                    </w:rPr>
                    <w:t>I</w:t>
                  </w:r>
                  <w:r>
                    <w:rPr>
                      <w:rFonts w:cs="Times New Roman" w:eastAsiaTheme="minorEastAsia"/>
                      <w:color w:val="auto"/>
                      <w:sz w:val="21"/>
                      <w:szCs w:val="21"/>
                    </w:rPr>
                    <w:fldChar w:fldCharType="end"/>
                  </w:r>
                  <w:r>
                    <w:rPr>
                      <w:rFonts w:cs="Times New Roman" w:eastAsiaTheme="minorEastAsia"/>
                      <w:color w:val="auto"/>
                      <w:sz w:val="21"/>
                      <w:szCs w:val="21"/>
                    </w:rPr>
                    <w:t>类</w:t>
                  </w:r>
                </w:p>
              </w:tc>
              <w:tc>
                <w:tcPr>
                  <w:tcW w:w="2552" w:type="dxa"/>
                  <w:gridSpan w:val="3"/>
                  <w:tcBorders>
                    <w:top w:val="single" w:color="auto" w:sz="8" w:space="0"/>
                    <w:bottom w:val="single" w:color="auto" w:sz="4"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fldChar w:fldCharType="begin"/>
                  </w:r>
                  <w:r>
                    <w:rPr>
                      <w:rFonts w:cs="Times New Roman" w:eastAsiaTheme="minorEastAsia"/>
                      <w:color w:val="auto"/>
                      <w:sz w:val="21"/>
                      <w:szCs w:val="21"/>
                    </w:rPr>
                    <w:instrText xml:space="preserve"> = 2 \* ROMAN </w:instrText>
                  </w:r>
                  <w:r>
                    <w:rPr>
                      <w:rFonts w:cs="Times New Roman" w:eastAsiaTheme="minorEastAsia"/>
                      <w:color w:val="auto"/>
                      <w:sz w:val="21"/>
                      <w:szCs w:val="21"/>
                    </w:rPr>
                    <w:fldChar w:fldCharType="separate"/>
                  </w:r>
                  <w:r>
                    <w:rPr>
                      <w:rFonts w:cs="Times New Roman" w:eastAsiaTheme="minorEastAsia"/>
                      <w:color w:val="auto"/>
                      <w:sz w:val="21"/>
                      <w:szCs w:val="21"/>
                    </w:rPr>
                    <w:t>II</w:t>
                  </w:r>
                  <w:r>
                    <w:rPr>
                      <w:rFonts w:cs="Times New Roman" w:eastAsiaTheme="minorEastAsia"/>
                      <w:color w:val="auto"/>
                      <w:sz w:val="21"/>
                      <w:szCs w:val="21"/>
                    </w:rPr>
                    <w:fldChar w:fldCharType="end"/>
                  </w:r>
                  <w:r>
                    <w:rPr>
                      <w:rFonts w:cs="Times New Roman" w:eastAsiaTheme="minorEastAsia"/>
                      <w:color w:val="auto"/>
                      <w:sz w:val="21"/>
                      <w:szCs w:val="21"/>
                    </w:rPr>
                    <w:t>类</w:t>
                  </w:r>
                </w:p>
              </w:tc>
              <w:tc>
                <w:tcPr>
                  <w:tcW w:w="2443" w:type="dxa"/>
                  <w:gridSpan w:val="3"/>
                  <w:tcBorders>
                    <w:top w:val="single" w:color="auto" w:sz="8" w:space="0"/>
                    <w:bottom w:val="single" w:color="auto" w:sz="4"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fldChar w:fldCharType="begin"/>
                  </w:r>
                  <w:r>
                    <w:rPr>
                      <w:rFonts w:cs="Times New Roman" w:eastAsiaTheme="minorEastAsia"/>
                      <w:color w:val="auto"/>
                      <w:sz w:val="21"/>
                      <w:szCs w:val="21"/>
                    </w:rPr>
                    <w:instrText xml:space="preserve"> = 3 \* ROMAN </w:instrText>
                  </w:r>
                  <w:r>
                    <w:rPr>
                      <w:rFonts w:cs="Times New Roman" w:eastAsiaTheme="minorEastAsia"/>
                      <w:color w:val="auto"/>
                      <w:sz w:val="21"/>
                      <w:szCs w:val="21"/>
                    </w:rPr>
                    <w:fldChar w:fldCharType="separate"/>
                  </w:r>
                  <w:r>
                    <w:rPr>
                      <w:rFonts w:cs="Times New Roman" w:eastAsiaTheme="minorEastAsia"/>
                      <w:color w:val="auto"/>
                      <w:sz w:val="21"/>
                      <w:szCs w:val="21"/>
                    </w:rPr>
                    <w:t>III</w:t>
                  </w:r>
                  <w:r>
                    <w:rPr>
                      <w:rFonts w:cs="Times New Roman" w:eastAsiaTheme="minorEastAsia"/>
                      <w:color w:val="auto"/>
                      <w:sz w:val="21"/>
                      <w:szCs w:val="21"/>
                    </w:rPr>
                    <w:fldChar w:fldCharType="end"/>
                  </w:r>
                  <w:r>
                    <w:rPr>
                      <w:rFonts w:cs="Times New Roman" w:eastAsiaTheme="minorEastAsia"/>
                      <w:color w:val="auto"/>
                      <w:sz w:val="21"/>
                      <w:szCs w:val="21"/>
                    </w:rPr>
                    <w:t>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Merge w:val="continue"/>
                  <w:tcBorders>
                    <w:top w:val="single" w:color="auto" w:sz="4" w:space="0"/>
                    <w:bottom w:val="single" w:color="auto" w:sz="8" w:space="0"/>
                  </w:tcBorders>
                  <w:vAlign w:val="center"/>
                </w:tcPr>
                <w:p>
                  <w:pPr>
                    <w:widowControl/>
                    <w:tabs>
                      <w:tab w:val="center" w:pos="4153"/>
                      <w:tab w:val="right" w:pos="8306"/>
                    </w:tabs>
                    <w:snapToGrid w:val="0"/>
                    <w:jc w:val="left"/>
                    <w:rPr>
                      <w:rFonts w:cs="Times New Roman" w:eastAsiaTheme="minorEastAsia"/>
                      <w:color w:val="auto"/>
                      <w:sz w:val="21"/>
                      <w:szCs w:val="21"/>
                    </w:rPr>
                  </w:pPr>
                </w:p>
              </w:tc>
              <w:tc>
                <w:tcPr>
                  <w:tcW w:w="850"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大</w:t>
                  </w:r>
                </w:p>
              </w:tc>
              <w:tc>
                <w:tcPr>
                  <w:tcW w:w="851"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中</w:t>
                  </w:r>
                </w:p>
              </w:tc>
              <w:tc>
                <w:tcPr>
                  <w:tcW w:w="850"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小</w:t>
                  </w:r>
                </w:p>
              </w:tc>
              <w:tc>
                <w:tcPr>
                  <w:tcW w:w="851"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大</w:t>
                  </w:r>
                </w:p>
              </w:tc>
              <w:tc>
                <w:tcPr>
                  <w:tcW w:w="850"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中</w:t>
                  </w:r>
                </w:p>
              </w:tc>
              <w:tc>
                <w:tcPr>
                  <w:tcW w:w="851"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小</w:t>
                  </w:r>
                </w:p>
              </w:tc>
              <w:tc>
                <w:tcPr>
                  <w:tcW w:w="850"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大</w:t>
                  </w:r>
                </w:p>
              </w:tc>
              <w:tc>
                <w:tcPr>
                  <w:tcW w:w="851"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中</w:t>
                  </w:r>
                </w:p>
              </w:tc>
              <w:tc>
                <w:tcPr>
                  <w:tcW w:w="742" w:type="dxa"/>
                  <w:tcBorders>
                    <w:top w:val="single" w:color="auto" w:sz="4" w:space="0"/>
                    <w:bottom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敏感</w:t>
                  </w:r>
                </w:p>
              </w:tc>
              <w:tc>
                <w:tcPr>
                  <w:tcW w:w="850"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一级</w:t>
                  </w:r>
                </w:p>
              </w:tc>
              <w:tc>
                <w:tcPr>
                  <w:tcW w:w="851"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一级</w:t>
                  </w:r>
                </w:p>
              </w:tc>
              <w:tc>
                <w:tcPr>
                  <w:tcW w:w="850"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一级</w:t>
                  </w:r>
                </w:p>
              </w:tc>
              <w:tc>
                <w:tcPr>
                  <w:tcW w:w="851"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0"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1"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0"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851"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742" w:type="dxa"/>
                  <w:tcBorders>
                    <w:top w:val="single" w:color="auto" w:sz="8" w:space="0"/>
                  </w:tcBorders>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较敏感</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一级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一级</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742"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6"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不敏感</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一级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二级</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850"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三级</w:t>
                  </w:r>
                </w:p>
              </w:tc>
              <w:tc>
                <w:tcPr>
                  <w:tcW w:w="851"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w:t>
                  </w:r>
                </w:p>
              </w:tc>
              <w:tc>
                <w:tcPr>
                  <w:tcW w:w="742" w:type="dxa"/>
                  <w:vAlign w:val="center"/>
                </w:tcPr>
                <w:p>
                  <w:pPr>
                    <w:tabs>
                      <w:tab w:val="center" w:pos="4153"/>
                      <w:tab w:val="right" w:pos="8306"/>
                    </w:tabs>
                    <w:snapToGrid w:val="0"/>
                    <w:jc w:val="center"/>
                    <w:rPr>
                      <w:rFonts w:cs="Times New Roman" w:eastAsiaTheme="minorEastAsia"/>
                      <w:color w:val="auto"/>
                      <w:sz w:val="21"/>
                      <w:szCs w:val="21"/>
                    </w:rPr>
                  </w:pPr>
                  <w:r>
                    <w:rPr>
                      <w:rFonts w:cs="Times New Roman" w:eastAsiaTheme="minorEastAsia"/>
                      <w:color w:val="auto"/>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72" w:type="dxa"/>
                  <w:gridSpan w:val="10"/>
                  <w:vAlign w:val="center"/>
                </w:tcPr>
                <w:p>
                  <w:pPr>
                    <w:tabs>
                      <w:tab w:val="center" w:pos="4153"/>
                      <w:tab w:val="right" w:pos="8306"/>
                    </w:tabs>
                    <w:snapToGrid w:val="0"/>
                    <w:jc w:val="left"/>
                    <w:rPr>
                      <w:rFonts w:cs="Times New Roman" w:eastAsiaTheme="minorEastAsia"/>
                      <w:color w:val="auto"/>
                      <w:sz w:val="21"/>
                      <w:szCs w:val="21"/>
                    </w:rPr>
                  </w:pPr>
                  <w:r>
                    <w:rPr>
                      <w:rFonts w:cs="Times New Roman" w:eastAsiaTheme="minorEastAsia"/>
                      <w:color w:val="auto"/>
                      <w:sz w:val="21"/>
                      <w:szCs w:val="21"/>
                    </w:rPr>
                    <w:t xml:space="preserve">  注：“-”表示可不开展土壤环境影响评价工作。</w:t>
                  </w:r>
                </w:p>
              </w:tc>
            </w:tr>
          </w:tbl>
          <w:p>
            <w:pPr>
              <w:spacing w:line="440" w:lineRule="exact"/>
              <w:ind w:firstLine="480" w:firstLineChars="200"/>
              <w:rPr>
                <w:color w:val="auto"/>
                <w:sz w:val="24"/>
                <w:szCs w:val="24"/>
              </w:rPr>
            </w:pPr>
            <w:r>
              <w:rPr>
                <w:rFonts w:hint="eastAsia"/>
                <w:color w:val="auto"/>
                <w:sz w:val="24"/>
                <w:szCs w:val="24"/>
              </w:rPr>
              <w:t>由</w:t>
            </w:r>
            <w:r>
              <w:rPr>
                <w:color w:val="auto"/>
                <w:sz w:val="24"/>
                <w:szCs w:val="24"/>
              </w:rPr>
              <w:t>上表可知，本项目</w:t>
            </w:r>
            <w:r>
              <w:rPr>
                <w:rFonts w:hint="eastAsia"/>
                <w:color w:val="auto"/>
                <w:sz w:val="24"/>
                <w:szCs w:val="24"/>
              </w:rPr>
              <w:t>不</w:t>
            </w:r>
            <w:r>
              <w:rPr>
                <w:color w:val="auto"/>
                <w:sz w:val="24"/>
                <w:szCs w:val="24"/>
              </w:rPr>
              <w:t>属于土壤环境敏感地区</w:t>
            </w:r>
            <w:r>
              <w:rPr>
                <w:rFonts w:hint="eastAsia"/>
                <w:color w:val="auto"/>
                <w:sz w:val="24"/>
                <w:szCs w:val="24"/>
              </w:rPr>
              <w:t>，占地面积属于小型</w:t>
            </w:r>
            <w:r>
              <w:rPr>
                <w:color w:val="auto"/>
                <w:sz w:val="24"/>
                <w:szCs w:val="24"/>
              </w:rPr>
              <w:t>。对照《环境影响评价技术导则 土壤环境（试行）》（HJ964-2018）污染影响型评价工作等级划分表可知，本项目</w:t>
            </w:r>
            <w:r>
              <w:rPr>
                <w:rFonts w:hint="eastAsia"/>
                <w:color w:val="auto"/>
                <w:sz w:val="24"/>
                <w:szCs w:val="24"/>
              </w:rPr>
              <w:t>可不开展土壤环境评价工作。</w:t>
            </w:r>
          </w:p>
          <w:p>
            <w:pPr>
              <w:spacing w:line="360" w:lineRule="auto"/>
              <w:ind w:firstLine="480" w:firstLineChars="200"/>
              <w:rPr>
                <w:rFonts w:eastAsia="黑体" w:cs="Times New Roman"/>
                <w:color w:val="auto"/>
                <w:sz w:val="24"/>
                <w:szCs w:val="24"/>
              </w:rPr>
            </w:pPr>
            <w:r>
              <w:rPr>
                <w:rFonts w:hint="eastAsia" w:eastAsia="黑体" w:cs="Times New Roman"/>
                <w:bCs/>
                <w:color w:val="auto"/>
                <w:sz w:val="24"/>
                <w:szCs w:val="24"/>
              </w:rPr>
              <w:t>6</w:t>
            </w:r>
            <w:r>
              <w:rPr>
                <w:rFonts w:eastAsia="黑体" w:cs="Times New Roman"/>
                <w:bCs/>
                <w:color w:val="auto"/>
                <w:sz w:val="24"/>
                <w:szCs w:val="24"/>
              </w:rPr>
              <w:t>、环境风险分析</w:t>
            </w:r>
          </w:p>
          <w:p>
            <w:pPr>
              <w:spacing w:line="360" w:lineRule="auto"/>
              <w:ind w:firstLine="480" w:firstLineChars="200"/>
              <w:rPr>
                <w:rFonts w:eastAsia="黑体" w:cs="Times New Roman"/>
                <w:bCs/>
                <w:color w:val="auto"/>
                <w:sz w:val="24"/>
                <w:szCs w:val="24"/>
              </w:rPr>
            </w:pPr>
            <w:r>
              <w:rPr>
                <w:rFonts w:hint="eastAsia" w:eastAsia="黑体" w:cs="Times New Roman"/>
                <w:bCs/>
                <w:color w:val="auto"/>
                <w:sz w:val="24"/>
                <w:szCs w:val="24"/>
              </w:rPr>
              <w:t>6</w:t>
            </w:r>
            <w:r>
              <w:rPr>
                <w:rFonts w:eastAsia="黑体" w:cs="Times New Roman"/>
                <w:bCs/>
                <w:color w:val="auto"/>
                <w:sz w:val="24"/>
                <w:szCs w:val="24"/>
              </w:rPr>
              <w:t xml:space="preserve">.1 </w:t>
            </w:r>
            <w:r>
              <w:rPr>
                <w:rFonts w:hint="eastAsia" w:eastAsia="黑体" w:cs="Times New Roman"/>
                <w:bCs/>
                <w:color w:val="auto"/>
                <w:sz w:val="24"/>
                <w:szCs w:val="24"/>
              </w:rPr>
              <w:t>风险评价依据</w:t>
            </w:r>
          </w:p>
          <w:p>
            <w:pPr>
              <w:spacing w:line="360" w:lineRule="auto"/>
              <w:ind w:firstLine="573"/>
              <w:rPr>
                <w:rFonts w:cs="Times New Roman"/>
                <w:color w:val="auto"/>
                <w:sz w:val="24"/>
                <w:szCs w:val="24"/>
              </w:rPr>
            </w:pPr>
            <w:r>
              <w:rPr>
                <w:rFonts w:hint="eastAsia" w:cs="Times New Roman"/>
                <w:color w:val="auto"/>
                <w:sz w:val="24"/>
                <w:szCs w:val="24"/>
              </w:rPr>
              <w:t>（1）风险调查</w:t>
            </w:r>
          </w:p>
          <w:p>
            <w:pPr>
              <w:spacing w:line="360" w:lineRule="auto"/>
              <w:ind w:firstLine="573"/>
              <w:rPr>
                <w:rFonts w:cs="Times New Roman"/>
                <w:color w:val="auto"/>
                <w:sz w:val="24"/>
                <w:szCs w:val="24"/>
              </w:rPr>
            </w:pPr>
            <w:r>
              <w:rPr>
                <w:rFonts w:cs="Times New Roman"/>
                <w:color w:val="auto"/>
                <w:sz w:val="24"/>
                <w:szCs w:val="24"/>
              </w:rPr>
              <w:t>项目涉及的化学品</w:t>
            </w:r>
            <w:r>
              <w:rPr>
                <w:rFonts w:hint="eastAsia" w:cs="Times New Roman"/>
                <w:color w:val="auto"/>
                <w:sz w:val="24"/>
                <w:szCs w:val="24"/>
              </w:rPr>
              <w:t>为原料硝酸，</w:t>
            </w:r>
            <w:r>
              <w:rPr>
                <w:rFonts w:cs="Times New Roman"/>
                <w:color w:val="auto"/>
                <w:sz w:val="24"/>
                <w:szCs w:val="24"/>
              </w:rPr>
              <w:t>上述物质的储存方式及储存量见</w:t>
            </w:r>
            <w:r>
              <w:rPr>
                <w:rFonts w:hint="eastAsia" w:cs="Times New Roman"/>
                <w:color w:val="auto"/>
                <w:sz w:val="24"/>
                <w:szCs w:val="24"/>
              </w:rPr>
              <w:t>下表</w:t>
            </w:r>
            <w:r>
              <w:rPr>
                <w:rFonts w:cs="Times New Roman"/>
                <w:color w:val="auto"/>
                <w:sz w:val="24"/>
                <w:szCs w:val="24"/>
              </w:rPr>
              <w:t>。</w:t>
            </w:r>
          </w:p>
          <w:p>
            <w:pPr>
              <w:pStyle w:val="21"/>
              <w:ind w:firstLine="420"/>
              <w:rPr>
                <w:color w:val="auto"/>
              </w:rPr>
            </w:pPr>
            <w:r>
              <w:rPr>
                <w:rFonts w:hint="eastAsia"/>
                <w:color w:val="auto"/>
              </w:rPr>
              <w:t xml:space="preserve">            </w:t>
            </w:r>
            <w:r>
              <w:rPr>
                <w:color w:val="auto"/>
              </w:rPr>
              <w:t>项目化学品储存方式及储存量一览表</w:t>
            </w:r>
          </w:p>
          <w:tbl>
            <w:tblPr>
              <w:tblStyle w:val="2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337"/>
              <w:gridCol w:w="1625"/>
              <w:gridCol w:w="1221"/>
              <w:gridCol w:w="1221"/>
              <w:gridCol w:w="12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139" w:type="pct"/>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名称</w:t>
                  </w:r>
                </w:p>
              </w:tc>
              <w:tc>
                <w:tcPr>
                  <w:tcW w:w="778" w:type="pct"/>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形态</w:t>
                  </w:r>
                </w:p>
              </w:tc>
              <w:tc>
                <w:tcPr>
                  <w:tcW w:w="946" w:type="pct"/>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储存方式</w:t>
                  </w:r>
                </w:p>
              </w:tc>
              <w:tc>
                <w:tcPr>
                  <w:tcW w:w="711" w:type="pct"/>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储存量（t）</w:t>
                  </w:r>
                </w:p>
              </w:tc>
              <w:tc>
                <w:tcPr>
                  <w:tcW w:w="711" w:type="pct"/>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临界量（t）</w:t>
                  </w:r>
                </w:p>
              </w:tc>
              <w:tc>
                <w:tcPr>
                  <w:tcW w:w="711" w:type="pct"/>
                  <w:tcBorders>
                    <w:tl2br w:val="nil"/>
                    <w:tr2bl w:val="nil"/>
                  </w:tcBorders>
                  <w:vAlign w:val="center"/>
                </w:tcPr>
                <w:p>
                  <w:pPr>
                    <w:jc w:val="center"/>
                    <w:rPr>
                      <w:rFonts w:cs="Times New Roman" w:eastAsiaTheme="minorEastAsia"/>
                      <w:color w:val="auto"/>
                      <w:sz w:val="18"/>
                      <w:szCs w:val="18"/>
                    </w:rPr>
                  </w:pPr>
                  <w:r>
                    <w:rPr>
                      <w:rFonts w:cs="Times New Roman" w:eastAsiaTheme="minorEastAsia"/>
                      <w:color w:val="auto"/>
                      <w:sz w:val="18"/>
                      <w:szCs w:val="18"/>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39" w:type="pct"/>
                  <w:tcBorders>
                    <w:tl2br w:val="nil"/>
                    <w:tr2bl w:val="nil"/>
                  </w:tcBorders>
                </w:tcPr>
                <w:p>
                  <w:pPr>
                    <w:pStyle w:val="33"/>
                    <w:spacing w:line="240" w:lineRule="auto"/>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rPr>
                    <w:t>65%硝酸</w:t>
                  </w:r>
                </w:p>
              </w:tc>
              <w:tc>
                <w:tcPr>
                  <w:tcW w:w="778" w:type="pct"/>
                  <w:tcBorders>
                    <w:tl2br w:val="nil"/>
                    <w:tr2bl w:val="nil"/>
                  </w:tcBorders>
                </w:tcPr>
                <w:p>
                  <w:pPr>
                    <w:pStyle w:val="33"/>
                    <w:spacing w:line="240" w:lineRule="auto"/>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rPr>
                    <w:t>液态</w:t>
                  </w:r>
                </w:p>
              </w:tc>
              <w:tc>
                <w:tcPr>
                  <w:tcW w:w="946" w:type="pct"/>
                  <w:tcBorders>
                    <w:tl2br w:val="nil"/>
                    <w:tr2bl w:val="nil"/>
                  </w:tcBorders>
                </w:tcPr>
                <w:p>
                  <w:pPr>
                    <w:pStyle w:val="33"/>
                    <w:spacing w:line="240" w:lineRule="auto"/>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rPr>
                    <w:t>瓶装</w:t>
                  </w:r>
                </w:p>
              </w:tc>
              <w:tc>
                <w:tcPr>
                  <w:tcW w:w="711" w:type="pct"/>
                  <w:tcBorders>
                    <w:tl2br w:val="nil"/>
                    <w:tr2bl w:val="nil"/>
                  </w:tcBorders>
                </w:tcPr>
                <w:p>
                  <w:pPr>
                    <w:pStyle w:val="33"/>
                    <w:spacing w:line="240" w:lineRule="auto"/>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rPr>
                    <w:t>0.1</w:t>
                  </w:r>
                </w:p>
              </w:tc>
              <w:tc>
                <w:tcPr>
                  <w:tcW w:w="711" w:type="pct"/>
                  <w:tcBorders>
                    <w:tl2br w:val="nil"/>
                    <w:tr2bl w:val="nil"/>
                  </w:tcBorders>
                </w:tcPr>
                <w:p>
                  <w:pPr>
                    <w:pStyle w:val="33"/>
                    <w:spacing w:line="240" w:lineRule="auto"/>
                    <w:rPr>
                      <w:rFonts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rPr>
                    <w:t>7.5</w:t>
                  </w:r>
                </w:p>
              </w:tc>
              <w:tc>
                <w:tcPr>
                  <w:tcW w:w="711" w:type="pct"/>
                  <w:tcBorders>
                    <w:tl2br w:val="nil"/>
                    <w:tr2bl w:val="nil"/>
                  </w:tcBorders>
                </w:tcPr>
                <w:p>
                  <w:pPr>
                    <w:pStyle w:val="33"/>
                    <w:spacing w:line="240" w:lineRule="auto"/>
                    <w:rPr>
                      <w:rFonts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rPr>
                    <w:t>0.013</w:t>
                  </w:r>
                </w:p>
              </w:tc>
            </w:tr>
          </w:tbl>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（2）风险潜式初判</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项目风险物质主要为硝酸，根据《建设项目环境风险评价技术导则》（HJ 169-2018）的有关规定，本项目所涉及的物料属于重点关注的危险物质，项目危险物质数量与临界量比值Q小于1，环境风险潜式为</w:t>
            </w:r>
            <w:r>
              <w:rPr>
                <w:rFonts w:hint="eastAsia" w:cs="Times New Roman"/>
                <w:color w:val="auto"/>
                <w:sz w:val="24"/>
                <w:szCs w:val="24"/>
              </w:rPr>
              <w:fldChar w:fldCharType="begin"/>
            </w:r>
            <w:r>
              <w:rPr>
                <w:rFonts w:hint="eastAsia" w:cs="Times New Roman"/>
                <w:color w:val="auto"/>
                <w:sz w:val="24"/>
                <w:szCs w:val="24"/>
              </w:rPr>
              <w:instrText xml:space="preserve"> = 1 \* ROMAN \* MERGEFORMAT </w:instrText>
            </w:r>
            <w:r>
              <w:rPr>
                <w:rFonts w:hint="eastAsia" w:cs="Times New Roman"/>
                <w:color w:val="auto"/>
                <w:sz w:val="24"/>
                <w:szCs w:val="24"/>
              </w:rPr>
              <w:fldChar w:fldCharType="separate"/>
            </w:r>
            <w:r>
              <w:rPr>
                <w:rFonts w:hint="eastAsia" w:cs="Times New Roman"/>
                <w:color w:val="auto"/>
                <w:sz w:val="24"/>
                <w:szCs w:val="24"/>
              </w:rPr>
              <w:t>I</w:t>
            </w:r>
            <w:r>
              <w:rPr>
                <w:rFonts w:hint="eastAsia" w:cs="Times New Roman"/>
                <w:color w:val="auto"/>
                <w:sz w:val="24"/>
                <w:szCs w:val="24"/>
              </w:rPr>
              <w:fldChar w:fldCharType="end"/>
            </w:r>
            <w:r>
              <w:rPr>
                <w:rFonts w:hint="eastAsia" w:cs="Times New Roman"/>
                <w:color w:val="auto"/>
                <w:sz w:val="24"/>
                <w:szCs w:val="24"/>
              </w:rPr>
              <w:t>级。</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（3）评价等级</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项目风险潜式为</w:t>
            </w:r>
            <w:r>
              <w:rPr>
                <w:rFonts w:hint="eastAsia" w:cs="Times New Roman"/>
                <w:color w:val="auto"/>
                <w:sz w:val="24"/>
                <w:szCs w:val="24"/>
              </w:rPr>
              <w:fldChar w:fldCharType="begin"/>
            </w:r>
            <w:r>
              <w:rPr>
                <w:rFonts w:hint="eastAsia" w:cs="Times New Roman"/>
                <w:color w:val="auto"/>
                <w:sz w:val="24"/>
                <w:szCs w:val="24"/>
              </w:rPr>
              <w:instrText xml:space="preserve"> = 1 \* ROMAN \* MERGEFORMAT </w:instrText>
            </w:r>
            <w:r>
              <w:rPr>
                <w:rFonts w:hint="eastAsia" w:cs="Times New Roman"/>
                <w:color w:val="auto"/>
                <w:sz w:val="24"/>
                <w:szCs w:val="24"/>
              </w:rPr>
              <w:fldChar w:fldCharType="separate"/>
            </w:r>
            <w:r>
              <w:rPr>
                <w:rFonts w:hint="eastAsia" w:cs="Times New Roman"/>
                <w:color w:val="auto"/>
                <w:sz w:val="24"/>
                <w:szCs w:val="24"/>
              </w:rPr>
              <w:t>I</w:t>
            </w:r>
            <w:r>
              <w:rPr>
                <w:rFonts w:hint="eastAsia" w:cs="Times New Roman"/>
                <w:color w:val="auto"/>
                <w:sz w:val="24"/>
                <w:szCs w:val="24"/>
              </w:rPr>
              <w:fldChar w:fldCharType="end"/>
            </w:r>
            <w:r>
              <w:rPr>
                <w:rFonts w:hint="eastAsia" w:cs="Times New Roman"/>
                <w:color w:val="auto"/>
                <w:sz w:val="24"/>
                <w:szCs w:val="24"/>
              </w:rPr>
              <w:t>级，风险评价等级为简单分析。</w:t>
            </w:r>
          </w:p>
          <w:p>
            <w:pPr>
              <w:spacing w:line="460" w:lineRule="exact"/>
              <w:ind w:firstLine="480" w:firstLineChars="200"/>
              <w:rPr>
                <w:rFonts w:eastAsia="黑体" w:cs="Times New Roman"/>
                <w:color w:val="auto"/>
                <w:sz w:val="24"/>
                <w:szCs w:val="24"/>
              </w:rPr>
            </w:pPr>
            <w:r>
              <w:rPr>
                <w:rFonts w:hint="eastAsia" w:eastAsia="黑体" w:cs="Times New Roman"/>
                <w:color w:val="auto"/>
                <w:sz w:val="24"/>
                <w:szCs w:val="24"/>
              </w:rPr>
              <w:t>6</w:t>
            </w:r>
            <w:r>
              <w:rPr>
                <w:rFonts w:eastAsia="黑体" w:cs="Times New Roman"/>
                <w:color w:val="auto"/>
                <w:sz w:val="24"/>
                <w:szCs w:val="24"/>
              </w:rPr>
              <w:t>.2 评价范围及评价范围内环境敏感目标</w:t>
            </w:r>
          </w:p>
          <w:p>
            <w:pPr>
              <w:spacing w:line="460" w:lineRule="exact"/>
              <w:ind w:firstLine="420"/>
              <w:rPr>
                <w:rFonts w:cs="Times New Roman"/>
                <w:color w:val="auto"/>
                <w:sz w:val="24"/>
                <w:szCs w:val="24"/>
              </w:rPr>
            </w:pPr>
            <w:r>
              <w:rPr>
                <w:rFonts w:cs="Times New Roman"/>
                <w:color w:val="auto"/>
                <w:sz w:val="24"/>
                <w:szCs w:val="24"/>
              </w:rPr>
              <w:t>调查项目周边3km范围内，敏感目标主要为分散的农村居民点、办公、学校等。根据调查，周边主要敏感目标见</w:t>
            </w:r>
            <w:r>
              <w:rPr>
                <w:rFonts w:hint="eastAsia" w:cs="Times New Roman"/>
                <w:color w:val="auto"/>
                <w:sz w:val="24"/>
                <w:szCs w:val="24"/>
              </w:rPr>
              <w:t>下表</w:t>
            </w:r>
            <w:r>
              <w:rPr>
                <w:rFonts w:cs="Times New Roman"/>
                <w:color w:val="auto"/>
                <w:sz w:val="24"/>
                <w:szCs w:val="24"/>
              </w:rPr>
              <w:t>。</w:t>
            </w:r>
          </w:p>
          <w:p>
            <w:pPr>
              <w:pStyle w:val="21"/>
              <w:ind w:firstLine="420"/>
              <w:rPr>
                <w:color w:val="auto"/>
              </w:rPr>
            </w:pPr>
            <w:r>
              <w:rPr>
                <w:rFonts w:hint="eastAsia"/>
                <w:color w:val="auto"/>
              </w:rPr>
              <w:t xml:space="preserve">                </w:t>
            </w:r>
            <w:r>
              <w:rPr>
                <w:color w:val="auto"/>
              </w:rPr>
              <w:t>项目周边主要敏感点</w:t>
            </w:r>
          </w:p>
          <w:tbl>
            <w:tblPr>
              <w:tblStyle w:val="26"/>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2237"/>
              <w:gridCol w:w="1677"/>
              <w:gridCol w:w="1111"/>
              <w:gridCol w:w="16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11" w:type="dxa"/>
                  <w:vMerge w:val="restart"/>
                  <w:noWrap/>
                  <w:vAlign w:val="center"/>
                </w:tcPr>
                <w:p>
                  <w:pPr>
                    <w:adjustRightInd w:val="0"/>
                    <w:snapToGrid w:val="0"/>
                    <w:jc w:val="center"/>
                    <w:rPr>
                      <w:rFonts w:cs="Times New Roman"/>
                      <w:color w:val="auto"/>
                      <w:sz w:val="18"/>
                      <w:szCs w:val="18"/>
                    </w:rPr>
                  </w:pPr>
                  <w:r>
                    <w:rPr>
                      <w:rFonts w:cs="Times New Roman"/>
                      <w:color w:val="auto"/>
                      <w:sz w:val="18"/>
                      <w:szCs w:val="18"/>
                    </w:rPr>
                    <w:t>类别</w:t>
                  </w:r>
                </w:p>
              </w:tc>
              <w:tc>
                <w:tcPr>
                  <w:tcW w:w="3914" w:type="dxa"/>
                  <w:gridSpan w:val="2"/>
                  <w:noWrap/>
                  <w:vAlign w:val="center"/>
                </w:tcPr>
                <w:p>
                  <w:pPr>
                    <w:adjustRightInd w:val="0"/>
                    <w:snapToGrid w:val="0"/>
                    <w:jc w:val="center"/>
                    <w:rPr>
                      <w:rFonts w:cs="Times New Roman"/>
                      <w:color w:val="auto"/>
                      <w:sz w:val="18"/>
                      <w:szCs w:val="18"/>
                    </w:rPr>
                  </w:pPr>
                  <w:r>
                    <w:rPr>
                      <w:rFonts w:cs="Times New Roman"/>
                      <w:color w:val="auto"/>
                      <w:sz w:val="18"/>
                      <w:szCs w:val="18"/>
                    </w:rPr>
                    <w:t>保护目标</w:t>
                  </w:r>
                </w:p>
              </w:tc>
              <w:tc>
                <w:tcPr>
                  <w:tcW w:w="2797" w:type="dxa"/>
                  <w:gridSpan w:val="2"/>
                  <w:noWrap/>
                  <w:vAlign w:val="center"/>
                </w:tcPr>
                <w:p>
                  <w:pPr>
                    <w:adjustRightInd w:val="0"/>
                    <w:snapToGrid w:val="0"/>
                    <w:jc w:val="center"/>
                    <w:rPr>
                      <w:rFonts w:cs="Times New Roman"/>
                      <w:color w:val="auto"/>
                      <w:sz w:val="18"/>
                      <w:szCs w:val="18"/>
                    </w:rPr>
                  </w:pPr>
                  <w:r>
                    <w:rPr>
                      <w:rFonts w:cs="Times New Roman"/>
                      <w:color w:val="auto"/>
                      <w:sz w:val="18"/>
                      <w:szCs w:val="18"/>
                    </w:rPr>
                    <w:t>与厂区相对位置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11" w:type="dxa"/>
                  <w:vMerge w:val="continue"/>
                  <w:noWrap/>
                  <w:vAlign w:val="center"/>
                </w:tcPr>
                <w:p>
                  <w:pPr>
                    <w:adjustRightInd w:val="0"/>
                    <w:snapToGrid w:val="0"/>
                    <w:jc w:val="center"/>
                    <w:rPr>
                      <w:rFonts w:cs="Times New Roman"/>
                      <w:color w:val="auto"/>
                      <w:sz w:val="18"/>
                      <w:szCs w:val="18"/>
                    </w:rPr>
                  </w:pPr>
                </w:p>
              </w:tc>
              <w:tc>
                <w:tcPr>
                  <w:tcW w:w="2237" w:type="dxa"/>
                  <w:noWrap/>
                  <w:vAlign w:val="center"/>
                </w:tcPr>
                <w:p>
                  <w:pPr>
                    <w:adjustRightInd w:val="0"/>
                    <w:snapToGrid w:val="0"/>
                    <w:jc w:val="center"/>
                    <w:rPr>
                      <w:rFonts w:cs="Times New Roman"/>
                      <w:color w:val="auto"/>
                      <w:sz w:val="18"/>
                      <w:szCs w:val="18"/>
                    </w:rPr>
                  </w:pPr>
                  <w:r>
                    <w:rPr>
                      <w:rFonts w:cs="Times New Roman"/>
                      <w:color w:val="auto"/>
                      <w:sz w:val="18"/>
                      <w:szCs w:val="18"/>
                    </w:rPr>
                    <w:t>名称</w:t>
                  </w:r>
                </w:p>
              </w:tc>
              <w:tc>
                <w:tcPr>
                  <w:tcW w:w="1677" w:type="dxa"/>
                  <w:noWrap/>
                  <w:vAlign w:val="center"/>
                </w:tcPr>
                <w:p>
                  <w:pPr>
                    <w:adjustRightInd w:val="0"/>
                    <w:snapToGrid w:val="0"/>
                    <w:jc w:val="center"/>
                    <w:rPr>
                      <w:rFonts w:cs="Times New Roman"/>
                      <w:color w:val="auto"/>
                      <w:sz w:val="18"/>
                      <w:szCs w:val="18"/>
                    </w:rPr>
                  </w:pPr>
                  <w:r>
                    <w:rPr>
                      <w:rFonts w:cs="Times New Roman"/>
                      <w:color w:val="auto"/>
                      <w:sz w:val="18"/>
                      <w:szCs w:val="18"/>
                    </w:rPr>
                    <w:t>性质</w:t>
                  </w:r>
                </w:p>
              </w:tc>
              <w:tc>
                <w:tcPr>
                  <w:tcW w:w="1111" w:type="dxa"/>
                  <w:noWrap/>
                  <w:vAlign w:val="center"/>
                </w:tcPr>
                <w:p>
                  <w:pPr>
                    <w:adjustRightInd w:val="0"/>
                    <w:snapToGrid w:val="0"/>
                    <w:jc w:val="center"/>
                    <w:rPr>
                      <w:rFonts w:cs="Times New Roman"/>
                      <w:color w:val="auto"/>
                      <w:sz w:val="18"/>
                      <w:szCs w:val="18"/>
                    </w:rPr>
                  </w:pPr>
                  <w:r>
                    <w:rPr>
                      <w:rFonts w:cs="Times New Roman"/>
                      <w:color w:val="auto"/>
                      <w:sz w:val="18"/>
                      <w:szCs w:val="18"/>
                    </w:rPr>
                    <w:t>方位</w:t>
                  </w:r>
                </w:p>
              </w:tc>
              <w:tc>
                <w:tcPr>
                  <w:tcW w:w="1686" w:type="dxa"/>
                  <w:noWrap/>
                  <w:vAlign w:val="center"/>
                </w:tcPr>
                <w:p>
                  <w:pPr>
                    <w:adjustRightInd w:val="0"/>
                    <w:snapToGrid w:val="0"/>
                    <w:jc w:val="center"/>
                    <w:rPr>
                      <w:rFonts w:cs="Times New Roman"/>
                      <w:color w:val="auto"/>
                      <w:sz w:val="18"/>
                      <w:szCs w:val="18"/>
                    </w:rPr>
                  </w:pPr>
                  <w:r>
                    <w:rPr>
                      <w:rFonts w:cs="Times New Roman"/>
                      <w:color w:val="auto"/>
                      <w:sz w:val="18"/>
                      <w:szCs w:val="18"/>
                    </w:rPr>
                    <w:t>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1" w:type="dxa"/>
                  <w:vMerge w:val="restart"/>
                  <w:noWrap/>
                  <w:vAlign w:val="center"/>
                </w:tcPr>
                <w:p>
                  <w:pPr>
                    <w:jc w:val="center"/>
                    <w:rPr>
                      <w:rFonts w:cs="Times New Roman"/>
                      <w:color w:val="auto"/>
                      <w:sz w:val="18"/>
                      <w:szCs w:val="18"/>
                    </w:rPr>
                  </w:pPr>
                  <w:r>
                    <w:rPr>
                      <w:rFonts w:cs="Times New Roman"/>
                      <w:color w:val="auto"/>
                      <w:sz w:val="18"/>
                      <w:szCs w:val="18"/>
                    </w:rPr>
                    <w:t>环境风险敏感目标</w:t>
                  </w: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陈堡村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N</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650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西马坊村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SW</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820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中马坊村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S</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740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东马坊村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S</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950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北原庄</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SW</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2233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东郭村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SW</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1754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北庄村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NW</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1950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王小屯村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NW</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2470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周村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SE</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1846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西鲁堡村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NE</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2329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811" w:type="dxa"/>
                  <w:vMerge w:val="continue"/>
                  <w:noWrap/>
                  <w:vAlign w:val="center"/>
                </w:tcPr>
                <w:p>
                  <w:pPr>
                    <w:jc w:val="center"/>
                    <w:rPr>
                      <w:rFonts w:cs="Times New Roman"/>
                      <w:color w:val="auto"/>
                      <w:sz w:val="18"/>
                      <w:szCs w:val="18"/>
                    </w:rPr>
                  </w:pPr>
                </w:p>
              </w:tc>
              <w:tc>
                <w:tcPr>
                  <w:tcW w:w="2237"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南张门村</w:t>
                  </w:r>
                </w:p>
              </w:tc>
              <w:tc>
                <w:tcPr>
                  <w:tcW w:w="1677" w:type="dxa"/>
                  <w:noWrap/>
                  <w:vAlign w:val="center"/>
                </w:tcPr>
                <w:p>
                  <w:pPr>
                    <w:jc w:val="center"/>
                    <w:rPr>
                      <w:rFonts w:cs="Times New Roman"/>
                      <w:color w:val="auto"/>
                      <w:sz w:val="18"/>
                      <w:szCs w:val="18"/>
                    </w:rPr>
                  </w:pPr>
                  <w:r>
                    <w:rPr>
                      <w:rFonts w:hint="eastAsia" w:cs="Times New Roman"/>
                      <w:color w:val="auto"/>
                      <w:sz w:val="18"/>
                      <w:szCs w:val="18"/>
                    </w:rPr>
                    <w:t>居民区</w:t>
                  </w:r>
                </w:p>
              </w:tc>
              <w:tc>
                <w:tcPr>
                  <w:tcW w:w="1111"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NE</w:t>
                  </w:r>
                </w:p>
              </w:tc>
              <w:tc>
                <w:tcPr>
                  <w:tcW w:w="1686" w:type="dxa"/>
                  <w:noWrap/>
                  <w:vAlign w:val="center"/>
                </w:tcPr>
                <w:p>
                  <w:pPr>
                    <w:widowControl/>
                    <w:jc w:val="center"/>
                    <w:textAlignment w:val="center"/>
                    <w:rPr>
                      <w:rFonts w:cs="Times New Roman"/>
                      <w:color w:val="auto"/>
                      <w:sz w:val="18"/>
                      <w:szCs w:val="18"/>
                    </w:rPr>
                  </w:pPr>
                  <w:r>
                    <w:rPr>
                      <w:rFonts w:hint="eastAsia" w:cs="Times New Roman"/>
                      <w:color w:val="auto"/>
                      <w:sz w:val="18"/>
                      <w:szCs w:val="18"/>
                    </w:rPr>
                    <w:t>2675</w:t>
                  </w:r>
                </w:p>
              </w:tc>
            </w:tr>
          </w:tbl>
          <w:p>
            <w:pPr>
              <w:spacing w:line="460" w:lineRule="exact"/>
              <w:ind w:firstLine="480" w:firstLineChars="200"/>
              <w:rPr>
                <w:rFonts w:eastAsia="黑体" w:cs="Times New Roman"/>
                <w:bCs/>
                <w:color w:val="auto"/>
                <w:sz w:val="24"/>
                <w:szCs w:val="24"/>
              </w:rPr>
            </w:pPr>
            <w:r>
              <w:rPr>
                <w:rFonts w:hint="eastAsia" w:eastAsia="黑体" w:cs="Times New Roman"/>
                <w:bCs/>
                <w:color w:val="auto"/>
                <w:sz w:val="24"/>
                <w:szCs w:val="24"/>
              </w:rPr>
              <w:t>6</w:t>
            </w:r>
            <w:r>
              <w:rPr>
                <w:rFonts w:eastAsia="黑体" w:cs="Times New Roman"/>
                <w:bCs/>
                <w:color w:val="auto"/>
                <w:sz w:val="24"/>
                <w:szCs w:val="24"/>
              </w:rPr>
              <w:t>.3 环境风险</w:t>
            </w:r>
            <w:r>
              <w:rPr>
                <w:rFonts w:hint="eastAsia" w:eastAsia="黑体" w:cs="Times New Roman"/>
                <w:bCs/>
                <w:color w:val="auto"/>
                <w:sz w:val="24"/>
                <w:szCs w:val="24"/>
              </w:rPr>
              <w:t>识别</w:t>
            </w:r>
          </w:p>
          <w:p>
            <w:pPr>
              <w:adjustRightInd w:val="0"/>
              <w:snapToGrid w:val="0"/>
              <w:spacing w:line="360" w:lineRule="auto"/>
              <w:ind w:firstLine="480" w:firstLineChars="200"/>
              <w:rPr>
                <w:rFonts w:cs="Times New Roman"/>
                <w:color w:val="auto"/>
                <w:sz w:val="24"/>
                <w:szCs w:val="24"/>
              </w:rPr>
            </w:pPr>
            <w:r>
              <w:rPr>
                <w:rFonts w:hint="eastAsia" w:cs="Times New Roman"/>
                <w:color w:val="auto"/>
                <w:sz w:val="24"/>
                <w:szCs w:val="24"/>
              </w:rPr>
              <w:t>依据项目使用的原辅材料以及生产工艺，本项目建成运行后存在潜在事故风险，主要表现在以下几个方面：</w:t>
            </w:r>
          </w:p>
          <w:p>
            <w:pPr>
              <w:adjustRightInd w:val="0"/>
              <w:snapToGrid w:val="0"/>
              <w:spacing w:line="360" w:lineRule="auto"/>
              <w:ind w:firstLine="480" w:firstLineChars="200"/>
              <w:rPr>
                <w:rFonts w:cs="Times New Roman"/>
                <w:color w:val="auto"/>
                <w:sz w:val="24"/>
                <w:szCs w:val="24"/>
              </w:rPr>
            </w:pPr>
            <w:r>
              <w:rPr>
                <w:rFonts w:hint="eastAsia" w:cs="Times New Roman"/>
                <w:color w:val="auto"/>
                <w:sz w:val="24"/>
                <w:szCs w:val="24"/>
              </w:rPr>
              <w:t>①物料泄漏引发的环境风险事故</w:t>
            </w:r>
          </w:p>
          <w:p>
            <w:pPr>
              <w:adjustRightInd w:val="0"/>
              <w:snapToGrid w:val="0"/>
              <w:spacing w:line="360" w:lineRule="auto"/>
              <w:ind w:firstLine="480" w:firstLineChars="200"/>
              <w:rPr>
                <w:rFonts w:cs="Times New Roman"/>
                <w:color w:val="auto"/>
                <w:sz w:val="24"/>
                <w:szCs w:val="24"/>
              </w:rPr>
            </w:pPr>
            <w:r>
              <w:rPr>
                <w:rFonts w:hint="eastAsia" w:cs="Times New Roman"/>
                <w:color w:val="auto"/>
                <w:sz w:val="24"/>
                <w:szCs w:val="24"/>
              </w:rPr>
              <w:t>本项目硝酸等采用瓶装，最大规格为10L/瓶，硝酸在厂内的最大贮存量为0.1t。一般情况下，不会发生泄漏，但是在硝酸的装卸、搬运过程中，易出现操作不当致使危险品外泄以及作业人员受灼伤的现象。在受外因（热源、火源、雷击等）诱导时，会引发泄漏、分解污染外环境。另②污染物处理设施故障引起的环境风险事故</w:t>
            </w:r>
          </w:p>
          <w:p>
            <w:pPr>
              <w:adjustRightInd w:val="0"/>
              <w:snapToGrid w:val="0"/>
              <w:spacing w:line="360" w:lineRule="auto"/>
              <w:ind w:firstLine="480" w:firstLineChars="200"/>
              <w:rPr>
                <w:rFonts w:cs="Times New Roman"/>
                <w:color w:val="auto"/>
                <w:sz w:val="24"/>
                <w:szCs w:val="24"/>
              </w:rPr>
            </w:pPr>
            <w:r>
              <w:rPr>
                <w:rFonts w:hint="eastAsia" w:cs="Times New Roman"/>
                <w:color w:val="auto"/>
                <w:sz w:val="24"/>
                <w:szCs w:val="24"/>
              </w:rPr>
              <w:t>废气处理系统发生故障，在非正常运转状态下，废气不经过处理直接排放，对局部环境空气质量的影响显著增大。</w:t>
            </w:r>
          </w:p>
          <w:p>
            <w:pPr>
              <w:adjustRightInd w:val="0"/>
              <w:snapToGrid w:val="0"/>
              <w:spacing w:line="460" w:lineRule="exact"/>
              <w:ind w:firstLine="480" w:firstLineChars="200"/>
              <w:rPr>
                <w:rFonts w:eastAsia="黑体" w:cs="Times New Roman"/>
                <w:color w:val="auto"/>
                <w:sz w:val="24"/>
                <w:szCs w:val="24"/>
              </w:rPr>
            </w:pPr>
            <w:r>
              <w:rPr>
                <w:rFonts w:hint="eastAsia" w:eastAsia="黑体" w:cs="Times New Roman"/>
                <w:color w:val="auto"/>
                <w:sz w:val="24"/>
                <w:szCs w:val="24"/>
              </w:rPr>
              <w:t>6</w:t>
            </w:r>
            <w:r>
              <w:rPr>
                <w:rFonts w:eastAsia="黑体" w:cs="Times New Roman"/>
                <w:color w:val="auto"/>
                <w:sz w:val="24"/>
                <w:szCs w:val="24"/>
              </w:rPr>
              <w:t>.4</w:t>
            </w:r>
            <w:r>
              <w:rPr>
                <w:rFonts w:hint="eastAsia" w:eastAsia="黑体" w:cs="Times New Roman"/>
                <w:color w:val="auto"/>
                <w:sz w:val="24"/>
                <w:szCs w:val="24"/>
              </w:rPr>
              <w:t xml:space="preserve"> </w:t>
            </w:r>
            <w:r>
              <w:rPr>
                <w:rFonts w:eastAsia="黑体" w:cs="Times New Roman"/>
                <w:color w:val="auto"/>
                <w:sz w:val="24"/>
                <w:szCs w:val="24"/>
              </w:rPr>
              <w:t>风险防范措施及应急</w:t>
            </w:r>
            <w:r>
              <w:rPr>
                <w:rFonts w:hint="eastAsia" w:eastAsia="黑体" w:cs="Times New Roman"/>
                <w:color w:val="auto"/>
                <w:sz w:val="24"/>
                <w:szCs w:val="24"/>
              </w:rPr>
              <w:t>要求</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（1）风险防范措施</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①建立、完善安全管理制度：制定和执行相应的消防管理、安全防火培训、用火用电安全管理、灭火器材维护使用等一系列安全制度，并严格遵守执行。</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②危险化学品安全防范措施：硝酸贮存远离火种、热源，保证阴凉、通风，采用防爆型照明、通风设施。禁止使用易产生火花的机械设备和工具。保证仓库内容器密封。库房内应备有泄漏应急处理设备和合适的收容材料。在危险化学品贮存地点与使用危险化学品的设备处，设立安全标志或涂刷相应的安全色，设置警示说明产生风险事故的种类、后果、预防以及应急救治措施等内容。建立完善的化学品管理制度，按《化学危险品安全管理条例》、《易燃易爆化学品消防安全监督管理办法》等相关法规的规定进行化学品的管理。</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③废气事故排放风险防范措施：定期检修设备，加强日常维护保养，避免或减少故障发生，确保设备处于正常的工作状态；加强对操作工人的培训，培养员工的安全和环境意识，提高操作工人的技术水平和责任感，降低操作失误而造成的事故。</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（2）应急预案</w:t>
            </w:r>
          </w:p>
          <w:p>
            <w:pPr>
              <w:adjustRightInd w:val="0"/>
              <w:snapToGrid w:val="0"/>
              <w:spacing w:line="460" w:lineRule="exact"/>
              <w:ind w:firstLine="480" w:firstLineChars="200"/>
              <w:rPr>
                <w:rFonts w:cs="Times New Roman"/>
                <w:color w:val="auto"/>
                <w:sz w:val="24"/>
                <w:szCs w:val="24"/>
              </w:rPr>
            </w:pPr>
            <w:r>
              <w:rPr>
                <w:rFonts w:hint="eastAsia" w:cs="Times New Roman"/>
                <w:color w:val="auto"/>
                <w:sz w:val="24"/>
                <w:szCs w:val="24"/>
              </w:rPr>
              <w:t>根据国家相关规定的要求，建设单位应制定环境风险应急预案，并且配备必要的设施。应急预案的主要内容可参考见下表。</w:t>
            </w:r>
          </w:p>
          <w:p>
            <w:pPr>
              <w:pStyle w:val="21"/>
              <w:ind w:firstLine="420"/>
              <w:rPr>
                <w:color w:val="auto"/>
              </w:rPr>
            </w:pPr>
            <w:r>
              <w:rPr>
                <w:rFonts w:hint="eastAsia"/>
                <w:color w:val="auto"/>
              </w:rPr>
              <w:t xml:space="preserve">                 </w:t>
            </w:r>
            <w:r>
              <w:rPr>
                <w:color w:val="auto"/>
              </w:rPr>
              <w:t>应急预案的主要内容</w:t>
            </w:r>
          </w:p>
          <w:tbl>
            <w:tblPr>
              <w:tblStyle w:val="26"/>
              <w:tblW w:w="875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350"/>
              <w:gridCol w:w="547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77" w:type="dxa"/>
                  <w:noWrap/>
                  <w:vAlign w:val="center"/>
                </w:tcPr>
                <w:p>
                  <w:pPr>
                    <w:pStyle w:val="97"/>
                    <w:spacing w:line="240" w:lineRule="auto"/>
                    <w:rPr>
                      <w:rFonts w:cs="Times New Roman"/>
                      <w:bCs/>
                      <w:color w:val="auto"/>
                      <w:kern w:val="2"/>
                      <w:sz w:val="18"/>
                      <w:szCs w:val="18"/>
                    </w:rPr>
                  </w:pPr>
                  <w:r>
                    <w:rPr>
                      <w:rFonts w:cs="Times New Roman"/>
                      <w:bCs/>
                      <w:color w:val="auto"/>
                      <w:kern w:val="2"/>
                      <w:sz w:val="18"/>
                      <w:szCs w:val="18"/>
                    </w:rPr>
                    <w:t>序号</w:t>
                  </w:r>
                </w:p>
              </w:tc>
              <w:tc>
                <w:tcPr>
                  <w:tcW w:w="2397" w:type="dxa"/>
                  <w:noWrap/>
                  <w:vAlign w:val="center"/>
                </w:tcPr>
                <w:p>
                  <w:pPr>
                    <w:pStyle w:val="97"/>
                    <w:spacing w:line="240" w:lineRule="auto"/>
                    <w:rPr>
                      <w:rFonts w:cs="Times New Roman"/>
                      <w:bCs/>
                      <w:color w:val="auto"/>
                      <w:kern w:val="2"/>
                      <w:sz w:val="18"/>
                      <w:szCs w:val="18"/>
                    </w:rPr>
                  </w:pPr>
                  <w:r>
                    <w:rPr>
                      <w:rFonts w:cs="Times New Roman"/>
                      <w:bCs/>
                      <w:color w:val="auto"/>
                      <w:kern w:val="2"/>
                      <w:sz w:val="18"/>
                      <w:szCs w:val="18"/>
                    </w:rPr>
                    <w:t>项目</w:t>
                  </w:r>
                </w:p>
              </w:tc>
              <w:tc>
                <w:tcPr>
                  <w:tcW w:w="5585" w:type="dxa"/>
                  <w:noWrap/>
                  <w:vAlign w:val="center"/>
                </w:tcPr>
                <w:p>
                  <w:pPr>
                    <w:pStyle w:val="97"/>
                    <w:spacing w:line="240" w:lineRule="auto"/>
                    <w:rPr>
                      <w:rFonts w:cs="Times New Roman"/>
                      <w:bCs/>
                      <w:color w:val="auto"/>
                      <w:kern w:val="2"/>
                      <w:sz w:val="18"/>
                      <w:szCs w:val="18"/>
                    </w:rPr>
                  </w:pPr>
                  <w:r>
                    <w:rPr>
                      <w:rFonts w:cs="Times New Roman"/>
                      <w:bCs/>
                      <w:color w:val="auto"/>
                      <w:kern w:val="2"/>
                      <w:sz w:val="18"/>
                      <w:szCs w:val="18"/>
                    </w:rPr>
                    <w:t>内容及要求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1</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应急计划区</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危险目标：原料储存区、废气处理装置、环境保护目标。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2</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应急组织机构、人员</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工厂、地区应急组织机构、人员。</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3</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预案分级响应条件</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规定预案的级别及分级响应程序。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4</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应急救援保障</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应急设施，设备与器材等。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5</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报警、通讯联络方式</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规定应急状态下的报警通讯方式、通知方式和交通保障、管制。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6</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应急环境监测、抢险、救援及控制措施</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由专业队伍负责对事故现场进行侦察监测，对事故性质、参数与后果进行评估，为指挥部门提供决策依据。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7</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应急检测、防护措施、清除泄漏措施和器材</w:t>
                  </w:r>
                </w:p>
              </w:tc>
              <w:tc>
                <w:tcPr>
                  <w:tcW w:w="5585" w:type="dxa"/>
                  <w:noWrap/>
                  <w:vAlign w:val="center"/>
                </w:tcPr>
                <w:p>
                  <w:pPr>
                    <w:pStyle w:val="97"/>
                    <w:spacing w:line="240" w:lineRule="auto"/>
                    <w:jc w:val="left"/>
                    <w:rPr>
                      <w:rFonts w:cs="Times New Roman"/>
                      <w:color w:val="auto"/>
                      <w:spacing w:val="-4"/>
                      <w:kern w:val="2"/>
                      <w:sz w:val="18"/>
                      <w:szCs w:val="18"/>
                    </w:rPr>
                  </w:pPr>
                  <w:r>
                    <w:rPr>
                      <w:rFonts w:cs="Times New Roman"/>
                      <w:color w:val="auto"/>
                      <w:spacing w:val="-4"/>
                      <w:kern w:val="2"/>
                      <w:sz w:val="18"/>
                      <w:szCs w:val="18"/>
                    </w:rPr>
                    <w:t>事故现场、邻近区域、控制防火区域，控制和清除污染措施及相应设备。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8</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人员紧急撤离、疏散，应急剂量控制、撤离组织计划</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事故现场、工厂邻近区、受事故影响的区域人员及公众对毒物应急剂量控制规定，撤离组织计划及救护，医疗救护与公众健康。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9</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事故应急救援关闭程序与恢复措施</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规定应急状态终止程序；</w:t>
                  </w:r>
                </w:p>
                <w:p>
                  <w:pPr>
                    <w:pStyle w:val="97"/>
                    <w:spacing w:line="240" w:lineRule="auto"/>
                    <w:jc w:val="left"/>
                    <w:rPr>
                      <w:rFonts w:cs="Times New Roman"/>
                      <w:color w:val="auto"/>
                      <w:kern w:val="2"/>
                      <w:sz w:val="18"/>
                      <w:szCs w:val="18"/>
                    </w:rPr>
                  </w:pPr>
                  <w:r>
                    <w:rPr>
                      <w:rFonts w:cs="Times New Roman"/>
                      <w:color w:val="auto"/>
                      <w:kern w:val="2"/>
                      <w:sz w:val="18"/>
                      <w:szCs w:val="18"/>
                    </w:rPr>
                    <w:t>事故现场善后处理，恢复措施；</w:t>
                  </w:r>
                </w:p>
                <w:p>
                  <w:pPr>
                    <w:pStyle w:val="97"/>
                    <w:spacing w:line="240" w:lineRule="auto"/>
                    <w:jc w:val="left"/>
                    <w:rPr>
                      <w:rFonts w:cs="Times New Roman"/>
                      <w:color w:val="auto"/>
                      <w:kern w:val="2"/>
                      <w:sz w:val="18"/>
                      <w:szCs w:val="18"/>
                    </w:rPr>
                  </w:pPr>
                  <w:r>
                    <w:rPr>
                      <w:rFonts w:cs="Times New Roman"/>
                      <w:color w:val="auto"/>
                      <w:kern w:val="2"/>
                      <w:sz w:val="18"/>
                      <w:szCs w:val="18"/>
                    </w:rPr>
                    <w:t>邻近区域解除事故警戒及善后恢复措施。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10</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人员培训与演练</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对岗位操作人员和管理人员进行应急救援知识与技术的培训，加强对环境风险的能力，定期模拟可能发生事故进行救援训练和预演，每年至少进行1~2次综合性演习，提高指挥水平和救援技能。介绍相关企业的案例分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11</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公众教育和信息</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对工厂邻近地区开展公众教育、培训与发布相关信息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12</w:t>
                  </w:r>
                </w:p>
              </w:tc>
              <w:tc>
                <w:tcPr>
                  <w:tcW w:w="2397" w:type="dxa"/>
                  <w:noWrap/>
                  <w:vAlign w:val="center"/>
                </w:tcPr>
                <w:p>
                  <w:pPr>
                    <w:pStyle w:val="97"/>
                    <w:spacing w:line="240" w:lineRule="auto"/>
                    <w:rPr>
                      <w:rFonts w:cs="Times New Roman"/>
                      <w:color w:val="auto"/>
                      <w:kern w:val="2"/>
                      <w:sz w:val="18"/>
                      <w:szCs w:val="18"/>
                    </w:rPr>
                  </w:pPr>
                  <w:r>
                    <w:rPr>
                      <w:rFonts w:cs="Times New Roman"/>
                      <w:color w:val="auto"/>
                      <w:kern w:val="2"/>
                      <w:sz w:val="18"/>
                      <w:szCs w:val="18"/>
                    </w:rPr>
                    <w:t>记录和报告</w:t>
                  </w:r>
                </w:p>
              </w:tc>
              <w:tc>
                <w:tcPr>
                  <w:tcW w:w="5585" w:type="dxa"/>
                  <w:noWrap/>
                  <w:vAlign w:val="center"/>
                </w:tcPr>
                <w:p>
                  <w:pPr>
                    <w:pStyle w:val="97"/>
                    <w:spacing w:line="240" w:lineRule="auto"/>
                    <w:jc w:val="left"/>
                    <w:rPr>
                      <w:rFonts w:cs="Times New Roman"/>
                      <w:color w:val="auto"/>
                      <w:kern w:val="2"/>
                      <w:sz w:val="18"/>
                      <w:szCs w:val="18"/>
                    </w:rPr>
                  </w:pPr>
                  <w:r>
                    <w:rPr>
                      <w:rFonts w:cs="Times New Roman"/>
                      <w:color w:val="auto"/>
                      <w:kern w:val="2"/>
                      <w:sz w:val="18"/>
                      <w:szCs w:val="18"/>
                    </w:rPr>
                    <w:t>设置应急事故专门记录，建立档案和专门报告制度，设立专门部门负责管理</w:t>
                  </w:r>
                </w:p>
              </w:tc>
            </w:tr>
          </w:tbl>
          <w:p>
            <w:pPr>
              <w:adjustRightInd w:val="0"/>
              <w:snapToGrid w:val="0"/>
              <w:spacing w:line="480" w:lineRule="exact"/>
              <w:ind w:firstLine="480" w:firstLineChars="200"/>
              <w:rPr>
                <w:rFonts w:eastAsia="黑体" w:cs="Times New Roman"/>
                <w:color w:val="auto"/>
                <w:sz w:val="24"/>
                <w:szCs w:val="24"/>
              </w:rPr>
            </w:pPr>
            <w:r>
              <w:rPr>
                <w:rFonts w:hint="eastAsia" w:eastAsia="黑体" w:cs="Times New Roman"/>
                <w:color w:val="auto"/>
                <w:sz w:val="24"/>
                <w:szCs w:val="24"/>
              </w:rPr>
              <w:t>6</w:t>
            </w:r>
            <w:r>
              <w:rPr>
                <w:rFonts w:eastAsia="黑体" w:cs="Times New Roman"/>
                <w:color w:val="auto"/>
                <w:sz w:val="24"/>
                <w:szCs w:val="24"/>
              </w:rPr>
              <w:t>.5 环境风险分析结论</w:t>
            </w:r>
          </w:p>
          <w:p>
            <w:pPr>
              <w:adjustRightInd w:val="0"/>
              <w:snapToGrid w:val="0"/>
              <w:spacing w:line="480" w:lineRule="exact"/>
              <w:ind w:firstLine="480" w:firstLineChars="200"/>
              <w:rPr>
                <w:rFonts w:cs="Times New Roman"/>
                <w:color w:val="auto"/>
                <w:sz w:val="24"/>
                <w:szCs w:val="24"/>
              </w:rPr>
            </w:pPr>
            <w:r>
              <w:rPr>
                <w:rFonts w:cs="Times New Roman"/>
                <w:color w:val="auto"/>
                <w:sz w:val="24"/>
                <w:szCs w:val="24"/>
              </w:rPr>
              <w:t>本项目</w:t>
            </w:r>
            <w:r>
              <w:rPr>
                <w:rFonts w:hint="eastAsia" w:cs="Times New Roman"/>
                <w:color w:val="auto"/>
                <w:sz w:val="24"/>
                <w:szCs w:val="24"/>
              </w:rPr>
              <w:t>风险主要为物料泄漏和废气事故性排放。通过制定风险防范措施，制定安全生产规范，加强员工风险意识和安全教育，制定风险应急预案，可有效降低风险事故发生概率，环境风险可接受</w:t>
            </w:r>
            <w:r>
              <w:rPr>
                <w:rFonts w:cs="Times New Roman"/>
                <w:color w:val="auto"/>
                <w:sz w:val="24"/>
                <w:szCs w:val="24"/>
              </w:rPr>
              <w:t>。</w:t>
            </w:r>
          </w:p>
          <w:p>
            <w:pPr>
              <w:adjustRightInd w:val="0"/>
              <w:snapToGrid w:val="0"/>
              <w:spacing w:line="480" w:lineRule="exact"/>
              <w:ind w:firstLine="480" w:firstLineChars="200"/>
              <w:rPr>
                <w:rFonts w:cs="Times New Roman"/>
                <w:color w:val="auto"/>
                <w:sz w:val="24"/>
                <w:szCs w:val="24"/>
              </w:rPr>
            </w:pPr>
            <w:r>
              <w:rPr>
                <w:rFonts w:cs="Times New Roman"/>
                <w:color w:val="auto"/>
                <w:sz w:val="24"/>
                <w:szCs w:val="24"/>
              </w:rPr>
              <w:t>项目环境风险简单分析内容见下表。</w:t>
            </w:r>
          </w:p>
          <w:p>
            <w:pPr>
              <w:pStyle w:val="21"/>
              <w:ind w:firstLine="420"/>
              <w:rPr>
                <w:color w:val="auto"/>
              </w:rPr>
            </w:pPr>
            <w:r>
              <w:rPr>
                <w:rFonts w:hint="eastAsia"/>
                <w:color w:val="auto"/>
              </w:rPr>
              <w:t xml:space="preserve">          </w:t>
            </w:r>
            <w:r>
              <w:rPr>
                <w:color w:val="auto"/>
              </w:rPr>
              <w:t>建设项目环境风险简单分析内容表</w:t>
            </w:r>
          </w:p>
          <w:tbl>
            <w:tblPr>
              <w:tblStyle w:val="26"/>
              <w:tblW w:w="8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227"/>
              <w:gridCol w:w="1629"/>
              <w:gridCol w:w="1785"/>
              <w:gridCol w:w="22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建设项目名称</w:t>
                  </w:r>
                </w:p>
              </w:tc>
              <w:tc>
                <w:tcPr>
                  <w:tcW w:w="6885" w:type="dxa"/>
                  <w:gridSpan w:val="4"/>
                  <w:noWrap/>
                  <w:vAlign w:val="center"/>
                </w:tcPr>
                <w:p>
                  <w:pPr>
                    <w:spacing w:line="240" w:lineRule="exact"/>
                    <w:ind w:left="-140" w:leftChars="-50" w:right="-140" w:rightChars="-50"/>
                    <w:jc w:val="center"/>
                    <w:rPr>
                      <w:rFonts w:cs="Times New Roman"/>
                      <w:color w:val="auto"/>
                      <w:sz w:val="18"/>
                      <w:szCs w:val="18"/>
                    </w:rPr>
                  </w:pPr>
                  <w:r>
                    <w:rPr>
                      <w:rFonts w:hint="eastAsia" w:cs="Times New Roman"/>
                      <w:color w:val="auto"/>
                      <w:sz w:val="18"/>
                      <w:szCs w:val="18"/>
                    </w:rPr>
                    <w:t>新乡市得润环保科技有限公司年产柴油机尾气净化装置30万套项目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建设地点</w:t>
                  </w:r>
                </w:p>
              </w:tc>
              <w:tc>
                <w:tcPr>
                  <w:tcW w:w="1227" w:type="dxa"/>
                  <w:noWrap/>
                  <w:vAlign w:val="center"/>
                </w:tcPr>
                <w:p>
                  <w:pPr>
                    <w:spacing w:line="240" w:lineRule="exact"/>
                    <w:jc w:val="center"/>
                    <w:rPr>
                      <w:rFonts w:cs="Times New Roman"/>
                      <w:color w:val="auto"/>
                      <w:sz w:val="18"/>
                      <w:szCs w:val="18"/>
                    </w:rPr>
                  </w:pPr>
                  <w:r>
                    <w:rPr>
                      <w:rFonts w:cs="Times New Roman"/>
                      <w:color w:val="auto"/>
                      <w:sz w:val="18"/>
                      <w:szCs w:val="18"/>
                    </w:rPr>
                    <w:t>河南省</w:t>
                  </w:r>
                </w:p>
              </w:tc>
              <w:tc>
                <w:tcPr>
                  <w:tcW w:w="1629" w:type="dxa"/>
                  <w:noWrap/>
                  <w:vAlign w:val="center"/>
                </w:tcPr>
                <w:p>
                  <w:pPr>
                    <w:spacing w:line="240" w:lineRule="exact"/>
                    <w:jc w:val="center"/>
                    <w:rPr>
                      <w:rFonts w:cs="Times New Roman"/>
                      <w:color w:val="auto"/>
                      <w:sz w:val="18"/>
                      <w:szCs w:val="18"/>
                    </w:rPr>
                  </w:pPr>
                  <w:r>
                    <w:rPr>
                      <w:rFonts w:cs="Times New Roman"/>
                      <w:color w:val="auto"/>
                      <w:sz w:val="18"/>
                      <w:szCs w:val="18"/>
                    </w:rPr>
                    <w:t>新乡市</w:t>
                  </w:r>
                </w:p>
              </w:tc>
              <w:tc>
                <w:tcPr>
                  <w:tcW w:w="1785" w:type="dxa"/>
                  <w:noWrap/>
                  <w:vAlign w:val="center"/>
                </w:tcPr>
                <w:p>
                  <w:pPr>
                    <w:spacing w:line="240" w:lineRule="exact"/>
                    <w:jc w:val="center"/>
                    <w:rPr>
                      <w:rFonts w:cs="Times New Roman"/>
                      <w:color w:val="auto"/>
                      <w:sz w:val="18"/>
                      <w:szCs w:val="18"/>
                    </w:rPr>
                  </w:pPr>
                  <w:r>
                    <w:rPr>
                      <w:rFonts w:hint="eastAsia" w:cs="Times New Roman"/>
                      <w:color w:val="auto"/>
                      <w:sz w:val="18"/>
                      <w:szCs w:val="18"/>
                    </w:rPr>
                    <w:t>凤泉区</w:t>
                  </w:r>
                </w:p>
              </w:tc>
              <w:tc>
                <w:tcPr>
                  <w:tcW w:w="2244" w:type="dxa"/>
                  <w:noWrap/>
                  <w:vAlign w:val="center"/>
                </w:tcPr>
                <w:p>
                  <w:pPr>
                    <w:spacing w:line="240" w:lineRule="exact"/>
                    <w:jc w:val="center"/>
                    <w:rPr>
                      <w:rFonts w:cs="Times New Roman"/>
                      <w:color w:val="auto"/>
                      <w:sz w:val="18"/>
                      <w:szCs w:val="18"/>
                    </w:rPr>
                  </w:pPr>
                  <w:r>
                    <w:rPr>
                      <w:rFonts w:hint="eastAsia" w:cs="Times New Roman"/>
                      <w:color w:val="auto"/>
                      <w:sz w:val="18"/>
                      <w:szCs w:val="18"/>
                    </w:rPr>
                    <w:t>新乡市动力电池专业园区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地理坐标</w:t>
                  </w:r>
                </w:p>
              </w:tc>
              <w:tc>
                <w:tcPr>
                  <w:tcW w:w="1227" w:type="dxa"/>
                  <w:noWrap/>
                  <w:vAlign w:val="center"/>
                </w:tcPr>
                <w:p>
                  <w:pPr>
                    <w:spacing w:line="240" w:lineRule="exact"/>
                    <w:jc w:val="center"/>
                    <w:rPr>
                      <w:rFonts w:cs="Times New Roman"/>
                      <w:color w:val="auto"/>
                      <w:sz w:val="18"/>
                      <w:szCs w:val="18"/>
                    </w:rPr>
                  </w:pPr>
                  <w:r>
                    <w:rPr>
                      <w:rFonts w:cs="Times New Roman"/>
                      <w:color w:val="auto"/>
                      <w:sz w:val="18"/>
                      <w:szCs w:val="18"/>
                    </w:rPr>
                    <w:t>经度</w:t>
                  </w:r>
                </w:p>
              </w:tc>
              <w:tc>
                <w:tcPr>
                  <w:tcW w:w="1629" w:type="dxa"/>
                  <w:noWrap/>
                  <w:vAlign w:val="center"/>
                </w:tcPr>
                <w:p>
                  <w:pPr>
                    <w:spacing w:line="240" w:lineRule="exact"/>
                    <w:jc w:val="center"/>
                    <w:rPr>
                      <w:rFonts w:cs="Times New Roman"/>
                      <w:color w:val="auto"/>
                      <w:sz w:val="18"/>
                      <w:szCs w:val="18"/>
                    </w:rPr>
                  </w:pPr>
                  <w:r>
                    <w:rPr>
                      <w:rFonts w:hint="eastAsia" w:cs="Times New Roman"/>
                      <w:color w:val="auto"/>
                      <w:sz w:val="18"/>
                      <w:szCs w:val="18"/>
                    </w:rPr>
                    <w:t>113.845198E</w:t>
                  </w:r>
                </w:p>
              </w:tc>
              <w:tc>
                <w:tcPr>
                  <w:tcW w:w="1785" w:type="dxa"/>
                  <w:noWrap/>
                  <w:vAlign w:val="center"/>
                </w:tcPr>
                <w:p>
                  <w:pPr>
                    <w:spacing w:line="240" w:lineRule="exact"/>
                    <w:jc w:val="center"/>
                    <w:rPr>
                      <w:rFonts w:cs="Times New Roman"/>
                      <w:color w:val="auto"/>
                      <w:sz w:val="18"/>
                      <w:szCs w:val="18"/>
                    </w:rPr>
                  </w:pPr>
                  <w:r>
                    <w:rPr>
                      <w:rFonts w:cs="Times New Roman"/>
                      <w:color w:val="auto"/>
                      <w:sz w:val="18"/>
                      <w:szCs w:val="18"/>
                    </w:rPr>
                    <w:t>纬度</w:t>
                  </w:r>
                </w:p>
              </w:tc>
              <w:tc>
                <w:tcPr>
                  <w:tcW w:w="2244" w:type="dxa"/>
                  <w:noWrap/>
                  <w:vAlign w:val="center"/>
                </w:tcPr>
                <w:p>
                  <w:pPr>
                    <w:spacing w:line="240" w:lineRule="exact"/>
                    <w:jc w:val="center"/>
                    <w:rPr>
                      <w:rFonts w:cs="Times New Roman"/>
                      <w:color w:val="auto"/>
                      <w:sz w:val="18"/>
                      <w:szCs w:val="18"/>
                    </w:rPr>
                  </w:pPr>
                  <w:r>
                    <w:rPr>
                      <w:rFonts w:hint="eastAsia" w:cs="Times New Roman"/>
                      <w:color w:val="auto"/>
                      <w:sz w:val="18"/>
                      <w:szCs w:val="18"/>
                    </w:rPr>
                    <w:t>35.364726N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主要危险物质及分布</w:t>
                  </w:r>
                </w:p>
              </w:tc>
              <w:tc>
                <w:tcPr>
                  <w:tcW w:w="6885" w:type="dxa"/>
                  <w:gridSpan w:val="4"/>
                  <w:noWrap/>
                  <w:vAlign w:val="center"/>
                </w:tcPr>
                <w:p>
                  <w:pPr>
                    <w:spacing w:line="240" w:lineRule="exact"/>
                    <w:rPr>
                      <w:rFonts w:cs="Times New Roman"/>
                      <w:color w:val="auto"/>
                      <w:sz w:val="18"/>
                      <w:szCs w:val="18"/>
                    </w:rPr>
                  </w:pPr>
                  <w:r>
                    <w:rPr>
                      <w:rFonts w:cs="Times New Roman"/>
                      <w:color w:val="auto"/>
                      <w:sz w:val="18"/>
                      <w:szCs w:val="18"/>
                    </w:rPr>
                    <w:t>主要危险物质</w:t>
                  </w:r>
                  <w:r>
                    <w:rPr>
                      <w:rFonts w:hint="eastAsia" w:cs="Times New Roman"/>
                      <w:color w:val="auto"/>
                      <w:sz w:val="18"/>
                      <w:szCs w:val="18"/>
                    </w:rPr>
                    <w:t>：硝酸</w:t>
                  </w:r>
                  <w:r>
                    <w:rPr>
                      <w:rFonts w:cs="Times New Roman"/>
                      <w:color w:val="auto"/>
                      <w:sz w:val="18"/>
                      <w:szCs w:val="18"/>
                    </w:rPr>
                    <w:t>；分布：</w:t>
                  </w:r>
                  <w:r>
                    <w:rPr>
                      <w:rFonts w:hint="eastAsia" w:cs="Times New Roman"/>
                      <w:color w:val="auto"/>
                      <w:sz w:val="18"/>
                      <w:szCs w:val="18"/>
                    </w:rPr>
                    <w:t>原料暂存区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环境影响途径及危害后果</w:t>
                  </w:r>
                  <w:r>
                    <w:rPr>
                      <w:color w:val="auto"/>
                      <w:sz w:val="18"/>
                      <w:szCs w:val="18"/>
                    </w:rPr>
                    <w:t>（大气、地表水、地下水等）</w:t>
                  </w:r>
                </w:p>
              </w:tc>
              <w:tc>
                <w:tcPr>
                  <w:tcW w:w="6885" w:type="dxa"/>
                  <w:gridSpan w:val="4"/>
                  <w:noWrap/>
                  <w:vAlign w:val="center"/>
                </w:tcPr>
                <w:p>
                  <w:pPr>
                    <w:spacing w:line="240" w:lineRule="exact"/>
                    <w:jc w:val="left"/>
                    <w:rPr>
                      <w:rFonts w:cs="Times New Roman"/>
                      <w:color w:val="auto"/>
                      <w:sz w:val="18"/>
                      <w:szCs w:val="18"/>
                    </w:rPr>
                  </w:pPr>
                  <w:r>
                    <w:rPr>
                      <w:rFonts w:hint="eastAsia" w:cs="Times New Roman"/>
                      <w:color w:val="auto"/>
                      <w:sz w:val="18"/>
                      <w:szCs w:val="18"/>
                    </w:rPr>
                    <w:t xml:space="preserve"> ①化学品的装卸、搬运过程中，易出现操作不当致使危险品外泄以及作业人员受灼伤的现象，在受外因诱导时，会引发危险品泄漏。物料泄漏可能引发大气污染事故，同时可能污染地下水环境。②废气处理系统发生故障，在非正常运转状态下，废气不经过处理直接排放，对局部环境空气质量的影响显著增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风险防范措施要求</w:t>
                  </w:r>
                </w:p>
              </w:tc>
              <w:tc>
                <w:tcPr>
                  <w:tcW w:w="6885" w:type="dxa"/>
                  <w:gridSpan w:val="4"/>
                  <w:noWrap/>
                  <w:vAlign w:val="center"/>
                </w:tcPr>
                <w:p>
                  <w:pPr>
                    <w:spacing w:line="240" w:lineRule="exact"/>
                    <w:jc w:val="left"/>
                    <w:rPr>
                      <w:rFonts w:cs="Times New Roman"/>
                      <w:b/>
                      <w:color w:val="auto"/>
                      <w:sz w:val="18"/>
                      <w:szCs w:val="18"/>
                      <w:u w:val="single"/>
                    </w:rPr>
                  </w:pPr>
                  <w:r>
                    <w:rPr>
                      <w:rFonts w:hint="eastAsia" w:cs="Times New Roman"/>
                      <w:bCs/>
                      <w:color w:val="auto"/>
                      <w:sz w:val="18"/>
                      <w:szCs w:val="18"/>
                    </w:rPr>
                    <w:t>建立、完善安全管理制度；建立完善的化学品管理制度，按《化学危险品安全管理条例》、《易燃易爆化学品消防安全监督管理办法》等相关法规的规定进行化学品的管理；定期检修设备，加强日常维护保养，避免或减少故障发生，确保设备处于正常的工作状态；加强对操作工人的培训，培养员工的安全和环境意识，提高操作工人的技术水平和责任感，降低操作失误而造成的事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noWrap/>
                  <w:vAlign w:val="center"/>
                </w:tcPr>
                <w:p>
                  <w:pPr>
                    <w:spacing w:line="240" w:lineRule="exact"/>
                    <w:ind w:left="-140" w:leftChars="-50" w:right="-140" w:rightChars="-50"/>
                    <w:jc w:val="center"/>
                    <w:rPr>
                      <w:rFonts w:cs="Times New Roman"/>
                      <w:color w:val="auto"/>
                      <w:sz w:val="18"/>
                      <w:szCs w:val="18"/>
                    </w:rPr>
                  </w:pPr>
                  <w:r>
                    <w:rPr>
                      <w:rFonts w:cs="Times New Roman"/>
                      <w:color w:val="auto"/>
                      <w:sz w:val="18"/>
                      <w:szCs w:val="18"/>
                    </w:rPr>
                    <w:t>填表说明</w:t>
                  </w:r>
                </w:p>
              </w:tc>
              <w:tc>
                <w:tcPr>
                  <w:tcW w:w="6885" w:type="dxa"/>
                  <w:gridSpan w:val="4"/>
                  <w:noWrap/>
                  <w:vAlign w:val="center"/>
                </w:tcPr>
                <w:p>
                  <w:pPr>
                    <w:spacing w:line="240" w:lineRule="exact"/>
                    <w:rPr>
                      <w:rFonts w:cs="Times New Roman"/>
                      <w:color w:val="auto"/>
                      <w:sz w:val="18"/>
                      <w:szCs w:val="18"/>
                    </w:rPr>
                  </w:pPr>
                  <w:r>
                    <w:rPr>
                      <w:rFonts w:cs="Times New Roman"/>
                      <w:color w:val="auto"/>
                      <w:sz w:val="18"/>
                      <w:szCs w:val="18"/>
                    </w:rPr>
                    <w:t>企业须严格落实各项风险防范措施，从而使工程环境风险降低到最低程度。在此基础上，本项目环境风险是可控的。</w:t>
                  </w:r>
                </w:p>
              </w:tc>
            </w:tr>
          </w:tbl>
          <w:p>
            <w:pPr>
              <w:pStyle w:val="21"/>
              <w:bidi w:val="0"/>
              <w:rPr>
                <w:rFonts w:hint="default"/>
                <w:color w:val="auto"/>
                <w:lang w:val="en-US" w:eastAsia="zh-CN"/>
              </w:rPr>
            </w:pPr>
            <w:r>
              <w:rPr>
                <w:rFonts w:hint="eastAsia"/>
                <w:color w:val="auto"/>
                <w:lang w:val="en-US" w:eastAsia="zh-CN"/>
              </w:rPr>
              <w:t xml:space="preserve">                        </w:t>
            </w:r>
            <w:r>
              <w:rPr>
                <w:color w:val="auto"/>
              </w:rPr>
              <w:t>环境风险</w:t>
            </w:r>
            <w:r>
              <w:rPr>
                <w:rFonts w:hint="eastAsia"/>
                <w:color w:val="auto"/>
                <w:lang w:val="en-US" w:eastAsia="zh-CN"/>
              </w:rPr>
              <w:t>评价自查表</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962"/>
              <w:gridCol w:w="1204"/>
              <w:gridCol w:w="1439"/>
              <w:gridCol w:w="43"/>
              <w:gridCol w:w="860"/>
              <w:gridCol w:w="628"/>
              <w:gridCol w:w="34"/>
              <w:gridCol w:w="795"/>
              <w:gridCol w:w="754"/>
              <w:gridCol w:w="10"/>
              <w:gridCol w:w="14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2" w:hRule="atLeast"/>
                <w:jc w:val="center"/>
              </w:trPr>
              <w:tc>
                <w:tcPr>
                  <w:tcW w:w="14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工作内容</w:t>
                  </w:r>
                </w:p>
              </w:tc>
              <w:tc>
                <w:tcPr>
                  <w:tcW w:w="3508"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完成情况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风险调查</w:t>
                  </w:r>
                </w:p>
              </w:tc>
              <w:tc>
                <w:tcPr>
                  <w:tcW w:w="5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危险物质</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硝酸</w:t>
                  </w:r>
                </w:p>
              </w:tc>
              <w:tc>
                <w:tcPr>
                  <w:tcW w:w="8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92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存在总量/t</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0.1</w:t>
                  </w:r>
                </w:p>
              </w:tc>
              <w:tc>
                <w:tcPr>
                  <w:tcW w:w="891"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92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p>
              </w:tc>
              <w:tc>
                <w:tcPr>
                  <w:tcW w:w="8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环境敏感性</w:t>
                  </w:r>
                </w:p>
              </w:tc>
              <w:tc>
                <w:tcPr>
                  <w:tcW w:w="7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173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500m范围内人口数  </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人</w:t>
                  </w:r>
                </w:p>
              </w:tc>
              <w:tc>
                <w:tcPr>
                  <w:tcW w:w="1777"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5km范围内人口数  </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 xml:space="preserve">  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2652"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每公里管段周边200m范围内人口数（最大）</w:t>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地表水功能敏感性</w:t>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F1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F2</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F3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环境敏感目标分级</w:t>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S1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S2</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S3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地下水功能敏感性</w:t>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G1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G2</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G3</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包气带防污性能</w:t>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D1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D2</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D3</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79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物质及工艺系统危险性</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Q值</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Q&lt;1 </w:t>
                  </w:r>
                  <w:r>
                    <w:rPr>
                      <w:rFonts w:hint="default" w:ascii="Times New Roman" w:hAnsi="Times New Roman" w:eastAsia="宋体" w:cs="Times New Roman"/>
                      <w:color w:val="auto"/>
                      <w:sz w:val="18"/>
                      <w:szCs w:val="18"/>
                    </w:rPr>
                    <w:sym w:font="Wingdings 2" w:char="0052"/>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1≤Q&lt;10</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10≤Q&lt;100</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Q&gt;100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M值</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M1</w:t>
                  </w:r>
                  <w:r>
                    <w:rPr>
                      <w:rFonts w:hint="default" w:ascii="Times New Roman" w:hAnsi="Times New Roman" w:eastAsia="宋体" w:cs="Times New Roman"/>
                      <w:color w:val="auto"/>
                      <w:sz w:val="18"/>
                      <w:szCs w:val="18"/>
                    </w:rPr>
                    <w:sym w:font="Wingdings 2" w:char="00A3"/>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M2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M3 </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M4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P值</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P1</w:t>
                  </w:r>
                  <w:r>
                    <w:rPr>
                      <w:rFonts w:hint="default" w:ascii="Times New Roman" w:hAnsi="Times New Roman" w:eastAsia="宋体" w:cs="Times New Roman"/>
                      <w:color w:val="auto"/>
                      <w:sz w:val="18"/>
                      <w:szCs w:val="18"/>
                    </w:rPr>
                    <w:sym w:font="Wingdings 2" w:char="00A3"/>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P2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P3 </w:t>
                  </w:r>
                  <w:r>
                    <w:rPr>
                      <w:rFonts w:hint="default" w:ascii="Times New Roman" w:hAnsi="Times New Roman" w:eastAsia="宋体" w:cs="Times New Roman"/>
                      <w:color w:val="auto"/>
                      <w:sz w:val="18"/>
                      <w:szCs w:val="18"/>
                    </w:rPr>
                    <w:sym w:font="Wingdings 2" w:char="00A3"/>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P4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9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环境敏感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程度</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E1</w:t>
                  </w:r>
                  <w:r>
                    <w:rPr>
                      <w:rFonts w:hint="default" w:ascii="Times New Roman" w:hAnsi="Times New Roman" w:eastAsia="宋体" w:cs="Times New Roman"/>
                      <w:color w:val="auto"/>
                      <w:sz w:val="18"/>
                      <w:szCs w:val="18"/>
                    </w:rPr>
                    <w:sym w:font="Wingdings 2" w:char="00A3"/>
                  </w:r>
                </w:p>
              </w:tc>
              <w:tc>
                <w:tcPr>
                  <w:tcW w:w="13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E2 </w:t>
                  </w:r>
                  <w:r>
                    <w:rPr>
                      <w:rFonts w:hint="default" w:ascii="Times New Roman" w:hAnsi="Times New Roman" w:eastAsia="宋体" w:cs="Times New Roman"/>
                      <w:color w:val="auto"/>
                      <w:sz w:val="18"/>
                      <w:szCs w:val="18"/>
                    </w:rPr>
                    <w:sym w:font="Wingdings 2" w:char="00A3"/>
                  </w:r>
                </w:p>
              </w:tc>
              <w:tc>
                <w:tcPr>
                  <w:tcW w:w="12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E3</w:t>
                  </w:r>
                  <w:r>
                    <w:rPr>
                      <w:rFonts w:hint="default" w:ascii="Times New Roman" w:hAnsi="Times New Roman" w:eastAsia="宋体" w:cs="Times New Roman"/>
                      <w:color w:val="auto"/>
                      <w:sz w:val="18"/>
                      <w:szCs w:val="18"/>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E1</w:t>
                  </w:r>
                  <w:r>
                    <w:rPr>
                      <w:rFonts w:hint="default" w:ascii="Times New Roman" w:hAnsi="Times New Roman" w:eastAsia="宋体" w:cs="Times New Roman"/>
                      <w:color w:val="auto"/>
                      <w:sz w:val="18"/>
                      <w:szCs w:val="18"/>
                    </w:rPr>
                    <w:sym w:font="Wingdings 2" w:char="00A3"/>
                  </w:r>
                </w:p>
              </w:tc>
              <w:tc>
                <w:tcPr>
                  <w:tcW w:w="13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E2 </w:t>
                  </w:r>
                  <w:r>
                    <w:rPr>
                      <w:rFonts w:hint="default" w:ascii="Times New Roman" w:hAnsi="Times New Roman" w:eastAsia="宋体" w:cs="Times New Roman"/>
                      <w:color w:val="auto"/>
                      <w:sz w:val="18"/>
                      <w:szCs w:val="18"/>
                    </w:rPr>
                    <w:sym w:font="Wingdings 2" w:char="00A3"/>
                  </w:r>
                </w:p>
              </w:tc>
              <w:tc>
                <w:tcPr>
                  <w:tcW w:w="12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E3 </w:t>
                  </w:r>
                  <w:r>
                    <w:rPr>
                      <w:rFonts w:hint="default" w:ascii="Times New Roman" w:hAnsi="Times New Roman" w:eastAsia="宋体" w:cs="Times New Roman"/>
                      <w:color w:val="auto"/>
                      <w:sz w:val="18"/>
                      <w:szCs w:val="18"/>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9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E1</w:t>
                  </w:r>
                  <w:r>
                    <w:rPr>
                      <w:rFonts w:hint="default" w:ascii="Times New Roman" w:hAnsi="Times New Roman" w:eastAsia="宋体" w:cs="Times New Roman"/>
                      <w:color w:val="auto"/>
                      <w:sz w:val="18"/>
                      <w:szCs w:val="18"/>
                    </w:rPr>
                    <w:sym w:font="Wingdings 2" w:char="00A3"/>
                  </w:r>
                </w:p>
              </w:tc>
              <w:tc>
                <w:tcPr>
                  <w:tcW w:w="13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E2 </w:t>
                  </w:r>
                  <w:r>
                    <w:rPr>
                      <w:rFonts w:hint="default" w:ascii="Times New Roman" w:hAnsi="Times New Roman" w:eastAsia="宋体" w:cs="Times New Roman"/>
                      <w:color w:val="auto"/>
                      <w:sz w:val="18"/>
                      <w:szCs w:val="18"/>
                    </w:rPr>
                    <w:sym w:font="Wingdings 2" w:char="00A3"/>
                  </w:r>
                </w:p>
              </w:tc>
              <w:tc>
                <w:tcPr>
                  <w:tcW w:w="12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E3 </w:t>
                  </w:r>
                  <w:r>
                    <w:rPr>
                      <w:rFonts w:hint="default" w:ascii="Times New Roman" w:hAnsi="Times New Roman" w:eastAsia="宋体" w:cs="Times New Roman"/>
                      <w:color w:val="auto"/>
                      <w:sz w:val="18"/>
                      <w:szCs w:val="18"/>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环境风险潜势</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Ⅳ</w:t>
                  </w:r>
                  <w:r>
                    <w:rPr>
                      <w:rFonts w:hint="default" w:ascii="Times New Roman" w:hAnsi="Times New Roman" w:eastAsia="宋体" w:cs="Times New Roman"/>
                      <w:color w:val="auto"/>
                      <w:sz w:val="18"/>
                      <w:szCs w:val="18"/>
                      <w:vertAlign w:val="superscript"/>
                    </w:rPr>
                    <w:t>+</w:t>
                  </w:r>
                  <w:r>
                    <w:rPr>
                      <w:rFonts w:hint="default" w:ascii="Times New Roman" w:hAnsi="Times New Roman" w:eastAsia="宋体" w:cs="Times New Roman"/>
                      <w:color w:val="auto"/>
                      <w:sz w:val="18"/>
                      <w:szCs w:val="18"/>
                    </w:rPr>
                    <w:sym w:font="Wingdings 2" w:char="0052"/>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Ⅳ </w:t>
                  </w:r>
                  <w:r>
                    <w:rPr>
                      <w:rFonts w:hint="default" w:ascii="Times New Roman" w:hAnsi="Times New Roman" w:eastAsia="宋体" w:cs="Times New Roman"/>
                      <w:color w:val="auto"/>
                      <w:sz w:val="18"/>
                      <w:szCs w:val="18"/>
                    </w:rPr>
                    <w:sym w:font="Wingdings 2" w:char="00A3"/>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Ⅲ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Ⅱ </w:t>
                  </w:r>
                  <w:r>
                    <w:rPr>
                      <w:rFonts w:hint="default" w:ascii="Times New Roman" w:hAnsi="Times New Roman" w:eastAsia="宋体" w:cs="Times New Roman"/>
                      <w:color w:val="auto"/>
                      <w:sz w:val="18"/>
                      <w:szCs w:val="18"/>
                    </w:rPr>
                    <w:sym w:font="Wingdings 2" w:char="0052"/>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Ⅰ</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评价等级</w:t>
                  </w:r>
                </w:p>
              </w:tc>
              <w:tc>
                <w:tcPr>
                  <w:tcW w:w="156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一级 </w:t>
                  </w:r>
                  <w:r>
                    <w:rPr>
                      <w:rFonts w:hint="default" w:ascii="Times New Roman" w:hAnsi="Times New Roman" w:eastAsia="宋体" w:cs="Times New Roman"/>
                      <w:color w:val="auto"/>
                      <w:sz w:val="18"/>
                      <w:szCs w:val="18"/>
                    </w:rPr>
                    <w:sym w:font="Wingdings 2" w:char="00A3"/>
                  </w:r>
                </w:p>
              </w:tc>
              <w:tc>
                <w:tcPr>
                  <w:tcW w:w="88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二级 </w:t>
                  </w:r>
                  <w:r>
                    <w:rPr>
                      <w:rFonts w:hint="default" w:ascii="Times New Roman" w:hAnsi="Times New Roman" w:eastAsia="宋体" w:cs="Times New Roman"/>
                      <w:color w:val="auto"/>
                      <w:sz w:val="18"/>
                      <w:szCs w:val="18"/>
                    </w:rPr>
                    <w:sym w:font="Wingdings 2" w:char="00A3"/>
                  </w:r>
                </w:p>
              </w:tc>
              <w:tc>
                <w:tcPr>
                  <w:tcW w:w="90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三级 </w:t>
                  </w:r>
                  <w:r>
                    <w:rPr>
                      <w:rFonts w:hint="default" w:ascii="Times New Roman" w:hAnsi="Times New Roman" w:eastAsia="宋体" w:cs="Times New Roman"/>
                      <w:color w:val="auto"/>
                      <w:sz w:val="18"/>
                      <w:szCs w:val="18"/>
                    </w:rPr>
                    <w:sym w:font="Wingdings 2" w:char="0052"/>
                  </w:r>
                </w:p>
              </w:tc>
              <w:tc>
                <w:tcPr>
                  <w:tcW w:w="85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简单分析  </w:t>
                  </w:r>
                  <w:r>
                    <w:rPr>
                      <w:rFonts w:hint="default" w:ascii="Times New Roman" w:hAnsi="Times New Roman" w:eastAsia="宋体" w:cs="Times New Roman"/>
                      <w:color w:val="auto"/>
                      <w:sz w:val="18"/>
                      <w:szCs w:val="18"/>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风险识别</w:t>
                  </w:r>
                </w:p>
              </w:tc>
              <w:tc>
                <w:tcPr>
                  <w:tcW w:w="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物质危险性</w:t>
                  </w:r>
                </w:p>
              </w:tc>
              <w:tc>
                <w:tcPr>
                  <w:tcW w:w="2065"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有毒有害 </w:t>
                  </w:r>
                  <w:r>
                    <w:rPr>
                      <w:rFonts w:hint="default" w:ascii="Times New Roman" w:hAnsi="Times New Roman" w:eastAsia="宋体" w:cs="Times New Roman"/>
                      <w:color w:val="auto"/>
                      <w:sz w:val="18"/>
                      <w:szCs w:val="18"/>
                    </w:rPr>
                    <w:sym w:font="Wingdings 2" w:char="0052"/>
                  </w:r>
                </w:p>
              </w:tc>
              <w:tc>
                <w:tcPr>
                  <w:tcW w:w="2143" w:type="pct"/>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易燃易爆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类型</w:t>
                  </w:r>
                </w:p>
              </w:tc>
              <w:tc>
                <w:tcPr>
                  <w:tcW w:w="156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泄露 </w:t>
                  </w:r>
                  <w:r>
                    <w:rPr>
                      <w:rFonts w:hint="default" w:ascii="Times New Roman" w:hAnsi="Times New Roman" w:eastAsia="宋体" w:cs="Times New Roman"/>
                      <w:color w:val="auto"/>
                      <w:sz w:val="18"/>
                      <w:szCs w:val="18"/>
                    </w:rPr>
                    <w:sym w:font="Wingdings 2" w:char="0052"/>
                  </w:r>
                </w:p>
              </w:tc>
              <w:tc>
                <w:tcPr>
                  <w:tcW w:w="2645"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火灾、爆炸引发伴生/次生污染物排放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影响途径</w:t>
                  </w:r>
                </w:p>
              </w:tc>
              <w:tc>
                <w:tcPr>
                  <w:tcW w:w="156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大气  </w:t>
                  </w:r>
                  <w:r>
                    <w:rPr>
                      <w:rFonts w:hint="default" w:ascii="Times New Roman" w:hAnsi="Times New Roman" w:eastAsia="宋体" w:cs="Times New Roman"/>
                      <w:color w:val="auto"/>
                      <w:sz w:val="18"/>
                      <w:szCs w:val="18"/>
                    </w:rPr>
                    <w:sym w:font="Wingdings 2" w:char="0052"/>
                  </w:r>
                </w:p>
              </w:tc>
              <w:tc>
                <w:tcPr>
                  <w:tcW w:w="13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r>
                    <w:rPr>
                      <w:rFonts w:hint="default" w:ascii="Times New Roman" w:hAnsi="Times New Roman" w:eastAsia="宋体" w:cs="Times New Roman"/>
                      <w:color w:val="auto"/>
                      <w:sz w:val="18"/>
                      <w:szCs w:val="18"/>
                    </w:rPr>
                    <w:sym w:font="Wingdings 2" w:char="0052"/>
                  </w:r>
                </w:p>
              </w:tc>
              <w:tc>
                <w:tcPr>
                  <w:tcW w:w="12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地下水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事故情形分析</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源强设定方法</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计算法 </w:t>
                  </w:r>
                  <w:r>
                    <w:rPr>
                      <w:rFonts w:hint="default" w:ascii="Times New Roman" w:hAnsi="Times New Roman" w:eastAsia="宋体" w:cs="Times New Roman"/>
                      <w:color w:val="auto"/>
                      <w:sz w:val="18"/>
                      <w:szCs w:val="18"/>
                    </w:rPr>
                    <w:sym w:font="Wingdings 2" w:char="00A3"/>
                  </w:r>
                </w:p>
              </w:tc>
              <w:tc>
                <w:tcPr>
                  <w:tcW w:w="13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经验估算法 </w:t>
                  </w:r>
                  <w:r>
                    <w:rPr>
                      <w:rFonts w:hint="default" w:ascii="Times New Roman" w:hAnsi="Times New Roman" w:eastAsia="宋体" w:cs="Times New Roman"/>
                      <w:color w:val="auto"/>
                      <w:sz w:val="18"/>
                      <w:szCs w:val="18"/>
                    </w:rPr>
                    <w:sym w:font="Wingdings 2" w:char="00A3"/>
                  </w:r>
                </w:p>
              </w:tc>
              <w:tc>
                <w:tcPr>
                  <w:tcW w:w="12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其他估算法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3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风险预测与评价</w:t>
                  </w:r>
                </w:p>
              </w:tc>
              <w:tc>
                <w:tcPr>
                  <w:tcW w:w="5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7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预测模型</w:t>
                  </w:r>
                </w:p>
              </w:tc>
              <w:tc>
                <w:tcPr>
                  <w:tcW w:w="86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SLAB </w:t>
                  </w:r>
                  <w:r>
                    <w:rPr>
                      <w:rFonts w:hint="default" w:ascii="Times New Roman" w:hAnsi="Times New Roman" w:eastAsia="宋体" w:cs="Times New Roman"/>
                      <w:color w:val="auto"/>
                      <w:sz w:val="18"/>
                      <w:szCs w:val="18"/>
                    </w:rPr>
                    <w:sym w:font="Wingdings 2" w:char="00A3"/>
                  </w:r>
                </w:p>
              </w:tc>
              <w:tc>
                <w:tcPr>
                  <w:tcW w:w="135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AFTOX </w:t>
                  </w:r>
                  <w:r>
                    <w:rPr>
                      <w:rFonts w:hint="default" w:ascii="Times New Roman" w:hAnsi="Times New Roman" w:eastAsia="宋体" w:cs="Times New Roman"/>
                      <w:color w:val="auto"/>
                      <w:sz w:val="18"/>
                      <w:szCs w:val="18"/>
                    </w:rPr>
                    <w:sym w:font="Wingdings 2" w:char="00A3"/>
                  </w:r>
                </w:p>
              </w:tc>
              <w:tc>
                <w:tcPr>
                  <w:tcW w:w="1294"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其他 </w:t>
                  </w:r>
                  <w:r>
                    <w:rPr>
                      <w:rFonts w:hint="default" w:ascii="Times New Roman" w:hAnsi="Times New Roman" w:eastAsia="宋体" w:cs="Times New Roman"/>
                      <w:color w:val="auto"/>
                      <w:sz w:val="18"/>
                      <w:szCs w:val="18"/>
                    </w:rPr>
                    <w:sym w:font="Wingdings 2" w:char="00A3"/>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预测结果</w:t>
                  </w:r>
                </w:p>
              </w:tc>
              <w:tc>
                <w:tcPr>
                  <w:tcW w:w="3508"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大气毒性终点浓度-1 最大影响范围   /   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70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3508" w:type="pct"/>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大气毒性终点浓度-2 最大影响范围   /    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4209"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最近环境敏感目标   /  ，到达时间   /   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地下水</w:t>
                  </w:r>
                </w:p>
              </w:tc>
              <w:tc>
                <w:tcPr>
                  <w:tcW w:w="4209"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下游厂区边界到达时间   /    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5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4209"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最近环境敏感目标   /  ，到达时间   /  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重点风险防范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措施</w:t>
                  </w:r>
                </w:p>
              </w:tc>
              <w:tc>
                <w:tcPr>
                  <w:tcW w:w="4209"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eastAsia" w:cs="Times New Roman"/>
                      <w:bCs/>
                      <w:color w:val="auto"/>
                      <w:sz w:val="18"/>
                      <w:szCs w:val="18"/>
                    </w:rPr>
                    <w:t>建立、完善安全管理制度；建立完善的化学品管理制度，按《化学危险品安全管理条例》、《易燃易爆化学品消防安全监督管理办法》等相关法规的规定进行化学品的管理；定期检修设备，加强日常维护保养，避免或减少故障发生，确保设备处于正常的工作状态；加强对操作工人的培训，培养员工的安全和环境意识，提高操作工人的技术水平和责任感，降低操作失误而造成的事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评价结论与建议</w:t>
                  </w:r>
                </w:p>
              </w:tc>
              <w:tc>
                <w:tcPr>
                  <w:tcW w:w="4209"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结合项目实际情况，本评价提出了相关防范措施，在加强管理及积极落实有关防范措施后，本项目环境事故发生的可能性很低，风险可以规避。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000" w:type="pct"/>
                  <w:gridSpan w:val="1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w:t>
                  </w:r>
                  <w:r>
                    <w:rPr>
                      <w:rFonts w:hint="default" w:ascii="Times New Roman" w:hAnsi="Times New Roman" w:eastAsia="宋体" w:cs="Times New Roman"/>
                      <w:color w:val="auto"/>
                      <w:sz w:val="18"/>
                      <w:szCs w:val="18"/>
                    </w:rPr>
                    <w:sym w:font="Wingdings 2" w:char="00A3"/>
                  </w:r>
                  <w:r>
                    <w:rPr>
                      <w:rFonts w:hint="default" w:ascii="Times New Roman" w:hAnsi="Times New Roman" w:eastAsia="宋体" w:cs="Times New Roman"/>
                      <w:color w:val="auto"/>
                      <w:sz w:val="18"/>
                      <w:szCs w:val="18"/>
                    </w:rPr>
                    <w:t>”为勾选项，“”为填写项。</w:t>
                  </w:r>
                </w:p>
              </w:tc>
            </w:tr>
          </w:tbl>
          <w:p>
            <w:pPr>
              <w:widowControl/>
              <w:adjustRightInd w:val="0"/>
              <w:snapToGrid w:val="0"/>
              <w:spacing w:line="460" w:lineRule="exact"/>
              <w:jc w:val="left"/>
              <w:rPr>
                <w:rFonts w:eastAsia="黑体" w:cs="Times New Roman"/>
                <w:bCs/>
                <w:color w:val="auto"/>
                <w:szCs w:val="28"/>
              </w:rPr>
            </w:pPr>
            <w:r>
              <w:rPr>
                <w:rFonts w:hint="eastAsia" w:eastAsia="黑体" w:cs="Times New Roman"/>
                <w:bCs/>
                <w:color w:val="auto"/>
                <w:szCs w:val="28"/>
              </w:rPr>
              <w:t>三</w:t>
            </w:r>
            <w:r>
              <w:rPr>
                <w:rFonts w:eastAsia="黑体" w:cs="Times New Roman"/>
                <w:bCs/>
                <w:color w:val="auto"/>
                <w:szCs w:val="28"/>
              </w:rPr>
              <w:t>、产业政策相符性分析</w:t>
            </w:r>
          </w:p>
          <w:p>
            <w:pPr>
              <w:widowControl/>
              <w:adjustRightInd w:val="0"/>
              <w:snapToGrid w:val="0"/>
              <w:spacing w:line="460" w:lineRule="exact"/>
              <w:ind w:firstLine="480" w:firstLineChars="200"/>
              <w:jc w:val="left"/>
              <w:rPr>
                <w:rFonts w:cs="Times New Roman"/>
                <w:b/>
                <w:bCs/>
                <w:color w:val="auto"/>
                <w:sz w:val="24"/>
                <w:szCs w:val="24"/>
              </w:rPr>
            </w:pPr>
            <w:r>
              <w:rPr>
                <w:rFonts w:cs="Times New Roman"/>
                <w:bCs/>
                <w:color w:val="auto"/>
                <w:sz w:val="24"/>
                <w:szCs w:val="24"/>
              </w:rPr>
              <w:t>（1）与</w:t>
            </w:r>
            <w:r>
              <w:rPr>
                <w:rFonts w:cs="Times New Roman"/>
                <w:color w:val="auto"/>
                <w:sz w:val="24"/>
                <w:szCs w:val="24"/>
              </w:rPr>
              <w:t>《产业结构调整指导目录（2011年本）（2013修正）》相符性分析。</w:t>
            </w:r>
          </w:p>
          <w:p>
            <w:pPr>
              <w:adjustRightInd w:val="0"/>
              <w:snapToGrid w:val="0"/>
              <w:spacing w:line="460" w:lineRule="exact"/>
              <w:ind w:firstLine="480" w:firstLineChars="200"/>
              <w:jc w:val="left"/>
              <w:rPr>
                <w:rFonts w:cs="Times New Roman"/>
                <w:color w:val="auto"/>
                <w:sz w:val="24"/>
                <w:szCs w:val="24"/>
              </w:rPr>
            </w:pPr>
            <w:r>
              <w:rPr>
                <w:rFonts w:cs="Times New Roman"/>
                <w:color w:val="auto"/>
                <w:sz w:val="24"/>
                <w:szCs w:val="24"/>
              </w:rPr>
              <w:t>对照《产业结构调整指导目录（2011年本）（2013修正）》，本项目</w:t>
            </w:r>
            <w:r>
              <w:rPr>
                <w:rFonts w:hint="eastAsia" w:cs="Times New Roman"/>
                <w:color w:val="auto"/>
                <w:sz w:val="24"/>
                <w:szCs w:val="24"/>
              </w:rPr>
              <w:t>不属于限制类和淘汰类项目，属于允许类，同时</w:t>
            </w:r>
            <w:r>
              <w:rPr>
                <w:rFonts w:cs="Times New Roman"/>
                <w:color w:val="auto"/>
                <w:sz w:val="24"/>
                <w:szCs w:val="24"/>
              </w:rPr>
              <w:t>新乡市凤泉区发展和改革委员会同意该项目备案，项目代码为</w:t>
            </w:r>
            <w:r>
              <w:rPr>
                <w:rFonts w:hint="eastAsia" w:cs="Times New Roman"/>
                <w:color w:val="auto"/>
                <w:sz w:val="24"/>
                <w:szCs w:val="24"/>
              </w:rPr>
              <w:t>2019-410704-34-03-051695</w:t>
            </w:r>
            <w:r>
              <w:rPr>
                <w:rFonts w:cs="Times New Roman"/>
                <w:color w:val="auto"/>
                <w:sz w:val="24"/>
                <w:szCs w:val="24"/>
              </w:rPr>
              <w:t>，本项目符合国家有关产业政策</w:t>
            </w:r>
            <w:r>
              <w:rPr>
                <w:rFonts w:hint="eastAsia" w:cs="Times New Roman"/>
                <w:color w:val="auto"/>
                <w:sz w:val="24"/>
                <w:szCs w:val="24"/>
              </w:rPr>
              <w:t>。</w:t>
            </w:r>
          </w:p>
          <w:p>
            <w:pPr>
              <w:adjustRightInd w:val="0"/>
              <w:snapToGrid w:val="0"/>
              <w:spacing w:line="460" w:lineRule="exact"/>
              <w:ind w:firstLine="464" w:firstLineChars="200"/>
              <w:jc w:val="left"/>
              <w:rPr>
                <w:rFonts w:cs="Times New Roman"/>
                <w:bCs/>
                <w:color w:val="auto"/>
                <w:spacing w:val="-4"/>
                <w:sz w:val="24"/>
                <w:szCs w:val="24"/>
              </w:rPr>
            </w:pPr>
            <w:r>
              <w:rPr>
                <w:rFonts w:cs="Times New Roman"/>
                <w:bCs/>
                <w:color w:val="auto"/>
                <w:spacing w:val="-4"/>
                <w:sz w:val="24"/>
                <w:szCs w:val="24"/>
              </w:rPr>
              <w:t>（</w:t>
            </w:r>
            <w:r>
              <w:rPr>
                <w:rFonts w:hint="eastAsia" w:cs="Times New Roman"/>
                <w:bCs/>
                <w:color w:val="auto"/>
                <w:spacing w:val="-4"/>
                <w:sz w:val="24"/>
                <w:szCs w:val="24"/>
              </w:rPr>
              <w:t>2</w:t>
            </w:r>
            <w:r>
              <w:rPr>
                <w:rFonts w:cs="Times New Roman"/>
                <w:bCs/>
                <w:color w:val="auto"/>
                <w:spacing w:val="-4"/>
                <w:sz w:val="24"/>
                <w:szCs w:val="24"/>
              </w:rPr>
              <w:t>）与《新乡市环保局关于印发深化建设项目环境影响评价审批制度改革实施细则的通知》（新环（2015）342号）相符性分析。</w:t>
            </w:r>
          </w:p>
          <w:p>
            <w:pPr>
              <w:pStyle w:val="21"/>
              <w:ind w:firstLine="420"/>
              <w:rPr>
                <w:color w:val="auto"/>
              </w:rPr>
            </w:pPr>
            <w:r>
              <w:rPr>
                <w:rFonts w:hint="eastAsia"/>
                <w:color w:val="auto"/>
              </w:rPr>
              <w:t xml:space="preserve">          </w:t>
            </w:r>
            <w:r>
              <w:rPr>
                <w:color w:val="auto"/>
              </w:rPr>
              <w:t>与《实施细则》对比分析一览表</w:t>
            </w:r>
          </w:p>
          <w:tbl>
            <w:tblPr>
              <w:tblStyle w:val="26"/>
              <w:tblW w:w="89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198"/>
              <w:gridCol w:w="2551"/>
              <w:gridCol w:w="2694"/>
              <w:gridCol w:w="850"/>
              <w:gridCol w:w="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2" w:type="dxa"/>
                  <w:vAlign w:val="center"/>
                </w:tcPr>
                <w:p>
                  <w:pPr>
                    <w:spacing w:line="260" w:lineRule="exact"/>
                    <w:jc w:val="center"/>
                    <w:rPr>
                      <w:rFonts w:cs="Times New Roman"/>
                      <w:color w:val="auto"/>
                      <w:sz w:val="18"/>
                      <w:szCs w:val="18"/>
                    </w:rPr>
                  </w:pPr>
                  <w:r>
                    <w:rPr>
                      <w:rFonts w:cs="Times New Roman"/>
                      <w:color w:val="auto"/>
                      <w:sz w:val="18"/>
                      <w:szCs w:val="18"/>
                    </w:rPr>
                    <w:t>项目</w:t>
                  </w:r>
                </w:p>
              </w:tc>
              <w:tc>
                <w:tcPr>
                  <w:tcW w:w="3749" w:type="dxa"/>
                  <w:gridSpan w:val="2"/>
                  <w:vAlign w:val="center"/>
                </w:tcPr>
                <w:p>
                  <w:pPr>
                    <w:spacing w:line="260" w:lineRule="exact"/>
                    <w:jc w:val="center"/>
                    <w:rPr>
                      <w:rFonts w:cs="Times New Roman"/>
                      <w:color w:val="auto"/>
                      <w:sz w:val="18"/>
                      <w:szCs w:val="18"/>
                    </w:rPr>
                  </w:pPr>
                  <w:r>
                    <w:rPr>
                      <w:rFonts w:cs="Times New Roman"/>
                      <w:color w:val="auto"/>
                      <w:sz w:val="18"/>
                      <w:szCs w:val="18"/>
                    </w:rPr>
                    <w:t>与本项目相关条文</w:t>
                  </w:r>
                </w:p>
              </w:tc>
              <w:tc>
                <w:tcPr>
                  <w:tcW w:w="2694" w:type="dxa"/>
                  <w:vAlign w:val="center"/>
                </w:tcPr>
                <w:p>
                  <w:pPr>
                    <w:spacing w:line="260" w:lineRule="exact"/>
                    <w:jc w:val="center"/>
                    <w:rPr>
                      <w:rFonts w:cs="Times New Roman"/>
                      <w:color w:val="auto"/>
                      <w:sz w:val="18"/>
                      <w:szCs w:val="18"/>
                    </w:rPr>
                  </w:pPr>
                  <w:r>
                    <w:rPr>
                      <w:rFonts w:cs="Times New Roman"/>
                      <w:color w:val="auto"/>
                      <w:sz w:val="18"/>
                      <w:szCs w:val="18"/>
                    </w:rPr>
                    <w:t>本项目情况</w:t>
                  </w:r>
                </w:p>
              </w:tc>
              <w:tc>
                <w:tcPr>
                  <w:tcW w:w="1531" w:type="dxa"/>
                  <w:gridSpan w:val="2"/>
                  <w:vAlign w:val="center"/>
                </w:tcPr>
                <w:p>
                  <w:pPr>
                    <w:spacing w:line="260" w:lineRule="exact"/>
                    <w:jc w:val="center"/>
                    <w:rPr>
                      <w:rFonts w:cs="Times New Roman"/>
                      <w:color w:val="auto"/>
                      <w:sz w:val="18"/>
                      <w:szCs w:val="18"/>
                    </w:rPr>
                  </w:pPr>
                  <w:r>
                    <w:rPr>
                      <w:rFonts w:cs="Times New Roman"/>
                      <w:color w:val="auto"/>
                      <w:sz w:val="18"/>
                      <w:szCs w:val="18"/>
                    </w:rPr>
                    <w:t>对比结果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2" w:type="dxa"/>
                  <w:vMerge w:val="restart"/>
                  <w:vAlign w:val="center"/>
                </w:tcPr>
                <w:p>
                  <w:pPr>
                    <w:spacing w:line="260" w:lineRule="exact"/>
                    <w:jc w:val="center"/>
                    <w:rPr>
                      <w:rFonts w:cs="Times New Roman" w:eastAsiaTheme="minorEastAsia"/>
                      <w:color w:val="auto"/>
                      <w:sz w:val="18"/>
                      <w:szCs w:val="18"/>
                    </w:rPr>
                  </w:pPr>
                  <w:r>
                    <w:rPr>
                      <w:rFonts w:cs="Times New Roman"/>
                      <w:color w:val="auto"/>
                      <w:sz w:val="18"/>
                      <w:szCs w:val="18"/>
                    </w:rPr>
                    <w:t>新乡市</w:t>
                  </w:r>
                </w:p>
                <w:p>
                  <w:pPr>
                    <w:spacing w:line="260" w:lineRule="exact"/>
                    <w:jc w:val="center"/>
                    <w:rPr>
                      <w:rFonts w:cs="Times New Roman"/>
                      <w:color w:val="auto"/>
                      <w:sz w:val="18"/>
                      <w:szCs w:val="18"/>
                    </w:rPr>
                  </w:pPr>
                  <w:r>
                    <w:rPr>
                      <w:rFonts w:cs="Times New Roman"/>
                      <w:color w:val="auto"/>
                      <w:sz w:val="18"/>
                      <w:szCs w:val="18"/>
                    </w:rPr>
                    <w:t>主体功能区分</w:t>
                  </w:r>
                </w:p>
              </w:tc>
              <w:tc>
                <w:tcPr>
                  <w:tcW w:w="3749" w:type="dxa"/>
                  <w:gridSpan w:val="2"/>
                  <w:vAlign w:val="center"/>
                </w:tcPr>
                <w:p>
                  <w:pPr>
                    <w:spacing w:line="260" w:lineRule="exact"/>
                    <w:jc w:val="left"/>
                    <w:rPr>
                      <w:rFonts w:cs="Times New Roman"/>
                      <w:color w:val="auto"/>
                      <w:sz w:val="18"/>
                      <w:szCs w:val="18"/>
                    </w:rPr>
                  </w:pPr>
                  <w:r>
                    <w:rPr>
                      <w:rFonts w:cs="Times New Roman"/>
                      <w:color w:val="auto"/>
                      <w:sz w:val="18"/>
                      <w:szCs w:val="18"/>
                    </w:rPr>
                    <w:t>工业准入优先区范围：我市范围内的省级产业集聚区、市级人民政府规范设立的专业园区</w:t>
                  </w:r>
                </w:p>
              </w:tc>
              <w:tc>
                <w:tcPr>
                  <w:tcW w:w="2694" w:type="dxa"/>
                  <w:vAlign w:val="center"/>
                </w:tcPr>
                <w:p>
                  <w:pPr>
                    <w:spacing w:line="260" w:lineRule="exact"/>
                    <w:jc w:val="left"/>
                    <w:rPr>
                      <w:rFonts w:cs="Times New Roman"/>
                      <w:b/>
                      <w:color w:val="auto"/>
                      <w:spacing w:val="-2"/>
                      <w:sz w:val="18"/>
                      <w:szCs w:val="18"/>
                    </w:rPr>
                  </w:pPr>
                  <w:r>
                    <w:rPr>
                      <w:rFonts w:cs="Times New Roman"/>
                      <w:color w:val="auto"/>
                      <w:spacing w:val="-2"/>
                      <w:sz w:val="18"/>
                      <w:szCs w:val="18"/>
                    </w:rPr>
                    <w:t>项目选址位于</w:t>
                  </w:r>
                  <w:r>
                    <w:rPr>
                      <w:rFonts w:hint="eastAsia" w:cs="Times New Roman"/>
                      <w:color w:val="auto"/>
                      <w:sz w:val="18"/>
                      <w:szCs w:val="18"/>
                    </w:rPr>
                    <w:t>新乡市动力电池专业园区</w:t>
                  </w:r>
                  <w:r>
                    <w:rPr>
                      <w:rFonts w:cs="Times New Roman"/>
                      <w:color w:val="auto"/>
                      <w:spacing w:val="-2"/>
                      <w:sz w:val="18"/>
                      <w:szCs w:val="18"/>
                    </w:rPr>
                    <w:t>，工业准入优先区。</w:t>
                  </w:r>
                </w:p>
              </w:tc>
              <w:tc>
                <w:tcPr>
                  <w:tcW w:w="850" w:type="dxa"/>
                  <w:vAlign w:val="center"/>
                </w:tcPr>
                <w:p>
                  <w:pPr>
                    <w:spacing w:line="260" w:lineRule="exact"/>
                    <w:jc w:val="left"/>
                    <w:rPr>
                      <w:rFonts w:cs="Times New Roman"/>
                      <w:color w:val="auto"/>
                      <w:sz w:val="18"/>
                      <w:szCs w:val="18"/>
                    </w:rPr>
                  </w:pPr>
                  <w:r>
                    <w:rPr>
                      <w:rFonts w:cs="Times New Roman"/>
                      <w:color w:val="auto"/>
                      <w:sz w:val="18"/>
                      <w:szCs w:val="18"/>
                    </w:rPr>
                    <w:t>属于</w:t>
                  </w:r>
                </w:p>
              </w:tc>
              <w:tc>
                <w:tcPr>
                  <w:tcW w:w="681" w:type="dxa"/>
                  <w:vMerge w:val="restart"/>
                  <w:vAlign w:val="center"/>
                </w:tcPr>
                <w:p>
                  <w:pPr>
                    <w:spacing w:line="260" w:lineRule="exact"/>
                    <w:jc w:val="left"/>
                    <w:rPr>
                      <w:rFonts w:cs="Times New Roman"/>
                      <w:color w:val="auto"/>
                      <w:sz w:val="18"/>
                      <w:szCs w:val="18"/>
                    </w:rPr>
                  </w:pPr>
                  <w:r>
                    <w:rPr>
                      <w:rFonts w:cs="Times New Roman"/>
                      <w:color w:val="auto"/>
                      <w:sz w:val="18"/>
                      <w:szCs w:val="18"/>
                    </w:rPr>
                    <w:t>项目选址位于工业准入优先区。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62" w:type="dxa"/>
                  <w:vMerge w:val="continue"/>
                  <w:vAlign w:val="center"/>
                </w:tcPr>
                <w:p>
                  <w:pPr>
                    <w:spacing w:line="260" w:lineRule="exact"/>
                    <w:jc w:val="left"/>
                    <w:rPr>
                      <w:rFonts w:cs="Times New Roman"/>
                      <w:color w:val="auto"/>
                      <w:sz w:val="18"/>
                      <w:szCs w:val="18"/>
                    </w:rPr>
                  </w:pPr>
                </w:p>
              </w:tc>
              <w:tc>
                <w:tcPr>
                  <w:tcW w:w="3749" w:type="dxa"/>
                  <w:gridSpan w:val="2"/>
                  <w:vAlign w:val="center"/>
                </w:tcPr>
                <w:p>
                  <w:pPr>
                    <w:spacing w:line="260" w:lineRule="exact"/>
                    <w:jc w:val="left"/>
                    <w:rPr>
                      <w:rFonts w:cs="Times New Roman"/>
                      <w:color w:val="auto"/>
                      <w:sz w:val="18"/>
                      <w:szCs w:val="18"/>
                    </w:rPr>
                  </w:pPr>
                  <w:r>
                    <w:rPr>
                      <w:rFonts w:cs="Times New Roman"/>
                      <w:color w:val="auto"/>
                      <w:sz w:val="18"/>
                      <w:szCs w:val="18"/>
                    </w:rPr>
                    <w:t>城市人居功能区范围：新乡市市区（含平原城乡一体示范区）、县城建成区，以及规划区中以居住、商贸、文教科研为主的区域。</w:t>
                  </w:r>
                </w:p>
              </w:tc>
              <w:tc>
                <w:tcPr>
                  <w:tcW w:w="2694" w:type="dxa"/>
                  <w:vAlign w:val="center"/>
                </w:tcPr>
                <w:p>
                  <w:pPr>
                    <w:spacing w:line="260" w:lineRule="exact"/>
                    <w:jc w:val="left"/>
                    <w:rPr>
                      <w:rFonts w:cs="Times New Roman"/>
                      <w:color w:val="auto"/>
                      <w:sz w:val="18"/>
                      <w:szCs w:val="18"/>
                    </w:rPr>
                  </w:pPr>
                  <w:r>
                    <w:rPr>
                      <w:rFonts w:cs="Times New Roman"/>
                      <w:color w:val="auto"/>
                      <w:sz w:val="18"/>
                      <w:szCs w:val="18"/>
                    </w:rPr>
                    <w:t>项目位于</w:t>
                  </w:r>
                  <w:r>
                    <w:rPr>
                      <w:rFonts w:hint="eastAsia" w:cs="Times New Roman"/>
                      <w:color w:val="auto"/>
                      <w:sz w:val="18"/>
                      <w:szCs w:val="18"/>
                    </w:rPr>
                    <w:t>新乡市动力电池专业园区</w:t>
                  </w:r>
                  <w:r>
                    <w:rPr>
                      <w:rFonts w:cs="Times New Roman"/>
                      <w:color w:val="auto"/>
                      <w:sz w:val="18"/>
                      <w:szCs w:val="18"/>
                    </w:rPr>
                    <w:t>，不属于城市人居功能区</w:t>
                  </w:r>
                </w:p>
              </w:tc>
              <w:tc>
                <w:tcPr>
                  <w:tcW w:w="850" w:type="dxa"/>
                  <w:vAlign w:val="center"/>
                </w:tcPr>
                <w:p>
                  <w:pPr>
                    <w:spacing w:line="260" w:lineRule="exact"/>
                    <w:jc w:val="left"/>
                    <w:rPr>
                      <w:rFonts w:cs="Times New Roman"/>
                      <w:color w:val="auto"/>
                      <w:sz w:val="18"/>
                      <w:szCs w:val="18"/>
                    </w:rPr>
                  </w:pPr>
                  <w:r>
                    <w:rPr>
                      <w:rFonts w:cs="Times New Roman"/>
                      <w:color w:val="auto"/>
                      <w:sz w:val="18"/>
                      <w:szCs w:val="18"/>
                    </w:rPr>
                    <w:t>不属于</w:t>
                  </w:r>
                </w:p>
              </w:tc>
              <w:tc>
                <w:tcPr>
                  <w:tcW w:w="681" w:type="dxa"/>
                  <w:vMerge w:val="continue"/>
                  <w:vAlign w:val="center"/>
                </w:tcPr>
                <w:p>
                  <w:pPr>
                    <w:spacing w:line="260" w:lineRule="exact"/>
                    <w:jc w:val="left"/>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62" w:type="dxa"/>
                  <w:vMerge w:val="continue"/>
                  <w:vAlign w:val="center"/>
                </w:tcPr>
                <w:p>
                  <w:pPr>
                    <w:spacing w:line="260" w:lineRule="exact"/>
                    <w:jc w:val="left"/>
                    <w:rPr>
                      <w:rFonts w:cs="Times New Roman"/>
                      <w:color w:val="auto"/>
                      <w:sz w:val="18"/>
                      <w:szCs w:val="18"/>
                    </w:rPr>
                  </w:pPr>
                </w:p>
              </w:tc>
              <w:tc>
                <w:tcPr>
                  <w:tcW w:w="3749" w:type="dxa"/>
                  <w:gridSpan w:val="2"/>
                  <w:vAlign w:val="center"/>
                </w:tcPr>
                <w:p>
                  <w:pPr>
                    <w:spacing w:line="260" w:lineRule="exact"/>
                    <w:jc w:val="left"/>
                    <w:rPr>
                      <w:rFonts w:cs="Times New Roman"/>
                      <w:color w:val="auto"/>
                      <w:sz w:val="18"/>
                      <w:szCs w:val="18"/>
                    </w:rPr>
                  </w:pPr>
                  <w:r>
                    <w:rPr>
                      <w:rFonts w:cs="Times New Roman"/>
                      <w:color w:val="auto"/>
                      <w:sz w:val="18"/>
                      <w:szCs w:val="18"/>
                    </w:rPr>
                    <w:t>农产品主产区范围：辉县市、获嘉县、原阳县、延津县、封丘县。（不含产业集聚区、专业园区和县城建成区以及规划区中以居住、商贸、文教科研为主的区域）</w:t>
                  </w:r>
                </w:p>
              </w:tc>
              <w:tc>
                <w:tcPr>
                  <w:tcW w:w="2694" w:type="dxa"/>
                  <w:vAlign w:val="center"/>
                </w:tcPr>
                <w:p>
                  <w:pPr>
                    <w:spacing w:line="260" w:lineRule="exact"/>
                    <w:jc w:val="left"/>
                    <w:rPr>
                      <w:rFonts w:cs="Times New Roman"/>
                      <w:color w:val="auto"/>
                      <w:sz w:val="18"/>
                      <w:szCs w:val="18"/>
                    </w:rPr>
                  </w:pPr>
                  <w:r>
                    <w:rPr>
                      <w:rFonts w:cs="Times New Roman"/>
                      <w:color w:val="auto"/>
                      <w:sz w:val="18"/>
                      <w:szCs w:val="18"/>
                    </w:rPr>
                    <w:t>项目位于</w:t>
                  </w:r>
                  <w:r>
                    <w:rPr>
                      <w:rFonts w:hint="eastAsia" w:cs="Times New Roman"/>
                      <w:color w:val="auto"/>
                      <w:sz w:val="18"/>
                      <w:szCs w:val="18"/>
                    </w:rPr>
                    <w:t>新乡市动力电池专业园区</w:t>
                  </w:r>
                  <w:r>
                    <w:rPr>
                      <w:rFonts w:cs="Times New Roman"/>
                      <w:color w:val="auto"/>
                      <w:sz w:val="18"/>
                      <w:szCs w:val="18"/>
                    </w:rPr>
                    <w:t>，不属于辉县市、获嘉县、原阳县、延津县、封丘县范围内</w:t>
                  </w:r>
                </w:p>
              </w:tc>
              <w:tc>
                <w:tcPr>
                  <w:tcW w:w="850" w:type="dxa"/>
                  <w:vAlign w:val="center"/>
                </w:tcPr>
                <w:p>
                  <w:pPr>
                    <w:spacing w:line="260" w:lineRule="exact"/>
                    <w:jc w:val="left"/>
                    <w:rPr>
                      <w:rFonts w:cs="Times New Roman"/>
                      <w:color w:val="auto"/>
                      <w:sz w:val="18"/>
                      <w:szCs w:val="18"/>
                    </w:rPr>
                  </w:pPr>
                  <w:r>
                    <w:rPr>
                      <w:rFonts w:cs="Times New Roman"/>
                      <w:color w:val="auto"/>
                      <w:sz w:val="18"/>
                      <w:szCs w:val="18"/>
                    </w:rPr>
                    <w:t>不属于</w:t>
                  </w:r>
                </w:p>
              </w:tc>
              <w:tc>
                <w:tcPr>
                  <w:tcW w:w="681" w:type="dxa"/>
                  <w:vMerge w:val="continue"/>
                  <w:vAlign w:val="center"/>
                </w:tcPr>
                <w:p>
                  <w:pPr>
                    <w:spacing w:line="260" w:lineRule="exact"/>
                    <w:jc w:val="left"/>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962" w:type="dxa"/>
                  <w:vMerge w:val="continue"/>
                  <w:vAlign w:val="center"/>
                </w:tcPr>
                <w:p>
                  <w:pPr>
                    <w:spacing w:line="260" w:lineRule="exact"/>
                    <w:jc w:val="left"/>
                    <w:rPr>
                      <w:rFonts w:cs="Times New Roman"/>
                      <w:color w:val="auto"/>
                      <w:sz w:val="18"/>
                      <w:szCs w:val="18"/>
                    </w:rPr>
                  </w:pPr>
                </w:p>
              </w:tc>
              <w:tc>
                <w:tcPr>
                  <w:tcW w:w="3749" w:type="dxa"/>
                  <w:gridSpan w:val="2"/>
                  <w:vAlign w:val="center"/>
                </w:tcPr>
                <w:p>
                  <w:pPr>
                    <w:spacing w:line="260" w:lineRule="exact"/>
                    <w:jc w:val="left"/>
                    <w:rPr>
                      <w:rFonts w:cs="Times New Roman"/>
                      <w:color w:val="auto"/>
                      <w:sz w:val="18"/>
                      <w:szCs w:val="18"/>
                    </w:rPr>
                  </w:pPr>
                  <w:r>
                    <w:rPr>
                      <w:rFonts w:cs="Times New Roman"/>
                      <w:color w:val="auto"/>
                      <w:sz w:val="18"/>
                      <w:szCs w:val="18"/>
                    </w:rPr>
                    <w:t>特殊环境敏感区范围：（1）禁止开发区域：国家、省级自然保护区，世界文化自然遗产，国家、省级风景名胜区，国家，省级森林公园，国家级、省级地质公园，国家、省级湿地公园，国家级、省级水产种植资源保护区；（2）依法划定的集中式饮用水源地一、二级保护区</w:t>
                  </w:r>
                </w:p>
              </w:tc>
              <w:tc>
                <w:tcPr>
                  <w:tcW w:w="2694" w:type="dxa"/>
                  <w:vAlign w:val="center"/>
                </w:tcPr>
                <w:p>
                  <w:pPr>
                    <w:spacing w:line="260" w:lineRule="exact"/>
                    <w:jc w:val="left"/>
                    <w:rPr>
                      <w:rFonts w:cs="Times New Roman"/>
                      <w:color w:val="auto"/>
                      <w:sz w:val="18"/>
                      <w:szCs w:val="18"/>
                    </w:rPr>
                  </w:pPr>
                  <w:r>
                    <w:rPr>
                      <w:rFonts w:cs="Times New Roman"/>
                      <w:color w:val="auto"/>
                      <w:sz w:val="18"/>
                      <w:szCs w:val="18"/>
                    </w:rPr>
                    <w:t>项目选址周围无自然保护区、森林公园等特殊环境敏感区，厂址不在集中式饮用水水源地保护区范围内</w:t>
                  </w:r>
                </w:p>
              </w:tc>
              <w:tc>
                <w:tcPr>
                  <w:tcW w:w="850" w:type="dxa"/>
                  <w:vAlign w:val="center"/>
                </w:tcPr>
                <w:p>
                  <w:pPr>
                    <w:spacing w:line="260" w:lineRule="exact"/>
                    <w:jc w:val="left"/>
                    <w:rPr>
                      <w:rFonts w:cs="Times New Roman"/>
                      <w:color w:val="auto"/>
                      <w:sz w:val="18"/>
                      <w:szCs w:val="18"/>
                    </w:rPr>
                  </w:pPr>
                  <w:r>
                    <w:rPr>
                      <w:rFonts w:cs="Times New Roman"/>
                      <w:color w:val="auto"/>
                      <w:sz w:val="18"/>
                      <w:szCs w:val="18"/>
                    </w:rPr>
                    <w:t>不属于</w:t>
                  </w:r>
                </w:p>
              </w:tc>
              <w:tc>
                <w:tcPr>
                  <w:tcW w:w="681" w:type="dxa"/>
                  <w:vMerge w:val="continue"/>
                  <w:vAlign w:val="center"/>
                </w:tcPr>
                <w:p>
                  <w:pPr>
                    <w:spacing w:line="260" w:lineRule="exact"/>
                    <w:jc w:val="left"/>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restart"/>
                  <w:vAlign w:val="center"/>
                </w:tcPr>
                <w:p>
                  <w:pPr>
                    <w:spacing w:line="260" w:lineRule="exact"/>
                    <w:jc w:val="left"/>
                    <w:rPr>
                      <w:rFonts w:cs="Times New Roman"/>
                      <w:color w:val="auto"/>
                      <w:sz w:val="18"/>
                      <w:szCs w:val="18"/>
                    </w:rPr>
                  </w:pPr>
                  <w:r>
                    <w:rPr>
                      <w:rFonts w:cs="Times New Roman"/>
                      <w:color w:val="auto"/>
                      <w:sz w:val="18"/>
                      <w:szCs w:val="18"/>
                    </w:rPr>
                    <w:t>污染防治（控）重点单元</w:t>
                  </w:r>
                </w:p>
              </w:tc>
              <w:tc>
                <w:tcPr>
                  <w:tcW w:w="1198" w:type="dxa"/>
                  <w:vAlign w:val="center"/>
                </w:tcPr>
                <w:p>
                  <w:pPr>
                    <w:spacing w:line="260" w:lineRule="exact"/>
                    <w:jc w:val="left"/>
                    <w:rPr>
                      <w:rFonts w:cs="Times New Roman"/>
                      <w:color w:val="auto"/>
                      <w:sz w:val="18"/>
                      <w:szCs w:val="18"/>
                    </w:rPr>
                  </w:pPr>
                  <w:r>
                    <w:rPr>
                      <w:rFonts w:cs="Times New Roman"/>
                      <w:color w:val="auto"/>
                      <w:sz w:val="18"/>
                      <w:szCs w:val="18"/>
                    </w:rPr>
                    <w:t>水污染</w:t>
                  </w:r>
                </w:p>
              </w:tc>
              <w:tc>
                <w:tcPr>
                  <w:tcW w:w="2551" w:type="dxa"/>
                  <w:vAlign w:val="center"/>
                </w:tcPr>
                <w:p>
                  <w:pPr>
                    <w:spacing w:line="260" w:lineRule="exact"/>
                    <w:jc w:val="left"/>
                    <w:rPr>
                      <w:rFonts w:cs="Times New Roman"/>
                      <w:color w:val="auto"/>
                      <w:sz w:val="18"/>
                      <w:szCs w:val="18"/>
                    </w:rPr>
                  </w:pPr>
                  <w:r>
                    <w:rPr>
                      <w:rFonts w:cs="Times New Roman"/>
                      <w:color w:val="auto"/>
                      <w:sz w:val="18"/>
                      <w:szCs w:val="18"/>
                    </w:rPr>
                    <w:t>卫河流域：新乡市区、新乡县、卫辉市、辉县市、获嘉县</w:t>
                  </w:r>
                </w:p>
              </w:tc>
              <w:tc>
                <w:tcPr>
                  <w:tcW w:w="2694" w:type="dxa"/>
                  <w:vMerge w:val="restart"/>
                  <w:vAlign w:val="center"/>
                </w:tcPr>
                <w:p>
                  <w:pPr>
                    <w:spacing w:line="260" w:lineRule="exact"/>
                    <w:jc w:val="left"/>
                    <w:rPr>
                      <w:rFonts w:cs="Times New Roman"/>
                      <w:color w:val="auto"/>
                      <w:sz w:val="18"/>
                      <w:szCs w:val="18"/>
                    </w:rPr>
                  </w:pPr>
                  <w:r>
                    <w:rPr>
                      <w:rFonts w:cs="Times New Roman"/>
                      <w:color w:val="auto"/>
                      <w:sz w:val="18"/>
                      <w:szCs w:val="18"/>
                    </w:rPr>
                    <w:t>项目厂址位于</w:t>
                  </w:r>
                  <w:r>
                    <w:rPr>
                      <w:rFonts w:hint="eastAsia" w:cs="Times New Roman"/>
                      <w:color w:val="auto"/>
                      <w:sz w:val="18"/>
                      <w:szCs w:val="18"/>
                    </w:rPr>
                    <w:t>新乡市动力电池专业园区</w:t>
                  </w:r>
                </w:p>
              </w:tc>
              <w:tc>
                <w:tcPr>
                  <w:tcW w:w="1531" w:type="dxa"/>
                  <w:gridSpan w:val="2"/>
                  <w:vAlign w:val="center"/>
                </w:tcPr>
                <w:p>
                  <w:pPr>
                    <w:spacing w:line="260" w:lineRule="exact"/>
                    <w:jc w:val="center"/>
                    <w:rPr>
                      <w:rFonts w:cs="Times New Roman"/>
                      <w:color w:val="auto"/>
                      <w:sz w:val="18"/>
                      <w:szCs w:val="18"/>
                    </w:rPr>
                  </w:pPr>
                  <w:r>
                    <w:rPr>
                      <w:rFonts w:cs="Times New Roman"/>
                      <w:color w:val="auto"/>
                      <w:sz w:val="18"/>
                      <w:szCs w:val="18"/>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spacing w:line="260" w:lineRule="exact"/>
                    <w:jc w:val="left"/>
                    <w:rPr>
                      <w:rFonts w:cs="Times New Roman"/>
                      <w:color w:val="auto"/>
                      <w:sz w:val="18"/>
                      <w:szCs w:val="18"/>
                    </w:rPr>
                  </w:pPr>
                </w:p>
              </w:tc>
              <w:tc>
                <w:tcPr>
                  <w:tcW w:w="1198" w:type="dxa"/>
                  <w:vAlign w:val="center"/>
                </w:tcPr>
                <w:p>
                  <w:pPr>
                    <w:spacing w:line="260" w:lineRule="exact"/>
                    <w:jc w:val="left"/>
                    <w:rPr>
                      <w:rFonts w:cs="Times New Roman"/>
                      <w:color w:val="auto"/>
                      <w:sz w:val="18"/>
                      <w:szCs w:val="18"/>
                    </w:rPr>
                  </w:pPr>
                  <w:r>
                    <w:rPr>
                      <w:rFonts w:cs="Times New Roman"/>
                      <w:color w:val="auto"/>
                      <w:sz w:val="18"/>
                      <w:szCs w:val="18"/>
                    </w:rPr>
                    <w:t>大气污染</w:t>
                  </w:r>
                </w:p>
              </w:tc>
              <w:tc>
                <w:tcPr>
                  <w:tcW w:w="2551" w:type="dxa"/>
                  <w:vAlign w:val="center"/>
                </w:tcPr>
                <w:p>
                  <w:pPr>
                    <w:spacing w:line="260" w:lineRule="exact"/>
                    <w:jc w:val="left"/>
                    <w:rPr>
                      <w:rFonts w:cs="Times New Roman"/>
                      <w:color w:val="auto"/>
                      <w:sz w:val="18"/>
                      <w:szCs w:val="18"/>
                    </w:rPr>
                  </w:pPr>
                  <w:r>
                    <w:rPr>
                      <w:rFonts w:cs="Times New Roman"/>
                      <w:color w:val="auto"/>
                      <w:sz w:val="18"/>
                      <w:szCs w:val="18"/>
                    </w:rPr>
                    <w:t>新乡市域全部</w:t>
                  </w:r>
                </w:p>
              </w:tc>
              <w:tc>
                <w:tcPr>
                  <w:tcW w:w="2694" w:type="dxa"/>
                  <w:vMerge w:val="continue"/>
                  <w:vAlign w:val="center"/>
                </w:tcPr>
                <w:p>
                  <w:pPr>
                    <w:spacing w:line="260" w:lineRule="exact"/>
                    <w:jc w:val="left"/>
                    <w:rPr>
                      <w:rFonts w:cs="Times New Roman"/>
                      <w:color w:val="auto"/>
                      <w:sz w:val="18"/>
                      <w:szCs w:val="18"/>
                    </w:rPr>
                  </w:pPr>
                </w:p>
              </w:tc>
              <w:tc>
                <w:tcPr>
                  <w:tcW w:w="1531" w:type="dxa"/>
                  <w:gridSpan w:val="2"/>
                  <w:vAlign w:val="center"/>
                </w:tcPr>
                <w:p>
                  <w:pPr>
                    <w:spacing w:line="260" w:lineRule="exact"/>
                    <w:jc w:val="center"/>
                    <w:rPr>
                      <w:rFonts w:cs="Times New Roman"/>
                      <w:color w:val="auto"/>
                      <w:sz w:val="18"/>
                      <w:szCs w:val="18"/>
                    </w:rPr>
                  </w:pPr>
                  <w:r>
                    <w:rPr>
                      <w:rFonts w:cs="Times New Roman"/>
                      <w:color w:val="auto"/>
                      <w:sz w:val="18"/>
                      <w:szCs w:val="18"/>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spacing w:line="260" w:lineRule="exact"/>
                    <w:jc w:val="left"/>
                    <w:rPr>
                      <w:rFonts w:cs="Times New Roman"/>
                      <w:color w:val="auto"/>
                      <w:sz w:val="18"/>
                      <w:szCs w:val="18"/>
                    </w:rPr>
                  </w:pPr>
                </w:p>
              </w:tc>
              <w:tc>
                <w:tcPr>
                  <w:tcW w:w="1198" w:type="dxa"/>
                  <w:vAlign w:val="center"/>
                </w:tcPr>
                <w:p>
                  <w:pPr>
                    <w:spacing w:line="260" w:lineRule="exact"/>
                    <w:jc w:val="left"/>
                    <w:rPr>
                      <w:rFonts w:cs="Times New Roman"/>
                      <w:color w:val="auto"/>
                      <w:sz w:val="18"/>
                      <w:szCs w:val="18"/>
                    </w:rPr>
                  </w:pPr>
                  <w:r>
                    <w:rPr>
                      <w:rFonts w:cs="Times New Roman"/>
                      <w:color w:val="auto"/>
                      <w:sz w:val="18"/>
                      <w:szCs w:val="18"/>
                    </w:rPr>
                    <w:t>重金属污染</w:t>
                  </w:r>
                </w:p>
              </w:tc>
              <w:tc>
                <w:tcPr>
                  <w:tcW w:w="2551" w:type="dxa"/>
                  <w:vAlign w:val="center"/>
                </w:tcPr>
                <w:p>
                  <w:pPr>
                    <w:spacing w:line="260" w:lineRule="exact"/>
                    <w:jc w:val="left"/>
                    <w:rPr>
                      <w:rFonts w:cs="Times New Roman"/>
                      <w:color w:val="auto"/>
                      <w:sz w:val="18"/>
                      <w:szCs w:val="18"/>
                    </w:rPr>
                  </w:pPr>
                  <w:r>
                    <w:rPr>
                      <w:rFonts w:cs="Times New Roman"/>
                      <w:color w:val="auto"/>
                      <w:sz w:val="18"/>
                      <w:szCs w:val="18"/>
                    </w:rPr>
                    <w:t>新乡县、凤泉区</w:t>
                  </w:r>
                </w:p>
                <w:p>
                  <w:pPr>
                    <w:spacing w:line="260" w:lineRule="exact"/>
                    <w:jc w:val="left"/>
                    <w:rPr>
                      <w:rFonts w:cs="Times New Roman"/>
                      <w:color w:val="auto"/>
                      <w:sz w:val="18"/>
                      <w:szCs w:val="18"/>
                    </w:rPr>
                  </w:pPr>
                  <w:r>
                    <w:rPr>
                      <w:rFonts w:cs="Times New Roman"/>
                      <w:color w:val="auto"/>
                      <w:sz w:val="18"/>
                      <w:szCs w:val="18"/>
                    </w:rPr>
                    <w:t>（铅镉污染控制区）</w:t>
                  </w:r>
                </w:p>
              </w:tc>
              <w:tc>
                <w:tcPr>
                  <w:tcW w:w="2694" w:type="dxa"/>
                  <w:vMerge w:val="continue"/>
                  <w:vAlign w:val="center"/>
                </w:tcPr>
                <w:p>
                  <w:pPr>
                    <w:spacing w:line="260" w:lineRule="exact"/>
                    <w:jc w:val="left"/>
                    <w:rPr>
                      <w:rFonts w:cs="Times New Roman"/>
                      <w:color w:val="auto"/>
                      <w:sz w:val="18"/>
                      <w:szCs w:val="18"/>
                    </w:rPr>
                  </w:pPr>
                </w:p>
              </w:tc>
              <w:tc>
                <w:tcPr>
                  <w:tcW w:w="1531" w:type="dxa"/>
                  <w:gridSpan w:val="2"/>
                  <w:vAlign w:val="center"/>
                </w:tcPr>
                <w:p>
                  <w:pPr>
                    <w:spacing w:line="260" w:lineRule="exact"/>
                    <w:jc w:val="center"/>
                    <w:rPr>
                      <w:rFonts w:cs="Times New Roman"/>
                      <w:color w:val="auto"/>
                      <w:sz w:val="18"/>
                      <w:szCs w:val="18"/>
                    </w:rPr>
                  </w:pPr>
                  <w:r>
                    <w:rPr>
                      <w:rFonts w:cs="Times New Roman"/>
                      <w:color w:val="auto"/>
                      <w:sz w:val="18"/>
                      <w:szCs w:val="18"/>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Align w:val="center"/>
                </w:tcPr>
                <w:p>
                  <w:pPr>
                    <w:spacing w:line="260" w:lineRule="exact"/>
                    <w:jc w:val="left"/>
                    <w:rPr>
                      <w:rFonts w:cs="Times New Roman"/>
                      <w:color w:val="auto"/>
                      <w:sz w:val="18"/>
                      <w:szCs w:val="18"/>
                    </w:rPr>
                  </w:pPr>
                  <w:r>
                    <w:rPr>
                      <w:rFonts w:cs="Times New Roman"/>
                      <w:color w:val="auto"/>
                      <w:sz w:val="18"/>
                      <w:szCs w:val="18"/>
                    </w:rPr>
                    <w:t>工业项</w:t>
                  </w:r>
                </w:p>
                <w:p>
                  <w:pPr>
                    <w:spacing w:line="260" w:lineRule="exact"/>
                    <w:jc w:val="left"/>
                    <w:rPr>
                      <w:rFonts w:cs="Times New Roman"/>
                      <w:color w:val="auto"/>
                      <w:sz w:val="18"/>
                      <w:szCs w:val="18"/>
                    </w:rPr>
                  </w:pPr>
                  <w:r>
                    <w:rPr>
                      <w:rFonts w:cs="Times New Roman"/>
                      <w:color w:val="auto"/>
                      <w:sz w:val="18"/>
                      <w:szCs w:val="18"/>
                    </w:rPr>
                    <w:t>目分类</w:t>
                  </w:r>
                </w:p>
              </w:tc>
              <w:tc>
                <w:tcPr>
                  <w:tcW w:w="3749" w:type="dxa"/>
                  <w:gridSpan w:val="2"/>
                  <w:vAlign w:val="center"/>
                </w:tcPr>
                <w:p>
                  <w:pPr>
                    <w:spacing w:line="260" w:lineRule="exact"/>
                    <w:jc w:val="left"/>
                    <w:rPr>
                      <w:rFonts w:cs="Times New Roman"/>
                      <w:color w:val="auto"/>
                      <w:sz w:val="18"/>
                      <w:szCs w:val="18"/>
                    </w:rPr>
                  </w:pPr>
                  <w:r>
                    <w:rPr>
                      <w:rFonts w:cs="Times New Roman"/>
                      <w:color w:val="auto"/>
                      <w:sz w:val="18"/>
                      <w:szCs w:val="18"/>
                    </w:rPr>
                    <w:t>机械电子（一类工业项目：不含电镀、喷涂工艺的机械制造；不含分割、焊接、有机溶剂清洗工艺的电子元件、集成电路等生产；工艺品制造（无电镀、喷漆工艺和机加工的）；二类工业项目：含有电镀、喷涂工艺的机械制造；有分割、焊接、有机溶剂清洗工艺的电子元件、集成电路等生产）</w:t>
                  </w:r>
                </w:p>
              </w:tc>
              <w:tc>
                <w:tcPr>
                  <w:tcW w:w="2694" w:type="dxa"/>
                  <w:vAlign w:val="center"/>
                </w:tcPr>
                <w:p>
                  <w:pPr>
                    <w:spacing w:line="260" w:lineRule="exact"/>
                    <w:jc w:val="left"/>
                    <w:rPr>
                      <w:rFonts w:cs="Times New Roman"/>
                      <w:color w:val="auto"/>
                      <w:sz w:val="18"/>
                      <w:szCs w:val="18"/>
                    </w:rPr>
                  </w:pPr>
                  <w:r>
                    <w:rPr>
                      <w:rFonts w:cs="Times New Roman"/>
                      <w:color w:val="auto"/>
                      <w:sz w:val="18"/>
                      <w:szCs w:val="18"/>
                    </w:rPr>
                    <w:t>项目属于</w:t>
                  </w:r>
                  <w:r>
                    <w:rPr>
                      <w:rFonts w:hint="eastAsia" w:cs="Times New Roman"/>
                      <w:color w:val="auto"/>
                      <w:sz w:val="18"/>
                      <w:szCs w:val="18"/>
                    </w:rPr>
                    <w:t>专用设置制造业，参照机械电子行业分类</w:t>
                  </w:r>
                  <w:r>
                    <w:rPr>
                      <w:rFonts w:cs="Times New Roman"/>
                      <w:color w:val="auto"/>
                      <w:sz w:val="18"/>
                      <w:szCs w:val="18"/>
                    </w:rPr>
                    <w:t>，项目</w:t>
                  </w:r>
                  <w:r>
                    <w:rPr>
                      <w:rFonts w:hint="eastAsia" w:cs="Times New Roman"/>
                      <w:color w:val="auto"/>
                      <w:sz w:val="18"/>
                      <w:szCs w:val="18"/>
                    </w:rPr>
                    <w:t>不</w:t>
                  </w:r>
                  <w:r>
                    <w:rPr>
                      <w:rFonts w:cs="Times New Roman"/>
                      <w:color w:val="auto"/>
                      <w:sz w:val="18"/>
                      <w:szCs w:val="18"/>
                    </w:rPr>
                    <w:t>涉及</w:t>
                  </w:r>
                  <w:r>
                    <w:rPr>
                      <w:rFonts w:hint="eastAsia" w:cs="Times New Roman"/>
                      <w:color w:val="auto"/>
                      <w:sz w:val="18"/>
                      <w:szCs w:val="18"/>
                    </w:rPr>
                    <w:t>电镀喷漆，且不使用有机溶剂</w:t>
                  </w:r>
                  <w:r>
                    <w:rPr>
                      <w:rFonts w:cs="Times New Roman"/>
                      <w:color w:val="auto"/>
                      <w:sz w:val="18"/>
                      <w:szCs w:val="18"/>
                    </w:rPr>
                    <w:t>，属于</w:t>
                  </w:r>
                  <w:r>
                    <w:rPr>
                      <w:rFonts w:hint="eastAsia" w:cs="Times New Roman"/>
                      <w:color w:val="auto"/>
                      <w:sz w:val="18"/>
                      <w:szCs w:val="18"/>
                    </w:rPr>
                    <w:t>一</w:t>
                  </w:r>
                  <w:r>
                    <w:rPr>
                      <w:rFonts w:cs="Times New Roman"/>
                      <w:color w:val="auto"/>
                      <w:sz w:val="18"/>
                      <w:szCs w:val="18"/>
                    </w:rPr>
                    <w:t xml:space="preserve">类工业项目。 </w:t>
                  </w:r>
                </w:p>
              </w:tc>
              <w:tc>
                <w:tcPr>
                  <w:tcW w:w="1531" w:type="dxa"/>
                  <w:gridSpan w:val="2"/>
                  <w:vAlign w:val="center"/>
                </w:tcPr>
                <w:p>
                  <w:pPr>
                    <w:spacing w:line="260" w:lineRule="exact"/>
                    <w:jc w:val="center"/>
                    <w:rPr>
                      <w:rFonts w:cs="Times New Roman"/>
                      <w:color w:val="auto"/>
                      <w:sz w:val="18"/>
                      <w:szCs w:val="18"/>
                    </w:rPr>
                  </w:pPr>
                  <w:r>
                    <w:rPr>
                      <w:rFonts w:cs="Times New Roman"/>
                      <w:color w:val="auto"/>
                      <w:sz w:val="18"/>
                      <w:szCs w:val="18"/>
                    </w:rPr>
                    <w:t>属于</w:t>
                  </w:r>
                  <w:r>
                    <w:rPr>
                      <w:rFonts w:hint="eastAsia" w:cs="Times New Roman"/>
                      <w:color w:val="auto"/>
                      <w:sz w:val="18"/>
                      <w:szCs w:val="18"/>
                    </w:rPr>
                    <w:t>一</w:t>
                  </w:r>
                  <w:r>
                    <w:rPr>
                      <w:rFonts w:cs="Times New Roman"/>
                      <w:color w:val="auto"/>
                      <w:sz w:val="18"/>
                      <w:szCs w:val="18"/>
                    </w:rPr>
                    <w:t>类</w:t>
                  </w:r>
                </w:p>
                <w:p>
                  <w:pPr>
                    <w:spacing w:line="260" w:lineRule="exact"/>
                    <w:jc w:val="center"/>
                    <w:rPr>
                      <w:rFonts w:cs="Times New Roman"/>
                      <w:color w:val="auto"/>
                      <w:sz w:val="18"/>
                      <w:szCs w:val="18"/>
                    </w:rPr>
                  </w:pPr>
                  <w:r>
                    <w:rPr>
                      <w:rFonts w:cs="Times New Roman"/>
                      <w:color w:val="auto"/>
                      <w:sz w:val="18"/>
                      <w:szCs w:val="18"/>
                    </w:rPr>
                    <w:t>工业项目</w:t>
                  </w:r>
                </w:p>
              </w:tc>
            </w:tr>
          </w:tbl>
          <w:p>
            <w:pPr>
              <w:adjustRightInd w:val="0"/>
              <w:snapToGrid w:val="0"/>
              <w:spacing w:line="360" w:lineRule="auto"/>
              <w:ind w:firstLine="480" w:firstLineChars="200"/>
              <w:textAlignment w:val="baseline"/>
              <w:rPr>
                <w:rFonts w:cs="Times New Roman"/>
                <w:color w:val="auto"/>
                <w:sz w:val="24"/>
                <w:szCs w:val="24"/>
              </w:rPr>
            </w:pPr>
            <w:r>
              <w:rPr>
                <w:rFonts w:cs="Times New Roman"/>
                <w:color w:val="auto"/>
                <w:sz w:val="24"/>
                <w:szCs w:val="24"/>
              </w:rPr>
              <w:t>本项目按照工业准入优先区的环境准入政策执行，与工业准入优先区环境准入政策具体条款及相符性见下表。</w:t>
            </w:r>
          </w:p>
          <w:p>
            <w:pPr>
              <w:pStyle w:val="21"/>
              <w:ind w:firstLine="420"/>
              <w:rPr>
                <w:color w:val="auto"/>
              </w:rPr>
            </w:pPr>
            <w:r>
              <w:rPr>
                <w:rFonts w:hint="eastAsia"/>
                <w:color w:val="auto"/>
              </w:rPr>
              <w:t xml:space="preserve">  </w:t>
            </w:r>
            <w:r>
              <w:rPr>
                <w:color w:val="auto"/>
              </w:rPr>
              <w:t>本项目与工业准入优先区环境准入政策对比情况一览表</w:t>
            </w:r>
          </w:p>
          <w:tbl>
            <w:tblPr>
              <w:tblStyle w:val="26"/>
              <w:tblW w:w="8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5403"/>
              <w:gridCol w:w="1525"/>
              <w:gridCol w:w="9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7" w:type="dxa"/>
                  <w:vAlign w:val="center"/>
                </w:tcPr>
                <w:p>
                  <w:pPr>
                    <w:adjustRightInd w:val="0"/>
                    <w:snapToGrid w:val="0"/>
                    <w:spacing w:line="260" w:lineRule="exact"/>
                    <w:jc w:val="center"/>
                    <w:textAlignment w:val="baseline"/>
                    <w:rPr>
                      <w:rFonts w:cs="Times New Roman"/>
                      <w:color w:val="auto"/>
                      <w:sz w:val="18"/>
                      <w:szCs w:val="18"/>
                    </w:rPr>
                  </w:pPr>
                  <w:r>
                    <w:rPr>
                      <w:rFonts w:cs="Times New Roman"/>
                      <w:color w:val="auto"/>
                      <w:sz w:val="18"/>
                      <w:szCs w:val="18"/>
                    </w:rPr>
                    <w:t>类别</w:t>
                  </w:r>
                </w:p>
              </w:tc>
              <w:tc>
                <w:tcPr>
                  <w:tcW w:w="5403" w:type="dxa"/>
                  <w:vAlign w:val="center"/>
                </w:tcPr>
                <w:p>
                  <w:pPr>
                    <w:adjustRightInd w:val="0"/>
                    <w:snapToGrid w:val="0"/>
                    <w:spacing w:line="260" w:lineRule="exact"/>
                    <w:jc w:val="center"/>
                    <w:textAlignment w:val="baseline"/>
                    <w:rPr>
                      <w:rFonts w:cs="Times New Roman"/>
                      <w:color w:val="auto"/>
                      <w:sz w:val="18"/>
                      <w:szCs w:val="18"/>
                    </w:rPr>
                  </w:pPr>
                  <w:r>
                    <w:rPr>
                      <w:rFonts w:cs="Times New Roman"/>
                      <w:color w:val="auto"/>
                      <w:sz w:val="18"/>
                      <w:szCs w:val="18"/>
                    </w:rPr>
                    <w:t>内容</w:t>
                  </w:r>
                </w:p>
              </w:tc>
              <w:tc>
                <w:tcPr>
                  <w:tcW w:w="1525" w:type="dxa"/>
                  <w:vAlign w:val="center"/>
                </w:tcPr>
                <w:p>
                  <w:pPr>
                    <w:adjustRightInd w:val="0"/>
                    <w:snapToGrid w:val="0"/>
                    <w:spacing w:line="260" w:lineRule="exact"/>
                    <w:jc w:val="center"/>
                    <w:textAlignment w:val="baseline"/>
                    <w:rPr>
                      <w:rFonts w:cs="Times New Roman"/>
                      <w:color w:val="auto"/>
                      <w:sz w:val="18"/>
                      <w:szCs w:val="18"/>
                    </w:rPr>
                  </w:pPr>
                  <w:r>
                    <w:rPr>
                      <w:rFonts w:cs="Times New Roman"/>
                      <w:color w:val="auto"/>
                      <w:sz w:val="18"/>
                      <w:szCs w:val="18"/>
                    </w:rPr>
                    <w:t>本项目情况</w:t>
                  </w:r>
                </w:p>
              </w:tc>
              <w:tc>
                <w:tcPr>
                  <w:tcW w:w="981" w:type="dxa"/>
                  <w:vAlign w:val="center"/>
                </w:tcPr>
                <w:p>
                  <w:pPr>
                    <w:adjustRightInd w:val="0"/>
                    <w:snapToGrid w:val="0"/>
                    <w:spacing w:line="260" w:lineRule="exact"/>
                    <w:jc w:val="center"/>
                    <w:textAlignment w:val="baseline"/>
                    <w:rPr>
                      <w:rFonts w:cs="Times New Roman"/>
                      <w:color w:val="auto"/>
                      <w:sz w:val="18"/>
                      <w:szCs w:val="18"/>
                    </w:rPr>
                  </w:pPr>
                  <w:r>
                    <w:rPr>
                      <w:rFonts w:cs="Times New Roman"/>
                      <w:color w:val="auto"/>
                      <w:sz w:val="18"/>
                      <w:szCs w:val="18"/>
                    </w:rPr>
                    <w:t>是否符合审批条件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0" w:hRule="atLeast"/>
                <w:jc w:val="center"/>
              </w:trPr>
              <w:tc>
                <w:tcPr>
                  <w:tcW w:w="677" w:type="dxa"/>
                  <w:vAlign w:val="center"/>
                </w:tcPr>
                <w:p>
                  <w:pPr>
                    <w:widowControl/>
                    <w:adjustRightInd w:val="0"/>
                    <w:snapToGrid w:val="0"/>
                    <w:spacing w:line="260" w:lineRule="exact"/>
                    <w:jc w:val="left"/>
                    <w:rPr>
                      <w:rFonts w:cs="Times New Roman"/>
                      <w:color w:val="auto"/>
                      <w:sz w:val="18"/>
                      <w:szCs w:val="18"/>
                    </w:rPr>
                  </w:pPr>
                  <w:r>
                    <w:rPr>
                      <w:rFonts w:cs="Times New Roman"/>
                      <w:color w:val="auto"/>
                      <w:spacing w:val="-4"/>
                      <w:sz w:val="18"/>
                      <w:szCs w:val="18"/>
                    </w:rPr>
                    <w:t>工业准入优先区环境准入政</w:t>
                  </w:r>
                  <w:r>
                    <w:rPr>
                      <w:rFonts w:cs="Times New Roman"/>
                      <w:color w:val="auto"/>
                      <w:sz w:val="18"/>
                      <w:szCs w:val="18"/>
                    </w:rPr>
                    <w:t>策</w:t>
                  </w:r>
                </w:p>
              </w:tc>
              <w:tc>
                <w:tcPr>
                  <w:tcW w:w="5403" w:type="dxa"/>
                  <w:vAlign w:val="center"/>
                </w:tcPr>
                <w:p>
                  <w:pPr>
                    <w:adjustRightInd w:val="0"/>
                    <w:snapToGrid w:val="0"/>
                    <w:spacing w:line="260" w:lineRule="exact"/>
                    <w:ind w:firstLine="344" w:firstLineChars="200"/>
                    <w:textAlignment w:val="baseline"/>
                    <w:rPr>
                      <w:rFonts w:cs="Times New Roman"/>
                      <w:color w:val="auto"/>
                      <w:sz w:val="18"/>
                      <w:szCs w:val="18"/>
                    </w:rPr>
                  </w:pPr>
                  <w:r>
                    <w:rPr>
                      <w:rFonts w:hint="eastAsia" w:cs="Times New Roman"/>
                      <w:color w:val="auto"/>
                      <w:spacing w:val="-4"/>
                      <w:sz w:val="18"/>
                      <w:szCs w:val="18"/>
                    </w:rPr>
                    <w:t>1</w:t>
                  </w:r>
                  <w:r>
                    <w:rPr>
                      <w:rFonts w:cs="Times New Roman"/>
                      <w:color w:val="auto"/>
                      <w:spacing w:val="-4"/>
                      <w:sz w:val="18"/>
                      <w:szCs w:val="18"/>
                    </w:rPr>
                    <w:t>.简化部分审批程序。依据环保部《建设项目环境影响评价分类管理名录》规定，对填报环境影响登记表的项目，环评文件由审批制改为备案制，即报即受理，2个工作日内办结；对编制环境影响报告表的项目，简化审批程序，即</w:t>
                  </w:r>
                  <w:r>
                    <w:rPr>
                      <w:rFonts w:cs="Times New Roman"/>
                      <w:color w:val="auto"/>
                      <w:sz w:val="18"/>
                      <w:szCs w:val="18"/>
                    </w:rPr>
                    <w:t>报即受理。</w:t>
                  </w:r>
                </w:p>
                <w:p>
                  <w:pPr>
                    <w:adjustRightInd w:val="0"/>
                    <w:snapToGrid w:val="0"/>
                    <w:spacing w:line="260" w:lineRule="exact"/>
                    <w:ind w:firstLine="360" w:firstLineChars="200"/>
                    <w:textAlignment w:val="baseline"/>
                    <w:rPr>
                      <w:rFonts w:cs="Times New Roman"/>
                      <w:color w:val="auto"/>
                      <w:sz w:val="18"/>
                      <w:szCs w:val="18"/>
                    </w:rPr>
                  </w:pPr>
                  <w:r>
                    <w:rPr>
                      <w:rFonts w:hint="eastAsia" w:cs="Times New Roman"/>
                      <w:color w:val="auto"/>
                      <w:sz w:val="18"/>
                      <w:szCs w:val="18"/>
                    </w:rPr>
                    <w:t>2</w:t>
                  </w:r>
                  <w:r>
                    <w:rPr>
                      <w:rFonts w:cs="Times New Roman"/>
                      <w:color w:val="auto"/>
                      <w:sz w:val="18"/>
                      <w:szCs w:val="18"/>
                    </w:rPr>
                    <w:t>.下放部分审批权限。对属于市环保局审批的《工业项目分类清单》中的一类工业项目，其环评文件的审批权限，下放至具有审批权限的各县（市）、区环保部门。</w:t>
                  </w:r>
                </w:p>
                <w:p>
                  <w:pPr>
                    <w:adjustRightInd w:val="0"/>
                    <w:snapToGrid w:val="0"/>
                    <w:spacing w:line="260" w:lineRule="exact"/>
                    <w:ind w:firstLine="360" w:firstLineChars="200"/>
                    <w:textAlignment w:val="baseline"/>
                    <w:rPr>
                      <w:rFonts w:cs="Times New Roman"/>
                      <w:color w:val="auto"/>
                      <w:sz w:val="18"/>
                      <w:szCs w:val="18"/>
                    </w:rPr>
                  </w:pPr>
                  <w:r>
                    <w:rPr>
                      <w:rFonts w:hint="eastAsia" w:cs="Times New Roman"/>
                      <w:color w:val="auto"/>
                      <w:sz w:val="18"/>
                      <w:szCs w:val="18"/>
                    </w:rPr>
                    <w:t>3</w:t>
                  </w:r>
                  <w:r>
                    <w:rPr>
                      <w:rFonts w:cs="Times New Roman"/>
                      <w:color w:val="auto"/>
                      <w:sz w:val="18"/>
                      <w:szCs w:val="18"/>
                    </w:rPr>
                    <w:t>.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pPr>
                    <w:adjustRightInd w:val="0"/>
                    <w:snapToGrid w:val="0"/>
                    <w:spacing w:line="260" w:lineRule="exact"/>
                    <w:textAlignment w:val="baseline"/>
                    <w:rPr>
                      <w:rFonts w:cs="Times New Roman"/>
                      <w:color w:val="auto"/>
                      <w:sz w:val="18"/>
                      <w:szCs w:val="18"/>
                    </w:rPr>
                  </w:pPr>
                  <w:r>
                    <w:rPr>
                      <w:rFonts w:cs="Times New Roman"/>
                      <w:color w:val="auto"/>
                      <w:sz w:val="18"/>
                      <w:szCs w:val="18"/>
                    </w:rPr>
                    <w:t xml:space="preserve">     </w:t>
                  </w:r>
                  <w:r>
                    <w:rPr>
                      <w:rFonts w:hint="eastAsia" w:cs="Times New Roman"/>
                      <w:color w:val="auto"/>
                      <w:sz w:val="18"/>
                      <w:szCs w:val="18"/>
                    </w:rPr>
                    <w:t>4</w:t>
                  </w:r>
                  <w:r>
                    <w:rPr>
                      <w:rFonts w:cs="Times New Roman"/>
                      <w:color w:val="auto"/>
                      <w:sz w:val="18"/>
                      <w:szCs w:val="18"/>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p>
              </w:tc>
              <w:tc>
                <w:tcPr>
                  <w:tcW w:w="1525" w:type="dxa"/>
                  <w:vAlign w:val="center"/>
                </w:tcPr>
                <w:p>
                  <w:pPr>
                    <w:adjustRightInd w:val="0"/>
                    <w:snapToGrid w:val="0"/>
                    <w:spacing w:line="260" w:lineRule="exact"/>
                    <w:textAlignment w:val="baseline"/>
                    <w:rPr>
                      <w:rFonts w:cs="Times New Roman"/>
                      <w:color w:val="auto"/>
                      <w:sz w:val="18"/>
                      <w:szCs w:val="18"/>
                    </w:rPr>
                  </w:pPr>
                  <w:r>
                    <w:rPr>
                      <w:rFonts w:hint="eastAsia" w:cs="Times New Roman"/>
                      <w:color w:val="auto"/>
                      <w:sz w:val="18"/>
                      <w:szCs w:val="18"/>
                    </w:rPr>
                    <w:t>1</w:t>
                  </w:r>
                  <w:r>
                    <w:rPr>
                      <w:rFonts w:cs="Times New Roman"/>
                      <w:color w:val="auto"/>
                      <w:sz w:val="18"/>
                      <w:szCs w:val="18"/>
                    </w:rPr>
                    <w:t>、本项目应编写环境影响报告表，属于简化审批程序的项目。</w:t>
                  </w:r>
                </w:p>
                <w:p>
                  <w:pPr>
                    <w:adjustRightInd w:val="0"/>
                    <w:snapToGrid w:val="0"/>
                    <w:spacing w:line="260" w:lineRule="exact"/>
                    <w:textAlignment w:val="baseline"/>
                    <w:rPr>
                      <w:rFonts w:cs="Times New Roman"/>
                      <w:color w:val="auto"/>
                      <w:spacing w:val="-4"/>
                      <w:sz w:val="18"/>
                      <w:szCs w:val="18"/>
                    </w:rPr>
                  </w:pPr>
                  <w:r>
                    <w:rPr>
                      <w:rFonts w:hint="eastAsia" w:cs="Times New Roman"/>
                      <w:color w:val="auto"/>
                      <w:spacing w:val="-4"/>
                      <w:sz w:val="18"/>
                      <w:szCs w:val="18"/>
                    </w:rPr>
                    <w:t>2</w:t>
                  </w:r>
                  <w:r>
                    <w:rPr>
                      <w:rFonts w:cs="Times New Roman"/>
                      <w:color w:val="auto"/>
                      <w:spacing w:val="-4"/>
                      <w:sz w:val="18"/>
                      <w:szCs w:val="18"/>
                    </w:rPr>
                    <w:t>、本项目属于</w:t>
                  </w:r>
                  <w:r>
                    <w:rPr>
                      <w:rFonts w:hint="eastAsia" w:cs="Times New Roman"/>
                      <w:color w:val="auto"/>
                      <w:spacing w:val="-4"/>
                      <w:sz w:val="18"/>
                      <w:szCs w:val="18"/>
                    </w:rPr>
                    <w:t>一</w:t>
                  </w:r>
                  <w:r>
                    <w:rPr>
                      <w:rFonts w:cs="Times New Roman"/>
                      <w:color w:val="auto"/>
                      <w:spacing w:val="-4"/>
                      <w:sz w:val="18"/>
                      <w:szCs w:val="18"/>
                    </w:rPr>
                    <w:t>类工业项目，属于</w:t>
                  </w:r>
                  <w:r>
                    <w:rPr>
                      <w:rFonts w:hint="eastAsia" w:cs="Times New Roman"/>
                      <w:color w:val="auto"/>
                      <w:spacing w:val="-4"/>
                      <w:sz w:val="18"/>
                      <w:szCs w:val="18"/>
                    </w:rPr>
                    <w:t>县</w:t>
                  </w:r>
                  <w:r>
                    <w:rPr>
                      <w:rFonts w:cs="Times New Roman"/>
                      <w:color w:val="auto"/>
                      <w:spacing w:val="-4"/>
                      <w:sz w:val="18"/>
                      <w:szCs w:val="18"/>
                    </w:rPr>
                    <w:t>环保局审批。</w:t>
                  </w:r>
                </w:p>
                <w:p>
                  <w:pPr>
                    <w:adjustRightInd w:val="0"/>
                    <w:snapToGrid w:val="0"/>
                    <w:spacing w:line="260" w:lineRule="exact"/>
                    <w:textAlignment w:val="baseline"/>
                    <w:rPr>
                      <w:rFonts w:cs="Times New Roman"/>
                      <w:color w:val="auto"/>
                      <w:sz w:val="18"/>
                      <w:szCs w:val="18"/>
                    </w:rPr>
                  </w:pPr>
                  <w:r>
                    <w:rPr>
                      <w:rFonts w:hint="eastAsia" w:cs="Times New Roman"/>
                      <w:color w:val="auto"/>
                      <w:sz w:val="18"/>
                      <w:szCs w:val="18"/>
                    </w:rPr>
                    <w:t>3</w:t>
                  </w:r>
                  <w:r>
                    <w:rPr>
                      <w:rFonts w:cs="Times New Roman"/>
                      <w:color w:val="auto"/>
                      <w:sz w:val="18"/>
                      <w:szCs w:val="18"/>
                    </w:rPr>
                    <w:t>、项目</w:t>
                  </w:r>
                  <w:r>
                    <w:rPr>
                      <w:rFonts w:hint="eastAsia" w:cs="Times New Roman"/>
                      <w:color w:val="auto"/>
                      <w:sz w:val="18"/>
                      <w:szCs w:val="18"/>
                    </w:rPr>
                    <w:t>外排废水</w:t>
                  </w:r>
                  <w:r>
                    <w:rPr>
                      <w:rFonts w:cs="Times New Roman"/>
                      <w:color w:val="auto"/>
                      <w:sz w:val="18"/>
                      <w:szCs w:val="18"/>
                    </w:rPr>
                    <w:t>仅生活污水，近期经处理后定期清运，远期进入</w:t>
                  </w:r>
                  <w:r>
                    <w:rPr>
                      <w:rFonts w:hint="eastAsia" w:cs="Times New Roman"/>
                      <w:color w:val="auto"/>
                      <w:sz w:val="18"/>
                      <w:szCs w:val="18"/>
                    </w:rPr>
                    <w:t>大块镇</w:t>
                  </w:r>
                  <w:r>
                    <w:rPr>
                      <w:rFonts w:cs="Times New Roman"/>
                      <w:color w:val="auto"/>
                      <w:sz w:val="18"/>
                      <w:szCs w:val="18"/>
                    </w:rPr>
                    <w:t>污水处理厂进一步处理。</w:t>
                  </w:r>
                </w:p>
                <w:p>
                  <w:pPr>
                    <w:adjustRightInd w:val="0"/>
                    <w:snapToGrid w:val="0"/>
                    <w:spacing w:line="260" w:lineRule="exact"/>
                    <w:textAlignment w:val="baseline"/>
                    <w:rPr>
                      <w:rFonts w:cs="Times New Roman"/>
                      <w:color w:val="auto"/>
                      <w:sz w:val="18"/>
                      <w:szCs w:val="18"/>
                    </w:rPr>
                  </w:pPr>
                  <w:r>
                    <w:rPr>
                      <w:rFonts w:hint="eastAsia" w:cs="Times New Roman"/>
                      <w:color w:val="auto"/>
                      <w:sz w:val="18"/>
                      <w:szCs w:val="18"/>
                    </w:rPr>
                    <w:t>4</w:t>
                  </w:r>
                  <w:r>
                    <w:rPr>
                      <w:rFonts w:cs="Times New Roman"/>
                      <w:color w:val="auto"/>
                      <w:sz w:val="18"/>
                      <w:szCs w:val="18"/>
                    </w:rPr>
                    <w:t>、本项目属于</w:t>
                  </w:r>
                  <w:r>
                    <w:rPr>
                      <w:rFonts w:hint="eastAsia" w:cs="Times New Roman"/>
                      <w:color w:val="auto"/>
                      <w:sz w:val="18"/>
                      <w:szCs w:val="18"/>
                    </w:rPr>
                    <w:t>柴油机尾气净化装置</w:t>
                  </w:r>
                  <w:r>
                    <w:rPr>
                      <w:rFonts w:cs="Times New Roman"/>
                      <w:color w:val="auto"/>
                      <w:sz w:val="18"/>
                      <w:szCs w:val="18"/>
                    </w:rPr>
                    <w:t>制造，不属于不予审批项目，项目不涉及重金属排放。</w:t>
                  </w:r>
                </w:p>
              </w:tc>
              <w:tc>
                <w:tcPr>
                  <w:tcW w:w="981" w:type="dxa"/>
                  <w:vAlign w:val="center"/>
                </w:tcPr>
                <w:p>
                  <w:pPr>
                    <w:adjustRightInd w:val="0"/>
                    <w:snapToGrid w:val="0"/>
                    <w:spacing w:line="260" w:lineRule="exact"/>
                    <w:jc w:val="center"/>
                    <w:textAlignment w:val="baseline"/>
                    <w:rPr>
                      <w:rFonts w:cs="Times New Roman"/>
                      <w:color w:val="auto"/>
                      <w:sz w:val="18"/>
                      <w:szCs w:val="18"/>
                    </w:rPr>
                  </w:pPr>
                  <w:r>
                    <w:rPr>
                      <w:rFonts w:cs="Times New Roman"/>
                      <w:color w:val="auto"/>
                      <w:sz w:val="18"/>
                      <w:szCs w:val="18"/>
                    </w:rPr>
                    <w:t>符合</w:t>
                  </w:r>
                </w:p>
              </w:tc>
            </w:tr>
          </w:tbl>
          <w:p>
            <w:pPr>
              <w:adjustRightInd w:val="0"/>
              <w:snapToGrid w:val="0"/>
              <w:spacing w:line="460" w:lineRule="exact"/>
              <w:ind w:firstLine="480" w:firstLineChars="200"/>
              <w:rPr>
                <w:rFonts w:eastAsia="黑体" w:cs="Times New Roman"/>
                <w:bCs/>
                <w:color w:val="auto"/>
                <w:szCs w:val="28"/>
              </w:rPr>
            </w:pPr>
            <w:r>
              <w:rPr>
                <w:rFonts w:cs="Times New Roman"/>
                <w:color w:val="auto"/>
                <w:sz w:val="24"/>
                <w:szCs w:val="24"/>
              </w:rPr>
              <w:t>由上表可知，项目所在区域属于工业准入优先区，项目属于</w:t>
            </w:r>
            <w:r>
              <w:rPr>
                <w:rFonts w:hint="eastAsia" w:cs="Times New Roman"/>
                <w:color w:val="auto"/>
                <w:sz w:val="24"/>
                <w:szCs w:val="24"/>
              </w:rPr>
              <w:t>柴油机尾气净化装置</w:t>
            </w:r>
            <w:r>
              <w:rPr>
                <w:rFonts w:cs="Times New Roman"/>
                <w:color w:val="auto"/>
                <w:sz w:val="24"/>
                <w:szCs w:val="24"/>
              </w:rPr>
              <w:t>制造，属于</w:t>
            </w:r>
            <w:r>
              <w:rPr>
                <w:rFonts w:hint="eastAsia" w:cs="Times New Roman"/>
                <w:color w:val="auto"/>
                <w:sz w:val="24"/>
                <w:szCs w:val="24"/>
              </w:rPr>
              <w:t>一</w:t>
            </w:r>
            <w:r>
              <w:rPr>
                <w:rFonts w:cs="Times New Roman"/>
                <w:color w:val="auto"/>
                <w:sz w:val="24"/>
                <w:szCs w:val="24"/>
              </w:rPr>
              <w:t>类工业项目，属于工业准入优先区予以审批项目，符合工业准入优先区环境准入政策。因此，项目符合《实施细则》相关要求。</w:t>
            </w:r>
          </w:p>
          <w:p>
            <w:pPr>
              <w:pStyle w:val="75"/>
              <w:spacing w:line="360" w:lineRule="auto"/>
              <w:ind w:firstLine="480" w:firstLineChars="200"/>
              <w:rPr>
                <w:rFonts w:ascii="Times New Roman" w:cs="Times New Roman"/>
                <w:color w:val="auto"/>
                <w:sz w:val="24"/>
              </w:rPr>
            </w:pPr>
            <w:r>
              <w:rPr>
                <w:rFonts w:ascii="Times New Roman" w:cs="Times New Roman"/>
                <w:color w:val="auto"/>
                <w:sz w:val="24"/>
              </w:rPr>
              <w:t>（3）与相关文件的对比分析</w:t>
            </w:r>
          </w:p>
          <w:p>
            <w:pPr>
              <w:spacing w:line="360" w:lineRule="auto"/>
              <w:ind w:firstLine="480" w:firstLineChars="200"/>
              <w:rPr>
                <w:rFonts w:cs="Times New Roman"/>
                <w:color w:val="auto"/>
                <w:sz w:val="24"/>
              </w:rPr>
            </w:pPr>
            <w:r>
              <w:rPr>
                <w:rFonts w:cs="Times New Roman"/>
                <w:color w:val="auto"/>
                <w:sz w:val="24"/>
              </w:rPr>
              <w:t>本项目与相关文件的对照分析见</w:t>
            </w:r>
            <w:r>
              <w:rPr>
                <w:rFonts w:cs="Times New Roman"/>
                <w:bCs/>
                <w:color w:val="auto"/>
                <w:sz w:val="24"/>
              </w:rPr>
              <w:t>表38。</w:t>
            </w:r>
          </w:p>
          <w:p>
            <w:pPr>
              <w:pStyle w:val="21"/>
              <w:tabs>
                <w:tab w:val="left" w:pos="1152"/>
              </w:tabs>
              <w:ind w:firstLine="420"/>
              <w:rPr>
                <w:color w:val="auto"/>
              </w:rPr>
            </w:pPr>
            <w:r>
              <w:rPr>
                <w:rFonts w:hint="eastAsia"/>
                <w:color w:val="auto"/>
              </w:rPr>
              <w:tab/>
            </w:r>
            <w:r>
              <w:rPr>
                <w:rFonts w:hint="eastAsia"/>
                <w:color w:val="auto"/>
              </w:rPr>
              <w:tab/>
            </w:r>
            <w:r>
              <w:rPr>
                <w:color w:val="auto"/>
              </w:rPr>
              <w:t xml:space="preserve">   本项目与相关文件的相符性对照分析一览表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4372"/>
              <w:gridCol w:w="1958"/>
              <w:gridCol w:w="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jc w:val="center"/>
                    <w:rPr>
                      <w:rFonts w:cs="Times New Roman"/>
                      <w:color w:val="auto"/>
                      <w:sz w:val="18"/>
                      <w:szCs w:val="18"/>
                    </w:rPr>
                  </w:pPr>
                  <w:r>
                    <w:rPr>
                      <w:rFonts w:cs="Times New Roman"/>
                      <w:color w:val="auto"/>
                      <w:sz w:val="18"/>
                      <w:szCs w:val="18"/>
                    </w:rPr>
                    <w:t>文件名称</w:t>
                  </w:r>
                </w:p>
              </w:tc>
              <w:tc>
                <w:tcPr>
                  <w:tcW w:w="4372" w:type="dxa"/>
                  <w:vAlign w:val="center"/>
                </w:tcPr>
                <w:p>
                  <w:pPr>
                    <w:jc w:val="center"/>
                    <w:rPr>
                      <w:rFonts w:cs="Times New Roman"/>
                      <w:color w:val="auto"/>
                      <w:sz w:val="18"/>
                      <w:szCs w:val="18"/>
                    </w:rPr>
                  </w:pPr>
                  <w:r>
                    <w:rPr>
                      <w:rFonts w:cs="Times New Roman"/>
                      <w:color w:val="auto"/>
                      <w:sz w:val="18"/>
                      <w:szCs w:val="18"/>
                    </w:rPr>
                    <w:t>与本项目相关条文</w:t>
                  </w:r>
                </w:p>
              </w:tc>
              <w:tc>
                <w:tcPr>
                  <w:tcW w:w="1958" w:type="dxa"/>
                  <w:vAlign w:val="center"/>
                </w:tcPr>
                <w:p>
                  <w:pPr>
                    <w:jc w:val="center"/>
                    <w:rPr>
                      <w:rFonts w:cs="Times New Roman"/>
                      <w:color w:val="auto"/>
                      <w:sz w:val="18"/>
                      <w:szCs w:val="18"/>
                    </w:rPr>
                  </w:pPr>
                  <w:r>
                    <w:rPr>
                      <w:rFonts w:cs="Times New Roman"/>
                      <w:color w:val="auto"/>
                      <w:sz w:val="18"/>
                      <w:szCs w:val="18"/>
                    </w:rPr>
                    <w:t>本项目情况</w:t>
                  </w:r>
                </w:p>
              </w:tc>
              <w:tc>
                <w:tcPr>
                  <w:tcW w:w="900" w:type="dxa"/>
                  <w:vAlign w:val="center"/>
                </w:tcPr>
                <w:p>
                  <w:pPr>
                    <w:jc w:val="center"/>
                    <w:rPr>
                      <w:rFonts w:cs="Times New Roman"/>
                      <w:color w:val="auto"/>
                      <w:sz w:val="18"/>
                      <w:szCs w:val="18"/>
                    </w:rPr>
                  </w:pPr>
                  <w:r>
                    <w:rPr>
                      <w:rFonts w:cs="Times New Roman"/>
                      <w:color w:val="auto"/>
                      <w:sz w:val="18"/>
                      <w:szCs w:val="18"/>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Merge w:val="restart"/>
                  <w:vAlign w:val="center"/>
                </w:tcPr>
                <w:p>
                  <w:pPr>
                    <w:jc w:val="center"/>
                    <w:rPr>
                      <w:rFonts w:cs="Times New Roman"/>
                      <w:color w:val="auto"/>
                      <w:sz w:val="18"/>
                      <w:szCs w:val="18"/>
                    </w:rPr>
                  </w:pPr>
                  <w:r>
                    <w:rPr>
                      <w:rFonts w:cs="Times New Roman"/>
                      <w:color w:val="auto"/>
                      <w:sz w:val="18"/>
                      <w:szCs w:val="18"/>
                    </w:rPr>
                    <w:t>《新乡市环境污染攻坚战三年行动实施方案》（2018-2020）</w:t>
                  </w:r>
                </w:p>
              </w:tc>
              <w:tc>
                <w:tcPr>
                  <w:tcW w:w="4372" w:type="dxa"/>
                  <w:vAlign w:val="center"/>
                </w:tcPr>
                <w:p>
                  <w:pPr>
                    <w:spacing w:line="280" w:lineRule="exact"/>
                    <w:contextualSpacing/>
                    <w:rPr>
                      <w:rFonts w:cs="Times New Roman"/>
                      <w:color w:val="auto"/>
                      <w:sz w:val="18"/>
                      <w:szCs w:val="18"/>
                    </w:rPr>
                  </w:pPr>
                  <w:r>
                    <w:rPr>
                      <w:rFonts w:cs="Times New Roman"/>
                      <w:color w:val="auto"/>
                      <w:sz w:val="18"/>
                      <w:szCs w:val="18"/>
                    </w:rPr>
                    <w:t>（二）产业结构优化工程</w:t>
                  </w:r>
                </w:p>
                <w:p>
                  <w:pPr>
                    <w:spacing w:line="280" w:lineRule="exact"/>
                    <w:contextualSpacing/>
                    <w:rPr>
                      <w:rFonts w:cs="Times New Roman"/>
                      <w:color w:val="auto"/>
                      <w:sz w:val="18"/>
                      <w:szCs w:val="18"/>
                    </w:rPr>
                  </w:pPr>
                  <w:r>
                    <w:rPr>
                      <w:rFonts w:cs="Times New Roman"/>
                      <w:color w:val="auto"/>
                      <w:sz w:val="18"/>
                      <w:szCs w:val="18"/>
                    </w:rPr>
                    <w:t>9.严格环境准入门槛</w:t>
                  </w:r>
                </w:p>
                <w:p>
                  <w:pPr>
                    <w:spacing w:line="280" w:lineRule="exact"/>
                    <w:contextualSpacing/>
                    <w:rPr>
                      <w:rFonts w:cs="Times New Roman"/>
                      <w:color w:val="auto"/>
                      <w:sz w:val="18"/>
                      <w:szCs w:val="18"/>
                    </w:rPr>
                  </w:pPr>
                  <w:r>
                    <w:rPr>
                      <w:rFonts w:cs="Times New Roman"/>
                      <w:color w:val="auto"/>
                      <w:sz w:val="18"/>
                      <w:szCs w:val="18"/>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w:t>
                  </w:r>
                  <w:r>
                    <w:rPr>
                      <w:rFonts w:hint="eastAsia" w:cs="Times New Roman"/>
                      <w:color w:val="auto"/>
                      <w:sz w:val="18"/>
                      <w:szCs w:val="18"/>
                    </w:rPr>
                    <w:t>。</w:t>
                  </w:r>
                </w:p>
                <w:p>
                  <w:pPr>
                    <w:spacing w:line="280" w:lineRule="exact"/>
                    <w:contextualSpacing/>
                    <w:rPr>
                      <w:rFonts w:cs="Times New Roman"/>
                      <w:color w:val="auto"/>
                      <w:sz w:val="18"/>
                      <w:szCs w:val="18"/>
                    </w:rPr>
                  </w:pPr>
                  <w:r>
                    <w:rPr>
                      <w:rFonts w:cs="Times New Roman"/>
                      <w:color w:val="auto"/>
                      <w:sz w:val="18"/>
                      <w:szCs w:val="18"/>
                    </w:rPr>
                    <w:t>10. 加快化解过剩产能</w:t>
                  </w:r>
                </w:p>
                <w:p>
                  <w:pPr>
                    <w:spacing w:line="280" w:lineRule="exact"/>
                    <w:contextualSpacing/>
                    <w:rPr>
                      <w:rFonts w:cs="Times New Roman"/>
                      <w:color w:val="auto"/>
                      <w:spacing w:val="-6"/>
                      <w:sz w:val="18"/>
                      <w:szCs w:val="18"/>
                    </w:rPr>
                  </w:pPr>
                  <w:r>
                    <w:rPr>
                      <w:rFonts w:cs="Times New Roman"/>
                      <w:color w:val="auto"/>
                      <w:spacing w:val="-6"/>
                      <w:sz w:val="18"/>
                      <w:szCs w:val="18"/>
                    </w:rPr>
                    <w:t>加大落后产能淘汰和过剩产能压减力度。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w:t>
                  </w:r>
                </w:p>
                <w:p>
                  <w:pPr>
                    <w:spacing w:line="280" w:lineRule="exact"/>
                    <w:contextualSpacing/>
                    <w:rPr>
                      <w:rFonts w:cs="Times New Roman"/>
                      <w:color w:val="auto"/>
                      <w:spacing w:val="-6"/>
                      <w:sz w:val="18"/>
                      <w:szCs w:val="18"/>
                    </w:rPr>
                  </w:pPr>
                  <w:r>
                    <w:rPr>
                      <w:rFonts w:hint="eastAsia" w:cs="Times New Roman"/>
                      <w:color w:val="auto"/>
                      <w:spacing w:val="-6"/>
                      <w:sz w:val="18"/>
                      <w:szCs w:val="18"/>
                    </w:rPr>
                    <w:t>14.开展开展工业炉窑治理专项行动</w:t>
                  </w:r>
                </w:p>
                <w:p>
                  <w:pPr>
                    <w:spacing w:line="280" w:lineRule="exact"/>
                    <w:contextualSpacing/>
                    <w:rPr>
                      <w:rFonts w:cs="Times New Roman"/>
                      <w:color w:val="auto"/>
                      <w:sz w:val="18"/>
                      <w:szCs w:val="18"/>
                    </w:rPr>
                  </w:pPr>
                  <w:r>
                    <w:rPr>
                      <w:rFonts w:cs="Times New Roman"/>
                      <w:color w:val="auto"/>
                      <w:spacing w:val="-6"/>
                      <w:sz w:val="18"/>
                      <w:szCs w:val="18"/>
                    </w:rPr>
                    <w:t>有行业污染物排放标准的工业窑炉，严格执行行业排放标准相关规定；铸造行业烧结工序污染排放控制，按钢铁行业相关标准执行；暂未制订行业排放限值的，按照颗粒物、二氧化硫、氮氧化物排放限值分别不高于 30 毫克/立方米、200 毫克/立方米、300 毫克/立方米执行，自 2019 年 1 月 1 日起达不到相关要求的， 实施停产整治。</w:t>
                  </w:r>
                </w:p>
                <w:p>
                  <w:pPr>
                    <w:spacing w:line="280" w:lineRule="exact"/>
                    <w:contextualSpacing/>
                    <w:rPr>
                      <w:rFonts w:cs="Times New Roman"/>
                      <w:color w:val="auto"/>
                      <w:spacing w:val="-6"/>
                      <w:sz w:val="18"/>
                      <w:szCs w:val="18"/>
                    </w:rPr>
                  </w:pPr>
                  <w:r>
                    <w:rPr>
                      <w:rFonts w:cs="Times New Roman"/>
                      <w:color w:val="auto"/>
                      <w:spacing w:val="-6"/>
                      <w:sz w:val="18"/>
                      <w:szCs w:val="18"/>
                    </w:rPr>
                    <w:t>。</w:t>
                  </w:r>
                </w:p>
              </w:tc>
              <w:tc>
                <w:tcPr>
                  <w:tcW w:w="1958" w:type="dxa"/>
                  <w:vAlign w:val="center"/>
                </w:tcPr>
                <w:p>
                  <w:pPr>
                    <w:spacing w:line="280" w:lineRule="exact"/>
                    <w:rPr>
                      <w:rFonts w:cs="Times New Roman"/>
                      <w:color w:val="auto"/>
                      <w:sz w:val="18"/>
                      <w:szCs w:val="18"/>
                    </w:rPr>
                  </w:pPr>
                  <w:r>
                    <w:rPr>
                      <w:rFonts w:cs="Times New Roman"/>
                      <w:color w:val="auto"/>
                      <w:sz w:val="18"/>
                      <w:szCs w:val="18"/>
                    </w:rPr>
                    <w:t>本项目为</w:t>
                  </w:r>
                  <w:r>
                    <w:rPr>
                      <w:rFonts w:hint="eastAsia" w:cs="Times New Roman"/>
                      <w:color w:val="auto"/>
                      <w:sz w:val="18"/>
                      <w:szCs w:val="18"/>
                    </w:rPr>
                    <w:t>柴油机尾气净化装置</w:t>
                  </w:r>
                  <w:r>
                    <w:rPr>
                      <w:rFonts w:cs="Times New Roman"/>
                      <w:color w:val="auto"/>
                      <w:sz w:val="18"/>
                      <w:szCs w:val="18"/>
                    </w:rPr>
                    <w:t>，不属于火电、焦化、铸造、传统煤化工（甲醇、合成氨）、电解铝、水泥和平板玻璃等行业；不属于落后、过剩产能</w:t>
                  </w:r>
                  <w:r>
                    <w:rPr>
                      <w:rFonts w:hint="eastAsia" w:cs="Times New Roman"/>
                      <w:color w:val="auto"/>
                      <w:sz w:val="18"/>
                      <w:szCs w:val="18"/>
                    </w:rPr>
                    <w:t>；本项目炉窑为电炉，</w:t>
                  </w:r>
                  <w:r>
                    <w:rPr>
                      <w:rFonts w:cs="Times New Roman"/>
                      <w:color w:val="auto"/>
                      <w:spacing w:val="-6"/>
                      <w:sz w:val="18"/>
                      <w:szCs w:val="18"/>
                    </w:rPr>
                    <w:t>按照颗粒物、二氧化硫、氮氧化物排放限值分别不高于 30 毫克/立方米、200 毫克/立方米、300 毫克/立方米执行</w:t>
                  </w:r>
                  <w:r>
                    <w:rPr>
                      <w:rFonts w:hint="eastAsia" w:cs="Times New Roman"/>
                      <w:color w:val="auto"/>
                      <w:spacing w:val="-6"/>
                      <w:sz w:val="18"/>
                      <w:szCs w:val="18"/>
                    </w:rPr>
                    <w:t>。</w:t>
                  </w:r>
                </w:p>
              </w:tc>
              <w:tc>
                <w:tcPr>
                  <w:tcW w:w="900" w:type="dxa"/>
                  <w:vAlign w:val="center"/>
                </w:tcPr>
                <w:p>
                  <w:pPr>
                    <w:contextualSpacing/>
                    <w:jc w:val="center"/>
                    <w:rPr>
                      <w:rFonts w:cs="Times New Roman"/>
                      <w:color w:val="auto"/>
                      <w:sz w:val="18"/>
                      <w:szCs w:val="18"/>
                    </w:rPr>
                  </w:pPr>
                  <w:r>
                    <w:rPr>
                      <w:rFonts w:cs="Times New Roman"/>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Merge w:val="continue"/>
                  <w:vAlign w:val="center"/>
                </w:tcPr>
                <w:p>
                  <w:pPr>
                    <w:jc w:val="center"/>
                    <w:rPr>
                      <w:rFonts w:cs="Times New Roman"/>
                      <w:color w:val="auto"/>
                      <w:sz w:val="18"/>
                      <w:szCs w:val="18"/>
                    </w:rPr>
                  </w:pPr>
                </w:p>
              </w:tc>
              <w:tc>
                <w:tcPr>
                  <w:tcW w:w="4372" w:type="dxa"/>
                  <w:vAlign w:val="center"/>
                </w:tcPr>
                <w:p>
                  <w:pPr>
                    <w:spacing w:line="280" w:lineRule="exact"/>
                    <w:contextualSpacing/>
                    <w:rPr>
                      <w:rFonts w:cs="Times New Roman"/>
                      <w:color w:val="auto"/>
                      <w:sz w:val="18"/>
                      <w:szCs w:val="18"/>
                    </w:rPr>
                  </w:pPr>
                  <w:r>
                    <w:rPr>
                      <w:rFonts w:cs="Times New Roman"/>
                      <w:color w:val="auto"/>
                      <w:sz w:val="18"/>
                      <w:szCs w:val="18"/>
                    </w:rPr>
                    <w:t>（五）打好农业农村污染治理攻坚战役</w:t>
                  </w:r>
                </w:p>
                <w:p>
                  <w:pPr>
                    <w:spacing w:line="280" w:lineRule="exact"/>
                    <w:contextualSpacing/>
                    <w:rPr>
                      <w:rFonts w:cs="Times New Roman"/>
                      <w:color w:val="auto"/>
                      <w:sz w:val="18"/>
                      <w:szCs w:val="18"/>
                    </w:rPr>
                  </w:pPr>
                  <w:r>
                    <w:rPr>
                      <w:rFonts w:cs="Times New Roman"/>
                      <w:color w:val="auto"/>
                      <w:sz w:val="18"/>
                      <w:szCs w:val="18"/>
                    </w:rPr>
                    <w:t>2.防控农村改厕后粪污污染</w:t>
                  </w:r>
                </w:p>
                <w:p>
                  <w:pPr>
                    <w:spacing w:line="280" w:lineRule="exact"/>
                    <w:contextualSpacing/>
                    <w:rPr>
                      <w:rFonts w:cs="Times New Roman"/>
                      <w:color w:val="auto"/>
                      <w:sz w:val="18"/>
                      <w:szCs w:val="18"/>
                    </w:rPr>
                  </w:pPr>
                  <w:r>
                    <w:rPr>
                      <w:rFonts w:cs="Times New Roman"/>
                      <w:color w:val="auto"/>
                      <w:sz w:val="18"/>
                      <w:szCs w:val="18"/>
                    </w:rPr>
                    <w:t>农村改厕后的粪污必须得到有效收集处理或利用，坚决防止污染公共水体。改厕后，污水能进入管网及处理设施的，必须全收集、全处理并达标排放；不能进入污水处理设施的，应采取定期抽运等收集处置方式，予以综合利用，有效管控改厕之后产生的粪污。</w:t>
                  </w:r>
                </w:p>
              </w:tc>
              <w:tc>
                <w:tcPr>
                  <w:tcW w:w="1958" w:type="dxa"/>
                  <w:vAlign w:val="center"/>
                </w:tcPr>
                <w:p>
                  <w:pPr>
                    <w:spacing w:line="280" w:lineRule="exact"/>
                    <w:jc w:val="center"/>
                    <w:rPr>
                      <w:rFonts w:cs="Times New Roman"/>
                      <w:color w:val="auto"/>
                      <w:kern w:val="0"/>
                      <w:sz w:val="18"/>
                      <w:szCs w:val="18"/>
                    </w:rPr>
                  </w:pPr>
                  <w:r>
                    <w:rPr>
                      <w:rFonts w:cs="Times New Roman"/>
                      <w:color w:val="auto"/>
                      <w:sz w:val="18"/>
                      <w:szCs w:val="18"/>
                    </w:rPr>
                    <w:t>本项目位于新乡市</w:t>
                  </w:r>
                  <w:r>
                    <w:rPr>
                      <w:rFonts w:hint="eastAsia" w:cs="Times New Roman"/>
                      <w:color w:val="auto"/>
                      <w:sz w:val="18"/>
                      <w:szCs w:val="18"/>
                    </w:rPr>
                    <w:t>凤泉区陈堡工业区</w:t>
                  </w:r>
                  <w:r>
                    <w:rPr>
                      <w:rFonts w:cs="Times New Roman"/>
                      <w:color w:val="auto"/>
                      <w:sz w:val="18"/>
                      <w:szCs w:val="18"/>
                    </w:rPr>
                    <w:t>，项目营运期无生产废水产生，生活污水经化粪池处理后，</w:t>
                  </w:r>
                  <w:r>
                    <w:rPr>
                      <w:rFonts w:hint="eastAsia" w:cs="Times New Roman"/>
                      <w:color w:val="auto"/>
                      <w:sz w:val="18"/>
                      <w:szCs w:val="18"/>
                    </w:rPr>
                    <w:t>近期定期清运，远期</w:t>
                  </w:r>
                  <w:r>
                    <w:rPr>
                      <w:rFonts w:cs="Times New Roman"/>
                      <w:color w:val="auto"/>
                      <w:sz w:val="18"/>
                      <w:szCs w:val="18"/>
                    </w:rPr>
                    <w:t>排入</w:t>
                  </w:r>
                  <w:r>
                    <w:rPr>
                      <w:rFonts w:hint="eastAsia" w:cs="Times New Roman"/>
                      <w:color w:val="auto"/>
                      <w:sz w:val="18"/>
                      <w:szCs w:val="18"/>
                    </w:rPr>
                    <w:t>大块镇</w:t>
                  </w:r>
                  <w:r>
                    <w:rPr>
                      <w:rFonts w:cs="Times New Roman"/>
                      <w:color w:val="auto"/>
                      <w:sz w:val="18"/>
                      <w:szCs w:val="18"/>
                    </w:rPr>
                    <w:t>污水处理厂进一步处理</w:t>
                  </w:r>
                </w:p>
              </w:tc>
              <w:tc>
                <w:tcPr>
                  <w:tcW w:w="900" w:type="dxa"/>
                  <w:vAlign w:val="center"/>
                </w:tcPr>
                <w:p>
                  <w:pPr>
                    <w:contextualSpacing/>
                    <w:jc w:val="center"/>
                    <w:rPr>
                      <w:rFonts w:cs="Times New Roman"/>
                      <w:color w:val="auto"/>
                      <w:kern w:val="0"/>
                      <w:sz w:val="18"/>
                      <w:szCs w:val="18"/>
                    </w:rPr>
                  </w:pPr>
                  <w:r>
                    <w:rPr>
                      <w:rFonts w:cs="Times New Roman"/>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Merge w:val="continue"/>
                  <w:vAlign w:val="center"/>
                </w:tcPr>
                <w:p>
                  <w:pPr>
                    <w:jc w:val="center"/>
                    <w:rPr>
                      <w:rFonts w:cs="Times New Roman"/>
                      <w:color w:val="auto"/>
                      <w:sz w:val="18"/>
                      <w:szCs w:val="18"/>
                    </w:rPr>
                  </w:pPr>
                </w:p>
              </w:tc>
              <w:tc>
                <w:tcPr>
                  <w:tcW w:w="4372" w:type="dxa"/>
                  <w:vAlign w:val="center"/>
                </w:tcPr>
                <w:p>
                  <w:pPr>
                    <w:spacing w:line="280" w:lineRule="exact"/>
                    <w:contextualSpacing/>
                    <w:rPr>
                      <w:rFonts w:cs="Times New Roman"/>
                      <w:color w:val="auto"/>
                      <w:sz w:val="18"/>
                      <w:szCs w:val="18"/>
                    </w:rPr>
                  </w:pPr>
                  <w:r>
                    <w:rPr>
                      <w:rFonts w:cs="Times New Roman"/>
                      <w:color w:val="auto"/>
                      <w:sz w:val="18"/>
                      <w:szCs w:val="18"/>
                    </w:rPr>
                    <w:t>（三）加强土壤污染源头管控，预防土壤环境污染</w:t>
                  </w:r>
                </w:p>
                <w:p>
                  <w:pPr>
                    <w:spacing w:line="280" w:lineRule="exact"/>
                    <w:contextualSpacing/>
                    <w:rPr>
                      <w:rFonts w:cs="Times New Roman"/>
                      <w:color w:val="auto"/>
                      <w:sz w:val="18"/>
                      <w:szCs w:val="18"/>
                    </w:rPr>
                  </w:pPr>
                  <w:r>
                    <w:rPr>
                      <w:rFonts w:cs="Times New Roman"/>
                      <w:color w:val="auto"/>
                      <w:sz w:val="18"/>
                      <w:szCs w:val="18"/>
                    </w:rPr>
                    <w:t>14、提高固体废物和危险废物的处置水平</w:t>
                  </w:r>
                </w:p>
                <w:p>
                  <w:pPr>
                    <w:spacing w:line="280" w:lineRule="exact"/>
                    <w:contextualSpacing/>
                    <w:rPr>
                      <w:rFonts w:cs="Times New Roman"/>
                      <w:color w:val="auto"/>
                      <w:sz w:val="18"/>
                      <w:szCs w:val="18"/>
                    </w:rPr>
                  </w:pPr>
                  <w:r>
                    <w:rPr>
                      <w:rFonts w:cs="Times New Roman"/>
                      <w:color w:val="auto"/>
                      <w:sz w:val="18"/>
                      <w:szCs w:val="18"/>
                    </w:rPr>
                    <w:t>按照“减量化、无害化、资源化”的原则，推进一般固体废物、废旧产品等资源化利用、协同利用；提升危险废物处理处置能力，坚决遏制危险废物非法转移、倾倒、处理处置。</w:t>
                  </w:r>
                </w:p>
              </w:tc>
              <w:tc>
                <w:tcPr>
                  <w:tcW w:w="1958" w:type="dxa"/>
                  <w:vAlign w:val="center"/>
                </w:tcPr>
                <w:p>
                  <w:pPr>
                    <w:spacing w:line="280" w:lineRule="exact"/>
                    <w:jc w:val="center"/>
                    <w:rPr>
                      <w:rFonts w:cs="Times New Roman"/>
                      <w:color w:val="auto"/>
                      <w:kern w:val="0"/>
                      <w:sz w:val="18"/>
                      <w:szCs w:val="18"/>
                    </w:rPr>
                  </w:pPr>
                  <w:r>
                    <w:rPr>
                      <w:rFonts w:cs="Times New Roman"/>
                      <w:color w:val="auto"/>
                      <w:spacing w:val="-2"/>
                      <w:sz w:val="18"/>
                      <w:szCs w:val="18"/>
                    </w:rPr>
                    <w:t>本项目为</w:t>
                  </w:r>
                  <w:r>
                    <w:rPr>
                      <w:rFonts w:hint="eastAsia" w:cs="Times New Roman"/>
                      <w:color w:val="auto"/>
                      <w:sz w:val="18"/>
                      <w:szCs w:val="18"/>
                    </w:rPr>
                    <w:t>柴油机尾气净化装置</w:t>
                  </w:r>
                  <w:r>
                    <w:rPr>
                      <w:rFonts w:cs="Times New Roman"/>
                      <w:color w:val="auto"/>
                      <w:sz w:val="18"/>
                      <w:szCs w:val="18"/>
                    </w:rPr>
                    <w:t>生产项目</w:t>
                  </w:r>
                  <w:r>
                    <w:rPr>
                      <w:rFonts w:cs="Times New Roman"/>
                      <w:color w:val="auto"/>
                      <w:spacing w:val="-2"/>
                      <w:sz w:val="18"/>
                      <w:szCs w:val="18"/>
                    </w:rPr>
                    <w:t>。生产过程中产生的固体废物集中收集后、外售；</w:t>
                  </w:r>
                  <w:r>
                    <w:rPr>
                      <w:rFonts w:hint="eastAsia" w:cs="Times New Roman"/>
                      <w:color w:val="auto"/>
                      <w:spacing w:val="-2"/>
                      <w:sz w:val="18"/>
                      <w:szCs w:val="18"/>
                    </w:rPr>
                    <w:t>危险化学品包装物由厂家回收，设置专门化学品仓库暂存。</w:t>
                  </w:r>
                </w:p>
              </w:tc>
              <w:tc>
                <w:tcPr>
                  <w:tcW w:w="900" w:type="dxa"/>
                  <w:vAlign w:val="center"/>
                </w:tcPr>
                <w:p>
                  <w:pPr>
                    <w:contextualSpacing/>
                    <w:jc w:val="center"/>
                    <w:rPr>
                      <w:rFonts w:cs="Times New Roman"/>
                      <w:color w:val="auto"/>
                      <w:kern w:val="0"/>
                      <w:sz w:val="18"/>
                      <w:szCs w:val="18"/>
                    </w:rPr>
                  </w:pPr>
                  <w:r>
                    <w:rPr>
                      <w:rFonts w:cs="Times New Roman"/>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Merge w:val="restart"/>
                  <w:vAlign w:val="center"/>
                </w:tcPr>
                <w:p>
                  <w:pPr>
                    <w:spacing w:line="280" w:lineRule="exact"/>
                    <w:jc w:val="center"/>
                    <w:rPr>
                      <w:rFonts w:cs="Times New Roman"/>
                      <w:color w:val="auto"/>
                      <w:sz w:val="18"/>
                      <w:szCs w:val="18"/>
                    </w:rPr>
                  </w:pPr>
                  <w:r>
                    <w:rPr>
                      <w:rFonts w:cs="Times New Roman"/>
                      <w:color w:val="auto"/>
                      <w:sz w:val="18"/>
                      <w:szCs w:val="18"/>
                    </w:rPr>
                    <w:t>《关于印发&lt;京津冀及周边地区2018-2019 年秋冬季大气污染综合治理攻坚行动方案&gt;的通知》（环大气[2018]100号）</w:t>
                  </w:r>
                </w:p>
              </w:tc>
              <w:tc>
                <w:tcPr>
                  <w:tcW w:w="4372" w:type="dxa"/>
                </w:tcPr>
                <w:p>
                  <w:pPr>
                    <w:spacing w:line="280" w:lineRule="exact"/>
                    <w:contextualSpacing/>
                    <w:rPr>
                      <w:rFonts w:cs="Times New Roman"/>
                      <w:color w:val="auto"/>
                      <w:sz w:val="18"/>
                      <w:szCs w:val="18"/>
                    </w:rPr>
                  </w:pPr>
                  <w:r>
                    <w:rPr>
                      <w:rFonts w:cs="Times New Roman"/>
                      <w:color w:val="auto"/>
                      <w:kern w:val="0"/>
                      <w:sz w:val="18"/>
                      <w:szCs w:val="18"/>
                    </w:rPr>
                    <w:t>实施范围：京津冀及周边地区，包含北京市，天津市，河北省石家庄、唐山、邯郸、邢台、保定、沧州、廊坊、衡水市，山西省太原、阳泉、长治、晋城市，山东省济南、淄博、济宁、德州、聊城、滨州、菏泽市，河南省郑州、开封、安阳、鹤壁、新乡、焦作、濮阳市（以下简称“2+26”城市，含河北省定州市、辛集市，河南省济源市）。</w:t>
                  </w:r>
                </w:p>
              </w:tc>
              <w:tc>
                <w:tcPr>
                  <w:tcW w:w="1958" w:type="dxa"/>
                  <w:vAlign w:val="center"/>
                </w:tcPr>
                <w:p>
                  <w:pPr>
                    <w:spacing w:line="280" w:lineRule="exact"/>
                    <w:contextualSpacing/>
                    <w:jc w:val="center"/>
                    <w:rPr>
                      <w:rFonts w:cs="Times New Roman"/>
                      <w:color w:val="auto"/>
                      <w:sz w:val="18"/>
                      <w:szCs w:val="18"/>
                    </w:rPr>
                  </w:pPr>
                  <w:r>
                    <w:rPr>
                      <w:rFonts w:cs="Times New Roman"/>
                      <w:color w:val="auto"/>
                      <w:kern w:val="0"/>
                      <w:sz w:val="18"/>
                      <w:szCs w:val="18"/>
                    </w:rPr>
                    <w:t>本项目位于</w:t>
                  </w:r>
                  <w:r>
                    <w:rPr>
                      <w:rFonts w:cs="Times New Roman"/>
                      <w:color w:val="auto"/>
                      <w:sz w:val="18"/>
                      <w:szCs w:val="18"/>
                    </w:rPr>
                    <w:t>新乡市</w:t>
                  </w:r>
                  <w:r>
                    <w:rPr>
                      <w:rFonts w:hint="eastAsia" w:cs="Times New Roman"/>
                      <w:color w:val="auto"/>
                      <w:sz w:val="18"/>
                      <w:szCs w:val="18"/>
                    </w:rPr>
                    <w:t>凤泉区</w:t>
                  </w:r>
                  <w:r>
                    <w:rPr>
                      <w:rFonts w:cs="Times New Roman"/>
                      <w:color w:val="auto"/>
                      <w:kern w:val="0"/>
                      <w:sz w:val="18"/>
                      <w:szCs w:val="18"/>
                    </w:rPr>
                    <w:t>，属于“2+26”城市中的新乡市</w:t>
                  </w:r>
                </w:p>
              </w:tc>
              <w:tc>
                <w:tcPr>
                  <w:tcW w:w="900" w:type="dxa"/>
                  <w:vAlign w:val="center"/>
                </w:tcPr>
                <w:p>
                  <w:pPr>
                    <w:contextualSpacing/>
                    <w:rPr>
                      <w:rFonts w:cs="Times New Roman"/>
                      <w:color w:val="auto"/>
                      <w:spacing w:val="-16"/>
                      <w:sz w:val="18"/>
                      <w:szCs w:val="18"/>
                    </w:rPr>
                  </w:pPr>
                  <w:r>
                    <w:rPr>
                      <w:rFonts w:cs="Times New Roman"/>
                      <w:color w:val="auto"/>
                      <w:spacing w:val="-16"/>
                      <w:kern w:val="0"/>
                      <w:sz w:val="18"/>
                      <w:szCs w:val="18"/>
                    </w:rPr>
                    <w:t>本项目位于实施范围内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Merge w:val="continue"/>
                  <w:vAlign w:val="center"/>
                </w:tcPr>
                <w:p>
                  <w:pPr>
                    <w:spacing w:line="280" w:lineRule="exact"/>
                    <w:jc w:val="center"/>
                    <w:rPr>
                      <w:rFonts w:cs="Times New Roman"/>
                      <w:color w:val="auto"/>
                      <w:sz w:val="18"/>
                      <w:szCs w:val="18"/>
                    </w:rPr>
                  </w:pPr>
                </w:p>
              </w:tc>
              <w:tc>
                <w:tcPr>
                  <w:tcW w:w="4372" w:type="dxa"/>
                  <w:vAlign w:val="center"/>
                </w:tcPr>
                <w:p>
                  <w:pPr>
                    <w:numPr>
                      <w:ilvl w:val="0"/>
                      <w:numId w:val="8"/>
                    </w:numPr>
                    <w:spacing w:line="280" w:lineRule="exact"/>
                    <w:contextualSpacing/>
                    <w:rPr>
                      <w:rFonts w:cs="Times New Roman"/>
                      <w:color w:val="auto"/>
                      <w:sz w:val="18"/>
                      <w:szCs w:val="18"/>
                    </w:rPr>
                  </w:pPr>
                  <w:r>
                    <w:rPr>
                      <w:rFonts w:cs="Times New Roman"/>
                      <w:color w:val="auto"/>
                      <w:kern w:val="0"/>
                      <w:sz w:val="18"/>
                      <w:szCs w:val="18"/>
                    </w:rPr>
                    <w:t>严控 “ 两高 ” 行业产能。加快城市建成区重污染企业搬迁改造或关闭退出，推动实施一批水泥、玻璃、焦化、化工等重污染企业搬迁工程。城市建成区钢铁企业要切实采取彻底关停、转型发展、就地改造、域外搬迁等方式实施分类处置。钢铁等重污染企业搬迁应重点向区外转移。唐山、邯郸、安阳市不允许新建、扩建单纯新增产能的钢铁项目，禁止省外钢铁企业搬迁转移至该地。</w:t>
                  </w:r>
                </w:p>
              </w:tc>
              <w:tc>
                <w:tcPr>
                  <w:tcW w:w="1958" w:type="dxa"/>
                  <w:vAlign w:val="center"/>
                </w:tcPr>
                <w:p>
                  <w:pPr>
                    <w:spacing w:line="280" w:lineRule="exact"/>
                    <w:contextualSpacing/>
                    <w:rPr>
                      <w:rFonts w:cs="Times New Roman"/>
                      <w:color w:val="auto"/>
                      <w:sz w:val="18"/>
                      <w:szCs w:val="18"/>
                    </w:rPr>
                  </w:pPr>
                  <w:r>
                    <w:rPr>
                      <w:rFonts w:cs="Times New Roman"/>
                      <w:color w:val="auto"/>
                      <w:kern w:val="0"/>
                      <w:sz w:val="18"/>
                      <w:szCs w:val="18"/>
                    </w:rPr>
                    <w:t>本项目位于新乡市</w:t>
                  </w:r>
                  <w:r>
                    <w:rPr>
                      <w:rFonts w:hint="eastAsia" w:cs="Times New Roman"/>
                      <w:color w:val="auto"/>
                      <w:kern w:val="0"/>
                      <w:sz w:val="18"/>
                      <w:szCs w:val="18"/>
                    </w:rPr>
                    <w:t>凤泉区</w:t>
                  </w:r>
                  <w:r>
                    <w:rPr>
                      <w:rFonts w:cs="Times New Roman"/>
                      <w:color w:val="auto"/>
                      <w:kern w:val="0"/>
                      <w:sz w:val="18"/>
                      <w:szCs w:val="18"/>
                    </w:rPr>
                    <w:t>，属于</w:t>
                  </w:r>
                  <w:r>
                    <w:rPr>
                      <w:rFonts w:hint="eastAsia" w:cs="Times New Roman"/>
                      <w:color w:val="auto"/>
                      <w:sz w:val="18"/>
                      <w:szCs w:val="18"/>
                    </w:rPr>
                    <w:t>柴油机尾气净化装置生产</w:t>
                  </w:r>
                </w:p>
              </w:tc>
              <w:tc>
                <w:tcPr>
                  <w:tcW w:w="900" w:type="dxa"/>
                  <w:vAlign w:val="center"/>
                </w:tcPr>
                <w:p>
                  <w:pPr>
                    <w:contextualSpacing/>
                    <w:jc w:val="center"/>
                    <w:rPr>
                      <w:rFonts w:cs="Times New Roman"/>
                      <w:color w:val="auto"/>
                      <w:sz w:val="18"/>
                      <w:szCs w:val="18"/>
                    </w:rPr>
                  </w:pPr>
                  <w:r>
                    <w:rPr>
                      <w:rFonts w:cs="Times New Roman"/>
                      <w:color w:val="auto"/>
                      <w:kern w:val="0"/>
                      <w:sz w:val="18"/>
                      <w:szCs w:val="18"/>
                    </w:rPr>
                    <w:t>本项目</w:t>
                  </w:r>
                  <w:r>
                    <w:rPr>
                      <w:rFonts w:cs="Times New Roman"/>
                      <w:color w:val="auto"/>
                      <w:sz w:val="18"/>
                      <w:szCs w:val="18"/>
                    </w:rPr>
                    <w:t>不属于“两高”行业，不属于禁止建设项目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Merge w:val="continue"/>
                  <w:vAlign w:val="center"/>
                </w:tcPr>
                <w:p>
                  <w:pPr>
                    <w:spacing w:line="280" w:lineRule="exact"/>
                    <w:jc w:val="center"/>
                    <w:rPr>
                      <w:rFonts w:cs="Times New Roman"/>
                      <w:color w:val="auto"/>
                      <w:sz w:val="18"/>
                      <w:szCs w:val="18"/>
                    </w:rPr>
                  </w:pPr>
                </w:p>
              </w:tc>
              <w:tc>
                <w:tcPr>
                  <w:tcW w:w="4372" w:type="dxa"/>
                  <w:vAlign w:val="center"/>
                </w:tcPr>
                <w:p>
                  <w:pPr>
                    <w:spacing w:line="280" w:lineRule="exact"/>
                    <w:contextualSpacing/>
                    <w:rPr>
                      <w:rFonts w:cs="Times New Roman"/>
                      <w:color w:val="auto"/>
                      <w:kern w:val="0"/>
                      <w:sz w:val="18"/>
                      <w:szCs w:val="18"/>
                    </w:rPr>
                  </w:pPr>
                  <w:r>
                    <w:rPr>
                      <w:rFonts w:hint="eastAsia" w:cs="Times New Roman"/>
                      <w:color w:val="auto"/>
                      <w:kern w:val="0"/>
                      <w:sz w:val="18"/>
                      <w:szCs w:val="18"/>
                    </w:rPr>
                    <w:t>18.实施工业炉窑深度治理。</w:t>
                  </w:r>
                  <w:r>
                    <w:rPr>
                      <w:rFonts w:cs="Times New Roman"/>
                      <w:color w:val="auto"/>
                      <w:kern w:val="0"/>
                      <w:sz w:val="18"/>
                      <w:szCs w:val="18"/>
                    </w:rPr>
                    <w:t>铸造行业烧结、高炉工序污染排放控制，参照钢铁行业相关标准要求执行。已有行业排放标准的工业炉窑，严格执行行业排放标准相关规定。暂未制订行业排放标准的其他工业炉窑，按照颗粒物、二氧化硫、氮氧化物排放限值分别不高于 30、200、300 毫克/立方米执行；自 2019 年 1 月 1 日起达不到上述要求的，实施停产整治。</w:t>
                  </w:r>
                </w:p>
              </w:tc>
              <w:tc>
                <w:tcPr>
                  <w:tcW w:w="1958" w:type="dxa"/>
                  <w:vAlign w:val="center"/>
                </w:tcPr>
                <w:p>
                  <w:pPr>
                    <w:spacing w:line="280" w:lineRule="exact"/>
                    <w:contextualSpacing/>
                    <w:rPr>
                      <w:rFonts w:cs="Times New Roman"/>
                      <w:color w:val="auto"/>
                      <w:kern w:val="0"/>
                      <w:sz w:val="18"/>
                      <w:szCs w:val="18"/>
                    </w:rPr>
                  </w:pPr>
                  <w:r>
                    <w:rPr>
                      <w:rFonts w:cs="Times New Roman"/>
                      <w:color w:val="auto"/>
                      <w:spacing w:val="-6"/>
                      <w:sz w:val="18"/>
                      <w:szCs w:val="18"/>
                    </w:rPr>
                    <w:t>按照颗粒物、二氧化硫、氮氧化物排放限值分别不高于 30 毫克/立方米、200 毫克/立方米、300 毫克/立方米执行</w:t>
                  </w:r>
                </w:p>
              </w:tc>
              <w:tc>
                <w:tcPr>
                  <w:tcW w:w="900" w:type="dxa"/>
                  <w:vAlign w:val="center"/>
                </w:tcPr>
                <w:p>
                  <w:pPr>
                    <w:contextualSpacing/>
                    <w:jc w:val="center"/>
                    <w:rPr>
                      <w:rFonts w:cs="Times New Roman"/>
                      <w:color w:val="auto"/>
                      <w:kern w:val="0"/>
                      <w:sz w:val="18"/>
                      <w:szCs w:val="18"/>
                    </w:rPr>
                  </w:pPr>
                  <w:r>
                    <w:rPr>
                      <w:rFonts w:hint="eastAsia" w:cs="Times New Roman"/>
                      <w:color w:val="auto"/>
                      <w:kern w:val="0"/>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spacing w:line="280" w:lineRule="exact"/>
                    <w:jc w:val="center"/>
                    <w:rPr>
                      <w:rFonts w:cs="Times New Roman"/>
                      <w:color w:val="auto"/>
                      <w:sz w:val="18"/>
                      <w:szCs w:val="18"/>
                    </w:rPr>
                  </w:pPr>
                  <w:r>
                    <w:rPr>
                      <w:rFonts w:cs="Times New Roman"/>
                      <w:color w:val="auto"/>
                      <w:sz w:val="18"/>
                      <w:szCs w:val="18"/>
                    </w:rPr>
                    <w:t>《新乡市2019年大气污染防治攻坚战实施方案》</w:t>
                  </w:r>
                </w:p>
              </w:tc>
              <w:tc>
                <w:tcPr>
                  <w:tcW w:w="4372" w:type="dxa"/>
                </w:tcPr>
                <w:p>
                  <w:pPr>
                    <w:shd w:val="clear" w:color="auto" w:fill="FFFFFF"/>
                    <w:spacing w:line="280" w:lineRule="exact"/>
                    <w:rPr>
                      <w:rFonts w:cs="Times New Roman" w:eastAsiaTheme="minorEastAsia"/>
                      <w:color w:val="auto"/>
                      <w:sz w:val="18"/>
                      <w:szCs w:val="18"/>
                    </w:rPr>
                  </w:pPr>
                  <w:r>
                    <w:rPr>
                      <w:rFonts w:cs="Times New Roman" w:eastAsiaTheme="minorEastAsia"/>
                      <w:color w:val="auto"/>
                      <w:sz w:val="18"/>
                      <w:szCs w:val="18"/>
                    </w:rPr>
                    <w:t>32.开展工业炉窑专项治理</w:t>
                  </w:r>
                </w:p>
                <w:p>
                  <w:pPr>
                    <w:shd w:val="clear" w:color="auto" w:fill="FFFFFF"/>
                    <w:spacing w:line="280" w:lineRule="exact"/>
                    <w:rPr>
                      <w:rFonts w:cs="Times New Roman" w:eastAsiaTheme="minorEastAsia"/>
                      <w:color w:val="auto"/>
                      <w:sz w:val="18"/>
                      <w:szCs w:val="18"/>
                    </w:rPr>
                  </w:pPr>
                  <w:r>
                    <w:rPr>
                      <w:rFonts w:cs="Times New Roman" w:eastAsiaTheme="minorEastAsia"/>
                      <w:color w:val="auto"/>
                      <w:sz w:val="18"/>
                      <w:szCs w:val="18"/>
                    </w:rPr>
                    <w:t>（4）实施达标治理：严格执行国家工业炉窑行业排放标准和《工业炉窑大气污染物排放标准》（DB41/1066—2015），2019年10月底前，完成所有工业炉窑达标整治。</w:t>
                  </w:r>
                </w:p>
              </w:tc>
              <w:tc>
                <w:tcPr>
                  <w:tcW w:w="1958" w:type="dxa"/>
                  <w:vAlign w:val="center"/>
                </w:tcPr>
                <w:p>
                  <w:pPr>
                    <w:spacing w:line="280" w:lineRule="exact"/>
                    <w:contextualSpacing/>
                    <w:jc w:val="center"/>
                    <w:rPr>
                      <w:rFonts w:cs="Times New Roman" w:eastAsiaTheme="minorEastAsia"/>
                      <w:color w:val="auto"/>
                      <w:spacing w:val="-6"/>
                      <w:kern w:val="0"/>
                      <w:sz w:val="18"/>
                      <w:szCs w:val="18"/>
                    </w:rPr>
                  </w:pPr>
                  <w:r>
                    <w:rPr>
                      <w:rFonts w:cs="Times New Roman" w:eastAsiaTheme="minorEastAsia"/>
                      <w:color w:val="auto"/>
                      <w:spacing w:val="-6"/>
                      <w:sz w:val="18"/>
                      <w:szCs w:val="18"/>
                    </w:rPr>
                    <w:t>按照颗粒物、二氧化硫、氮氧化物排放限值分别不高于30 毫克/立方米、200 毫克/立方米、300 毫克/立方米执行，严于</w:t>
                  </w:r>
                  <w:r>
                    <w:rPr>
                      <w:rFonts w:cs="Times New Roman" w:eastAsiaTheme="minorEastAsia"/>
                      <w:color w:val="auto"/>
                      <w:sz w:val="18"/>
                      <w:szCs w:val="18"/>
                    </w:rPr>
                    <w:t>《工业炉窑大气污染物排放标准》（DB41/1066—2015）标准要求</w:t>
                  </w:r>
                </w:p>
              </w:tc>
              <w:tc>
                <w:tcPr>
                  <w:tcW w:w="900" w:type="dxa"/>
                  <w:vAlign w:val="center"/>
                </w:tcPr>
                <w:p>
                  <w:pPr>
                    <w:jc w:val="center"/>
                    <w:rPr>
                      <w:rFonts w:cs="Times New Roman"/>
                      <w:color w:val="auto"/>
                      <w:sz w:val="18"/>
                      <w:szCs w:val="18"/>
                    </w:rPr>
                  </w:pPr>
                  <w:r>
                    <w:rPr>
                      <w:rFonts w:cs="Times New Roman"/>
                      <w:color w:val="auto"/>
                      <w:sz w:val="18"/>
                      <w:szCs w:val="18"/>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spacing w:line="280" w:lineRule="exact"/>
                    <w:jc w:val="center"/>
                    <w:rPr>
                      <w:rFonts w:cs="Times New Roman"/>
                      <w:color w:val="auto"/>
                      <w:sz w:val="18"/>
                      <w:szCs w:val="18"/>
                    </w:rPr>
                  </w:pPr>
                  <w:r>
                    <w:rPr>
                      <w:rFonts w:hint="eastAsia" w:cs="Times New Roman"/>
                      <w:color w:val="auto"/>
                      <w:sz w:val="18"/>
                      <w:szCs w:val="18"/>
                    </w:rPr>
                    <w:t>关于印发《工业炉窑大气污染综合治理方案》的通知</w:t>
                  </w:r>
                </w:p>
                <w:p>
                  <w:pPr>
                    <w:spacing w:line="280" w:lineRule="exact"/>
                    <w:jc w:val="center"/>
                    <w:rPr>
                      <w:rFonts w:cs="Times New Roman"/>
                      <w:color w:val="auto"/>
                      <w:sz w:val="18"/>
                      <w:szCs w:val="18"/>
                    </w:rPr>
                  </w:pPr>
                  <w:r>
                    <w:rPr>
                      <w:rFonts w:hint="eastAsia" w:cs="Times New Roman"/>
                      <w:color w:val="auto"/>
                      <w:sz w:val="18"/>
                      <w:szCs w:val="18"/>
                    </w:rPr>
                    <w:t>（环大气〔2019〕56号）</w:t>
                  </w:r>
                </w:p>
              </w:tc>
              <w:tc>
                <w:tcPr>
                  <w:tcW w:w="4372" w:type="dxa"/>
                </w:tcPr>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实施污染深度治理。推进工业炉窑全面达标排放。已有行业排放标准的工业炉窑，严格执行行业排放标准相关规定，配套建设高效脱硫脱硝除尘设施，确保稳定达标排放。</w:t>
                  </w:r>
                </w:p>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　　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tc>
              <w:tc>
                <w:tcPr>
                  <w:tcW w:w="1958" w:type="dxa"/>
                  <w:vAlign w:val="center"/>
                </w:tcPr>
                <w:p>
                  <w:pPr>
                    <w:spacing w:line="280" w:lineRule="exact"/>
                    <w:contextualSpacing/>
                    <w:jc w:val="center"/>
                    <w:rPr>
                      <w:rFonts w:cs="Times New Roman" w:eastAsiaTheme="minorEastAsia"/>
                      <w:color w:val="auto"/>
                      <w:spacing w:val="-6"/>
                      <w:sz w:val="18"/>
                      <w:szCs w:val="18"/>
                    </w:rPr>
                  </w:pPr>
                  <w:r>
                    <w:rPr>
                      <w:rFonts w:hint="eastAsia" w:cs="Times New Roman" w:eastAsiaTheme="minorEastAsia"/>
                      <w:color w:val="auto"/>
                      <w:spacing w:val="-6"/>
                      <w:sz w:val="18"/>
                      <w:szCs w:val="18"/>
                    </w:rPr>
                    <w:t>本项目位于新乡市动力电池专业园区，加热炉为采用电加热，不属于淘汰类炉窑；</w:t>
                  </w:r>
                </w:p>
                <w:p>
                  <w:pPr>
                    <w:spacing w:line="280" w:lineRule="exact"/>
                    <w:contextualSpacing/>
                    <w:jc w:val="center"/>
                    <w:rPr>
                      <w:rFonts w:cs="Times New Roman" w:eastAsiaTheme="minorEastAsia"/>
                      <w:color w:val="auto"/>
                      <w:spacing w:val="-6"/>
                      <w:sz w:val="18"/>
                      <w:szCs w:val="18"/>
                    </w:rPr>
                  </w:pPr>
                  <w:r>
                    <w:rPr>
                      <w:rFonts w:hint="eastAsia" w:cs="Times New Roman" w:eastAsiaTheme="minorEastAsia"/>
                      <w:color w:val="auto"/>
                      <w:spacing w:val="-6"/>
                      <w:sz w:val="18"/>
                      <w:szCs w:val="18"/>
                    </w:rPr>
                    <w:t>本项目暂无行业排放标准，按照颗粒物、二氧化硫、氮氧化物排放限值分别不高于30 毫克/立方米、200 毫克/立方米、300 毫克/立方米执行，严于《工业炉窑大气污染物排放标准》（DB41/1066—2015）标准要求</w:t>
                  </w:r>
                </w:p>
              </w:tc>
              <w:tc>
                <w:tcPr>
                  <w:tcW w:w="900" w:type="dxa"/>
                  <w:vAlign w:val="center"/>
                </w:tcPr>
                <w:p>
                  <w:pPr>
                    <w:jc w:val="center"/>
                    <w:rPr>
                      <w:rFonts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spacing w:line="280" w:lineRule="exact"/>
                    <w:jc w:val="center"/>
                    <w:rPr>
                      <w:rFonts w:cs="Times New Roman"/>
                      <w:color w:val="auto"/>
                      <w:sz w:val="18"/>
                      <w:szCs w:val="18"/>
                    </w:rPr>
                  </w:pPr>
                  <w:r>
                    <w:rPr>
                      <w:rFonts w:hint="eastAsia" w:cs="Times New Roman"/>
                      <w:color w:val="auto"/>
                      <w:sz w:val="18"/>
                      <w:szCs w:val="18"/>
                    </w:rPr>
                    <w:t>《河南省2019年工业炉窑污染治理方案》</w:t>
                  </w:r>
                </w:p>
              </w:tc>
              <w:tc>
                <w:tcPr>
                  <w:tcW w:w="4372" w:type="dxa"/>
                </w:tcPr>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二、加大工业炉窑淘汰力度</w:t>
                  </w:r>
                </w:p>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 xml:space="preserve">2019年10月底前，淘汰全省范围内所有炉膛直径3米以下燃料类煤气发生炉；基本取缔燃煤热风炉、钢铁行业燃煤供热锅炉；有色行业基本淘汰燃煤干燥窑、燃煤反射炉、以煤为燃料的熔铅锅和电铅锅；基本淘汰热电联产供热管网覆盖范围内的燃煤加热、烘干炉（窑）；加快淘汰一批化肥行业固定床间歇式煤气化炉；高炉煤气、焦炉煤气实施精脱硫改造，煤气中硫化氢浓度小于20 毫克/立方米。 </w:t>
                  </w:r>
                </w:p>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 xml:space="preserve">三、实施工业炉窑深度治理 </w:t>
                  </w:r>
                </w:p>
                <w:p>
                  <w:pPr>
                    <w:shd w:val="clear" w:color="auto" w:fill="FFFFFF"/>
                    <w:spacing w:line="280" w:lineRule="exact"/>
                    <w:rPr>
                      <w:rFonts w:cs="Times New Roman" w:eastAsiaTheme="minorEastAsia"/>
                      <w:color w:val="auto"/>
                      <w:sz w:val="18"/>
                      <w:szCs w:val="18"/>
                    </w:rPr>
                  </w:pPr>
                  <w:r>
                    <w:rPr>
                      <w:rFonts w:hint="eastAsia" w:cs="Times New Roman" w:eastAsiaTheme="minorEastAsia"/>
                      <w:color w:val="auto"/>
                      <w:sz w:val="18"/>
                      <w:szCs w:val="18"/>
                    </w:rPr>
                    <w:t xml:space="preserve">暂未制订行业排放要求的其他工业炉窑，按照颗粒物、二氧化硫、氮氧化物排放限值分别不高于30、200、300毫克/立方米执行，自2019年11月1日起达不到相关要求的，实施停产整治。全面淘汰环保工艺简易、治污效果差的单一重力沉降室、旋风除尘器、多管除尘器、水膜除尘器、生物降尘等除尘设施，水洗法、简易碱法、简易氨法、生物脱硫等脱硫设施。 </w:t>
                  </w:r>
                </w:p>
              </w:tc>
              <w:tc>
                <w:tcPr>
                  <w:tcW w:w="1958" w:type="dxa"/>
                  <w:vAlign w:val="center"/>
                </w:tcPr>
                <w:p>
                  <w:pPr>
                    <w:spacing w:line="280" w:lineRule="exact"/>
                    <w:contextualSpacing/>
                    <w:jc w:val="center"/>
                    <w:rPr>
                      <w:rFonts w:cs="Times New Roman" w:eastAsiaTheme="minorEastAsia"/>
                      <w:color w:val="auto"/>
                      <w:spacing w:val="-6"/>
                      <w:sz w:val="18"/>
                      <w:szCs w:val="18"/>
                    </w:rPr>
                  </w:pPr>
                  <w:r>
                    <w:rPr>
                      <w:rFonts w:hint="eastAsia" w:cs="Times New Roman" w:eastAsiaTheme="minorEastAsia"/>
                      <w:color w:val="auto"/>
                      <w:spacing w:val="-6"/>
                      <w:sz w:val="18"/>
                      <w:szCs w:val="18"/>
                    </w:rPr>
                    <w:t>本项目加热炉为采用电加热，不属于淘汰类炉窑；</w:t>
                  </w:r>
                </w:p>
                <w:p>
                  <w:pPr>
                    <w:spacing w:line="280" w:lineRule="exact"/>
                    <w:contextualSpacing/>
                    <w:jc w:val="center"/>
                    <w:rPr>
                      <w:rFonts w:cs="Times New Roman" w:eastAsiaTheme="minorEastAsia"/>
                      <w:color w:val="auto"/>
                      <w:spacing w:val="-6"/>
                      <w:sz w:val="18"/>
                      <w:szCs w:val="18"/>
                    </w:rPr>
                  </w:pPr>
                  <w:r>
                    <w:rPr>
                      <w:rFonts w:hint="eastAsia" w:cs="Times New Roman" w:eastAsiaTheme="minorEastAsia"/>
                      <w:color w:val="auto"/>
                      <w:spacing w:val="-6"/>
                      <w:sz w:val="18"/>
                      <w:szCs w:val="18"/>
                    </w:rPr>
                    <w:t>本项目暂无行业排放标准，按照颗粒物、二氧化硫、氮氧化物排放限值分别不高于30 毫克/立方米、200 毫克/立方米、300 毫克/立方米执行，严于《工业炉窑大气污染物排放标准》（DB41/1066—2015）标准要求</w:t>
                  </w:r>
                </w:p>
              </w:tc>
              <w:tc>
                <w:tcPr>
                  <w:tcW w:w="900" w:type="dxa"/>
                  <w:vAlign w:val="center"/>
                </w:tcPr>
                <w:p>
                  <w:pPr>
                    <w:jc w:val="center"/>
                    <w:rPr>
                      <w:rFonts w:cs="Times New Roman"/>
                      <w:color w:val="auto"/>
                      <w:sz w:val="18"/>
                      <w:szCs w:val="18"/>
                    </w:rPr>
                  </w:pPr>
                  <w:r>
                    <w:rPr>
                      <w:rFonts w:hint="eastAsia" w:cs="Times New Roman"/>
                      <w:color w:val="auto"/>
                      <w:sz w:val="18"/>
                      <w:szCs w:val="18"/>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6" w:type="dxa"/>
                  <w:vAlign w:val="center"/>
                </w:tcPr>
                <w:p>
                  <w:pPr>
                    <w:spacing w:line="280" w:lineRule="exact"/>
                    <w:jc w:val="center"/>
                    <w:rPr>
                      <w:rFonts w:cs="Times New Roman"/>
                      <w:color w:val="auto"/>
                      <w:spacing w:val="-8"/>
                      <w:sz w:val="18"/>
                      <w:szCs w:val="18"/>
                    </w:rPr>
                  </w:pPr>
                  <w:r>
                    <w:rPr>
                      <w:rFonts w:cs="Times New Roman"/>
                      <w:color w:val="auto"/>
                      <w:spacing w:val="-8"/>
                      <w:sz w:val="18"/>
                      <w:szCs w:val="18"/>
                    </w:rPr>
                    <w:t>《新乡市生态环境局关于部署按照工业企业用电量监控系统的通知》（新环[2019]154号）</w:t>
                  </w:r>
                </w:p>
              </w:tc>
              <w:tc>
                <w:tcPr>
                  <w:tcW w:w="4372" w:type="dxa"/>
                </w:tcPr>
                <w:p>
                  <w:pPr>
                    <w:shd w:val="clear" w:color="auto" w:fill="FFFFFF"/>
                    <w:spacing w:line="280" w:lineRule="exact"/>
                    <w:jc w:val="left"/>
                    <w:rPr>
                      <w:rFonts w:cs="Times New Roman"/>
                      <w:color w:val="auto"/>
                      <w:kern w:val="0"/>
                      <w:sz w:val="18"/>
                      <w:szCs w:val="18"/>
                    </w:rPr>
                  </w:pPr>
                  <w:r>
                    <w:rPr>
                      <w:rFonts w:cs="Times New Roman"/>
                      <w:color w:val="auto"/>
                      <w:kern w:val="0"/>
                      <w:sz w:val="18"/>
                      <w:szCs w:val="18"/>
                    </w:rPr>
                    <w:t>安装范围：第一批安装部署用电量监控系统的企业为：新乡市辖区内国控、省控、市控重点监控企业、涉VOCs污染排放的企业、铸造行业、建材行业，然后逐步扩展至新乡市辖区内所有排污企业。所有排污企业的总用电控制位置、主要生产设施和污染治理设施必须按装用电量监控系统终端。</w:t>
                  </w:r>
                </w:p>
              </w:tc>
              <w:tc>
                <w:tcPr>
                  <w:tcW w:w="1958" w:type="dxa"/>
                  <w:vAlign w:val="center"/>
                </w:tcPr>
                <w:p>
                  <w:pPr>
                    <w:spacing w:line="280" w:lineRule="exact"/>
                    <w:contextualSpacing/>
                    <w:jc w:val="center"/>
                    <w:rPr>
                      <w:rFonts w:cs="Times New Roman"/>
                      <w:color w:val="auto"/>
                      <w:kern w:val="0"/>
                      <w:sz w:val="18"/>
                      <w:szCs w:val="18"/>
                    </w:rPr>
                  </w:pPr>
                  <w:r>
                    <w:rPr>
                      <w:rFonts w:cs="Times New Roman"/>
                      <w:color w:val="auto"/>
                      <w:kern w:val="0"/>
                      <w:sz w:val="18"/>
                      <w:szCs w:val="18"/>
                    </w:rPr>
                    <w:t>本项目不属于第一批安装部署用电量监控系统的企业，但属于安装范围，企业应按照要求安装部署用电量监控系统。</w:t>
                  </w:r>
                </w:p>
              </w:tc>
              <w:tc>
                <w:tcPr>
                  <w:tcW w:w="900" w:type="dxa"/>
                  <w:vAlign w:val="center"/>
                </w:tcPr>
                <w:p>
                  <w:pPr>
                    <w:contextualSpacing/>
                    <w:jc w:val="center"/>
                    <w:rPr>
                      <w:rFonts w:cs="Times New Roman"/>
                      <w:color w:val="auto"/>
                      <w:sz w:val="18"/>
                      <w:szCs w:val="18"/>
                    </w:rPr>
                  </w:pPr>
                  <w:r>
                    <w:rPr>
                      <w:rFonts w:cs="Times New Roman"/>
                      <w:color w:val="auto"/>
                      <w:kern w:val="0"/>
                      <w:sz w:val="18"/>
                      <w:szCs w:val="18"/>
                    </w:rPr>
                    <w:t>符合</w:t>
                  </w:r>
                </w:p>
              </w:tc>
            </w:tr>
          </w:tbl>
          <w:p>
            <w:pPr>
              <w:widowControl/>
              <w:adjustRightInd w:val="0"/>
              <w:snapToGrid w:val="0"/>
              <w:spacing w:line="460" w:lineRule="exact"/>
              <w:jc w:val="left"/>
              <w:rPr>
                <w:rFonts w:eastAsia="黑体" w:cs="Times New Roman"/>
                <w:bCs/>
                <w:color w:val="auto"/>
                <w:szCs w:val="28"/>
              </w:rPr>
            </w:pPr>
            <w:r>
              <w:rPr>
                <w:rFonts w:hint="eastAsia" w:eastAsia="黑体" w:cs="Times New Roman"/>
                <w:bCs/>
                <w:color w:val="auto"/>
                <w:szCs w:val="28"/>
              </w:rPr>
              <w:t>四</w:t>
            </w:r>
            <w:r>
              <w:rPr>
                <w:rFonts w:eastAsia="黑体" w:cs="Times New Roman"/>
                <w:bCs/>
                <w:color w:val="auto"/>
                <w:szCs w:val="28"/>
              </w:rPr>
              <w:t>、选址可行性</w:t>
            </w:r>
          </w:p>
          <w:p>
            <w:pPr>
              <w:adjustRightInd w:val="0"/>
              <w:snapToGrid w:val="0"/>
              <w:spacing w:line="460" w:lineRule="exact"/>
              <w:ind w:firstLine="480" w:firstLineChars="200"/>
              <w:jc w:val="left"/>
              <w:rPr>
                <w:rFonts w:cs="Times New Roman"/>
                <w:bCs/>
                <w:color w:val="auto"/>
                <w:sz w:val="24"/>
                <w:szCs w:val="24"/>
              </w:rPr>
            </w:pPr>
            <w:r>
              <w:rPr>
                <w:rFonts w:cs="Times New Roman"/>
                <w:color w:val="auto"/>
                <w:sz w:val="24"/>
                <w:szCs w:val="24"/>
              </w:rPr>
              <w:t>项目选址位于</w:t>
            </w:r>
            <w:r>
              <w:rPr>
                <w:rFonts w:hint="eastAsia" w:cs="Times New Roman"/>
                <w:color w:val="auto"/>
                <w:sz w:val="24"/>
                <w:szCs w:val="24"/>
              </w:rPr>
              <w:t>新乡市动力电池专业园区</w:t>
            </w:r>
            <w:r>
              <w:rPr>
                <w:rFonts w:cs="Times New Roman"/>
                <w:color w:val="auto"/>
                <w:sz w:val="24"/>
                <w:szCs w:val="24"/>
              </w:rPr>
              <w:t>，根据新乡动力电池专用园区土地利用规划图（详见附图</w:t>
            </w:r>
            <w:r>
              <w:rPr>
                <w:rFonts w:hint="eastAsia" w:cs="Times New Roman"/>
                <w:color w:val="auto"/>
                <w:sz w:val="24"/>
                <w:szCs w:val="24"/>
              </w:rPr>
              <w:t>六</w:t>
            </w:r>
            <w:r>
              <w:rPr>
                <w:rFonts w:cs="Times New Roman"/>
                <w:color w:val="auto"/>
                <w:sz w:val="24"/>
                <w:szCs w:val="24"/>
              </w:rPr>
              <w:t>），项目用地为工业用地，符合土地利用规划</w:t>
            </w:r>
            <w:r>
              <w:rPr>
                <w:rFonts w:hint="eastAsia" w:cs="Times New Roman"/>
                <w:color w:val="auto"/>
                <w:sz w:val="24"/>
                <w:szCs w:val="24"/>
              </w:rPr>
              <w:t>，根据</w:t>
            </w:r>
            <w:r>
              <w:rPr>
                <w:rFonts w:cs="Times New Roman"/>
                <w:color w:val="auto"/>
                <w:sz w:val="24"/>
                <w:szCs w:val="24"/>
              </w:rPr>
              <w:t>新乡动力电池专用园区</w:t>
            </w:r>
            <w:r>
              <w:rPr>
                <w:rFonts w:hint="eastAsia" w:cs="Times New Roman"/>
                <w:color w:val="auto"/>
                <w:sz w:val="24"/>
                <w:szCs w:val="24"/>
              </w:rPr>
              <w:t>功能分区</w:t>
            </w:r>
            <w:r>
              <w:rPr>
                <w:rFonts w:cs="Times New Roman"/>
                <w:color w:val="auto"/>
                <w:sz w:val="24"/>
                <w:szCs w:val="24"/>
              </w:rPr>
              <w:t>规划图（详见附图</w:t>
            </w:r>
            <w:r>
              <w:rPr>
                <w:rFonts w:hint="eastAsia" w:cs="Times New Roman"/>
                <w:color w:val="auto"/>
                <w:sz w:val="24"/>
                <w:szCs w:val="24"/>
              </w:rPr>
              <w:t>五</w:t>
            </w:r>
            <w:r>
              <w:rPr>
                <w:rFonts w:cs="Times New Roman"/>
                <w:color w:val="auto"/>
                <w:sz w:val="24"/>
                <w:szCs w:val="24"/>
              </w:rPr>
              <w:t>），项目</w:t>
            </w:r>
            <w:r>
              <w:rPr>
                <w:rFonts w:hint="eastAsia" w:cs="Times New Roman"/>
                <w:color w:val="auto"/>
                <w:sz w:val="24"/>
                <w:szCs w:val="24"/>
              </w:rPr>
              <w:t>所在地属于电源材料及配件产业区，根据新乡市凤泉区产业集聚区管理委员会出具的证明（见附件四），本项目符合园区产业发展规划、土地利用规划和总体规划要求，同意本项目入驻该园区；</w:t>
            </w:r>
            <w:r>
              <w:rPr>
                <w:rFonts w:cs="Times New Roman"/>
                <w:bCs/>
                <w:color w:val="auto"/>
                <w:spacing w:val="-6"/>
                <w:sz w:val="24"/>
                <w:szCs w:val="24"/>
              </w:rPr>
              <w:t>项目选址不在新乡市饮用水水源地保护区范围内，项目建设不会对其产生影响；项目选址不在南水北调总干渠保护区范围内，项目建设不会对其产生影响</w:t>
            </w:r>
            <w:r>
              <w:rPr>
                <w:rFonts w:hint="eastAsia" w:cs="Times New Roman"/>
                <w:bCs/>
                <w:color w:val="auto"/>
                <w:spacing w:val="-6"/>
                <w:sz w:val="24"/>
                <w:szCs w:val="24"/>
              </w:rPr>
              <w:t>；</w:t>
            </w:r>
            <w:r>
              <w:rPr>
                <w:rFonts w:cs="Times New Roman"/>
                <w:bCs/>
                <w:color w:val="auto"/>
                <w:sz w:val="24"/>
                <w:szCs w:val="24"/>
              </w:rPr>
              <w:t>项目废气、废水、固废、噪声等污染物在采取评价要求和建议的防治措施后，各污染物均能实现达标排放或合理处置，对区域环境影响可以接受；厂址供水、供电充足，厂区平面布置合理。从环保角度而言，项目选址可行。</w:t>
            </w:r>
          </w:p>
          <w:p>
            <w:pPr>
              <w:widowControl/>
              <w:adjustRightInd w:val="0"/>
              <w:snapToGrid w:val="0"/>
              <w:spacing w:line="460" w:lineRule="exact"/>
              <w:jc w:val="left"/>
              <w:rPr>
                <w:rFonts w:eastAsia="黑体" w:cs="Times New Roman"/>
                <w:bCs/>
                <w:color w:val="auto"/>
                <w:szCs w:val="28"/>
              </w:rPr>
            </w:pPr>
            <w:r>
              <w:rPr>
                <w:rFonts w:eastAsia="黑体" w:cs="Times New Roman"/>
                <w:bCs/>
                <w:color w:val="auto"/>
                <w:szCs w:val="28"/>
              </w:rPr>
              <w:t>六、总量控制</w:t>
            </w:r>
          </w:p>
          <w:p>
            <w:pPr>
              <w:spacing w:line="360" w:lineRule="auto"/>
              <w:ind w:firstLine="480" w:firstLineChars="200"/>
              <w:rPr>
                <w:color w:val="auto"/>
                <w:kern w:val="0"/>
                <w:sz w:val="24"/>
                <w:lang w:val="zh-CN"/>
              </w:rPr>
            </w:pPr>
            <w:r>
              <w:rPr>
                <w:color w:val="auto"/>
                <w:kern w:val="0"/>
                <w:sz w:val="24"/>
                <w:lang w:val="zh-CN"/>
              </w:rPr>
              <w:t>本项目</w:t>
            </w:r>
            <w:r>
              <w:rPr>
                <w:color w:val="auto"/>
                <w:kern w:val="0"/>
                <w:sz w:val="24"/>
              </w:rPr>
              <w:t>大气污染物排放主要为</w:t>
            </w:r>
            <w:r>
              <w:rPr>
                <w:rFonts w:hint="eastAsia"/>
                <w:color w:val="auto"/>
                <w:kern w:val="0"/>
                <w:sz w:val="24"/>
              </w:rPr>
              <w:t>配料工序产生的颗粒物和烘干、烘焙过程中产生的NO</w:t>
            </w:r>
            <w:r>
              <w:rPr>
                <w:rFonts w:hint="eastAsia"/>
                <w:color w:val="auto"/>
                <w:kern w:val="0"/>
                <w:sz w:val="24"/>
                <w:vertAlign w:val="subscript"/>
              </w:rPr>
              <w:t>2</w:t>
            </w:r>
            <w:r>
              <w:rPr>
                <w:rFonts w:hint="eastAsia"/>
                <w:color w:val="auto"/>
                <w:kern w:val="0"/>
                <w:sz w:val="24"/>
              </w:rPr>
              <w:t>，新增颗粒物排放量0.0042t/a，新增NO</w:t>
            </w:r>
            <w:r>
              <w:rPr>
                <w:rFonts w:hint="eastAsia"/>
                <w:color w:val="auto"/>
                <w:kern w:val="0"/>
                <w:sz w:val="24"/>
                <w:vertAlign w:val="subscript"/>
              </w:rPr>
              <w:t>2</w:t>
            </w:r>
            <w:r>
              <w:rPr>
                <w:rFonts w:hint="eastAsia"/>
                <w:color w:val="auto"/>
                <w:kern w:val="0"/>
                <w:sz w:val="24"/>
              </w:rPr>
              <w:t>排放量0.0235t/a</w:t>
            </w:r>
            <w:r>
              <w:rPr>
                <w:color w:val="auto"/>
                <w:kern w:val="0"/>
                <w:sz w:val="24"/>
                <w:lang w:val="zh-CN"/>
              </w:rPr>
              <w:t>；</w:t>
            </w:r>
            <w:r>
              <w:rPr>
                <w:color w:val="auto"/>
                <w:kern w:val="0"/>
                <w:sz w:val="24"/>
              </w:rPr>
              <w:t>项目废水主要为生活污水，</w:t>
            </w:r>
            <w:r>
              <w:rPr>
                <w:color w:val="auto"/>
                <w:kern w:val="0"/>
                <w:sz w:val="24"/>
                <w:lang w:val="zh-CN"/>
              </w:rPr>
              <w:t>生活污水经化粪池处理后</w:t>
            </w:r>
            <w:r>
              <w:rPr>
                <w:rFonts w:hint="eastAsia"/>
                <w:color w:val="auto"/>
                <w:kern w:val="0"/>
                <w:sz w:val="24"/>
              </w:rPr>
              <w:t>定期清运，待大块镇污水处理厂正式运行后排入大块镇污水处理厂进一步处理，最终排入共产主义渠</w:t>
            </w:r>
            <w:r>
              <w:rPr>
                <w:color w:val="auto"/>
                <w:kern w:val="0"/>
                <w:sz w:val="24"/>
                <w:lang w:val="zh-CN"/>
              </w:rPr>
              <w:t>。废水排放量为</w:t>
            </w:r>
            <w:r>
              <w:rPr>
                <w:rFonts w:hint="eastAsia"/>
                <w:color w:val="auto"/>
                <w:kern w:val="0"/>
                <w:sz w:val="24"/>
              </w:rPr>
              <w:t>72</w:t>
            </w:r>
            <w:r>
              <w:rPr>
                <w:color w:val="auto"/>
                <w:kern w:val="0"/>
                <w:sz w:val="24"/>
                <w:lang w:val="zh-CN"/>
              </w:rPr>
              <w:t>m</w:t>
            </w:r>
            <w:r>
              <w:rPr>
                <w:color w:val="auto"/>
                <w:kern w:val="0"/>
                <w:sz w:val="24"/>
                <w:vertAlign w:val="superscript"/>
                <w:lang w:val="zh-CN"/>
              </w:rPr>
              <w:t>3</w:t>
            </w:r>
            <w:r>
              <w:rPr>
                <w:color w:val="auto"/>
                <w:kern w:val="0"/>
                <w:sz w:val="24"/>
                <w:lang w:val="zh-CN"/>
              </w:rPr>
              <w:t>/a。废水经</w:t>
            </w:r>
            <w:r>
              <w:rPr>
                <w:rFonts w:hint="eastAsia"/>
                <w:color w:val="auto"/>
                <w:kern w:val="0"/>
                <w:sz w:val="24"/>
              </w:rPr>
              <w:t>大块镇污水</w:t>
            </w:r>
            <w:r>
              <w:rPr>
                <w:color w:val="auto"/>
                <w:kern w:val="0"/>
                <w:sz w:val="24"/>
                <w:lang w:val="zh-CN"/>
              </w:rPr>
              <w:t>处理厂处理后排放浓度为COD40mg/L、氨氮2.0mg/L、总磷0.4mg/L，则全厂水污染物排放量为COD</w:t>
            </w:r>
            <w:r>
              <w:rPr>
                <w:rFonts w:hint="eastAsia"/>
                <w:color w:val="auto"/>
                <w:kern w:val="0"/>
                <w:sz w:val="24"/>
              </w:rPr>
              <w:t>0.0029</w:t>
            </w:r>
            <w:r>
              <w:rPr>
                <w:color w:val="auto"/>
                <w:kern w:val="0"/>
                <w:sz w:val="24"/>
                <w:lang w:val="zh-CN"/>
              </w:rPr>
              <w:t>t/a、氨氮0.000</w:t>
            </w:r>
            <w:r>
              <w:rPr>
                <w:rFonts w:hint="eastAsia"/>
                <w:color w:val="auto"/>
                <w:kern w:val="0"/>
                <w:sz w:val="24"/>
              </w:rPr>
              <w:t>1</w:t>
            </w:r>
            <w:r>
              <w:rPr>
                <w:color w:val="auto"/>
                <w:kern w:val="0"/>
                <w:sz w:val="24"/>
                <w:lang w:val="zh-CN"/>
              </w:rPr>
              <w:t>t/a、总磷0.0000</w:t>
            </w:r>
            <w:r>
              <w:rPr>
                <w:rFonts w:hint="eastAsia"/>
                <w:color w:val="auto"/>
                <w:kern w:val="0"/>
                <w:sz w:val="24"/>
              </w:rPr>
              <w:t>3</w:t>
            </w:r>
            <w:r>
              <w:rPr>
                <w:color w:val="auto"/>
                <w:kern w:val="0"/>
                <w:sz w:val="24"/>
                <w:lang w:val="zh-CN"/>
              </w:rPr>
              <w:t>t/a。</w:t>
            </w:r>
          </w:p>
          <w:p>
            <w:pPr>
              <w:spacing w:line="360" w:lineRule="auto"/>
              <w:ind w:firstLine="480" w:firstLineChars="200"/>
              <w:rPr>
                <w:color w:val="auto"/>
                <w:kern w:val="0"/>
                <w:sz w:val="24"/>
              </w:rPr>
            </w:pPr>
            <w:r>
              <w:rPr>
                <w:color w:val="auto"/>
                <w:kern w:val="0"/>
                <w:sz w:val="24"/>
              </w:rPr>
              <w:t>因此，</w:t>
            </w:r>
            <w:r>
              <w:rPr>
                <w:color w:val="auto"/>
                <w:kern w:val="0"/>
                <w:sz w:val="24"/>
                <w:lang w:val="zh-CN"/>
              </w:rPr>
              <w:t>本项</w:t>
            </w:r>
            <w:r>
              <w:rPr>
                <w:color w:val="auto"/>
                <w:kern w:val="0"/>
                <w:sz w:val="24"/>
              </w:rPr>
              <w:t>目</w:t>
            </w:r>
            <w:r>
              <w:rPr>
                <w:color w:val="auto"/>
                <w:kern w:val="0"/>
                <w:sz w:val="24"/>
                <w:lang w:val="zh-CN"/>
              </w:rPr>
              <w:t>总量控制</w:t>
            </w:r>
            <w:r>
              <w:rPr>
                <w:color w:val="auto"/>
                <w:kern w:val="0"/>
                <w:sz w:val="24"/>
              </w:rPr>
              <w:t>指标为：COD0.00</w:t>
            </w:r>
            <w:r>
              <w:rPr>
                <w:rFonts w:hint="eastAsia"/>
                <w:color w:val="auto"/>
                <w:kern w:val="0"/>
                <w:sz w:val="24"/>
              </w:rPr>
              <w:t>29</w:t>
            </w:r>
            <w:r>
              <w:rPr>
                <w:color w:val="auto"/>
                <w:kern w:val="0"/>
                <w:sz w:val="24"/>
              </w:rPr>
              <w:t>t/a、氨氮0.000</w:t>
            </w:r>
            <w:r>
              <w:rPr>
                <w:rFonts w:hint="eastAsia"/>
                <w:color w:val="auto"/>
                <w:kern w:val="0"/>
                <w:sz w:val="24"/>
              </w:rPr>
              <w:t>1</w:t>
            </w:r>
            <w:r>
              <w:rPr>
                <w:color w:val="auto"/>
                <w:kern w:val="0"/>
                <w:sz w:val="24"/>
              </w:rPr>
              <w:t>t/a、总磷0.0000</w:t>
            </w:r>
            <w:r>
              <w:rPr>
                <w:rFonts w:hint="eastAsia"/>
                <w:color w:val="auto"/>
                <w:kern w:val="0"/>
                <w:sz w:val="24"/>
              </w:rPr>
              <w:t>3</w:t>
            </w:r>
            <w:r>
              <w:rPr>
                <w:color w:val="auto"/>
                <w:kern w:val="0"/>
                <w:sz w:val="24"/>
              </w:rPr>
              <w:t>t/a</w:t>
            </w:r>
            <w:r>
              <w:rPr>
                <w:rFonts w:hint="eastAsia"/>
                <w:color w:val="auto"/>
                <w:kern w:val="0"/>
                <w:sz w:val="24"/>
              </w:rPr>
              <w:t>；颗粒物0.0042t/a、氮氧化物0.0235t/a。</w:t>
            </w:r>
          </w:p>
          <w:p>
            <w:pPr>
              <w:adjustRightInd w:val="0"/>
              <w:snapToGrid w:val="0"/>
              <w:spacing w:line="460" w:lineRule="exact"/>
              <w:ind w:firstLine="560" w:firstLineChars="200"/>
              <w:rPr>
                <w:rFonts w:eastAsia="黑体" w:cs="Times New Roman"/>
                <w:bCs/>
                <w:color w:val="auto"/>
                <w:szCs w:val="28"/>
              </w:rPr>
            </w:pPr>
            <w:r>
              <w:rPr>
                <w:rFonts w:eastAsia="黑体" w:cs="Times New Roman"/>
                <w:bCs/>
                <w:color w:val="auto"/>
                <w:szCs w:val="28"/>
              </w:rPr>
              <w:t>七、环保投资</w:t>
            </w:r>
          </w:p>
          <w:p>
            <w:pPr>
              <w:adjustRightInd w:val="0"/>
              <w:snapToGrid w:val="0"/>
              <w:spacing w:line="460" w:lineRule="exact"/>
              <w:ind w:firstLine="480" w:firstLineChars="200"/>
              <w:jc w:val="left"/>
              <w:rPr>
                <w:rFonts w:cs="Times New Roman" w:eastAsiaTheme="minorEastAsia"/>
                <w:color w:val="auto"/>
                <w:sz w:val="24"/>
                <w:szCs w:val="24"/>
              </w:rPr>
            </w:pPr>
            <w:r>
              <w:rPr>
                <w:rFonts w:cs="Times New Roman"/>
                <w:color w:val="auto"/>
                <w:sz w:val="24"/>
                <w:szCs w:val="24"/>
              </w:rPr>
              <w:t>本项目营运期各项污染因素经采取相应的污染防治措施后，均能做到妥善处理和处置，项目环保投资见</w:t>
            </w:r>
            <w:r>
              <w:rPr>
                <w:rFonts w:hint="eastAsia" w:cs="Times New Roman"/>
                <w:color w:val="auto"/>
                <w:sz w:val="24"/>
                <w:szCs w:val="24"/>
              </w:rPr>
              <w:t>下表</w:t>
            </w:r>
            <w:r>
              <w:rPr>
                <w:rFonts w:cs="Times New Roman"/>
                <w:color w:val="auto"/>
                <w:sz w:val="24"/>
                <w:szCs w:val="24"/>
              </w:rPr>
              <w:t>。本项目环保总投资为</w:t>
            </w:r>
            <w:r>
              <w:rPr>
                <w:rFonts w:hint="eastAsia" w:cs="Times New Roman"/>
                <w:color w:val="auto"/>
                <w:sz w:val="24"/>
                <w:szCs w:val="24"/>
              </w:rPr>
              <w:t>10.5</w:t>
            </w:r>
            <w:r>
              <w:rPr>
                <w:rFonts w:cs="Times New Roman"/>
                <w:color w:val="auto"/>
                <w:sz w:val="24"/>
                <w:szCs w:val="24"/>
              </w:rPr>
              <w:t>万元，占项目总投资</w:t>
            </w:r>
            <w:r>
              <w:rPr>
                <w:rFonts w:hint="eastAsia" w:cs="Times New Roman"/>
                <w:color w:val="auto"/>
                <w:sz w:val="24"/>
                <w:szCs w:val="24"/>
              </w:rPr>
              <w:t>1.05</w:t>
            </w:r>
            <w:r>
              <w:rPr>
                <w:rFonts w:cs="Times New Roman"/>
                <w:color w:val="auto"/>
                <w:sz w:val="24"/>
                <w:szCs w:val="24"/>
              </w:rPr>
              <w:t>％。</w:t>
            </w:r>
          </w:p>
          <w:p>
            <w:pPr>
              <w:pStyle w:val="21"/>
              <w:ind w:firstLine="420"/>
              <w:rPr>
                <w:color w:val="auto"/>
              </w:rPr>
            </w:pPr>
            <w:r>
              <w:rPr>
                <w:rFonts w:hint="eastAsia"/>
                <w:color w:val="auto"/>
              </w:rPr>
              <w:t xml:space="preserve">               </w:t>
            </w:r>
            <w:r>
              <w:rPr>
                <w:color w:val="auto"/>
              </w:rPr>
              <w:t xml:space="preserve"> 项目工程环保投资一览表</w:t>
            </w:r>
          </w:p>
          <w:tbl>
            <w:tblPr>
              <w:tblStyle w:val="26"/>
              <w:tblW w:w="8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602"/>
              <w:gridCol w:w="1800"/>
              <w:gridCol w:w="1605"/>
              <w:gridCol w:w="3135"/>
              <w:gridCol w:w="9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68"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序号</w:t>
                  </w:r>
                </w:p>
              </w:tc>
              <w:tc>
                <w:tcPr>
                  <w:tcW w:w="602"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项目内容</w:t>
                  </w:r>
                </w:p>
              </w:tc>
              <w:tc>
                <w:tcPr>
                  <w:tcW w:w="1800"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产污环节</w:t>
                  </w:r>
                </w:p>
              </w:tc>
              <w:tc>
                <w:tcPr>
                  <w:tcW w:w="160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污染物</w:t>
                  </w:r>
                </w:p>
              </w:tc>
              <w:tc>
                <w:tcPr>
                  <w:tcW w:w="313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环保设施</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投资金额</w:t>
                  </w:r>
                </w:p>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8"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1</w:t>
                  </w:r>
                </w:p>
              </w:tc>
              <w:tc>
                <w:tcPr>
                  <w:tcW w:w="602"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废气治理</w:t>
                  </w:r>
                </w:p>
              </w:tc>
              <w:tc>
                <w:tcPr>
                  <w:tcW w:w="1800" w:type="dxa"/>
                  <w:vAlign w:val="center"/>
                </w:tcPr>
                <w:p>
                  <w:pPr>
                    <w:adjustRightInd w:val="0"/>
                    <w:snapToGrid w:val="0"/>
                    <w:spacing w:line="220" w:lineRule="exact"/>
                    <w:jc w:val="center"/>
                    <w:rPr>
                      <w:rFonts w:cs="Times New Roman"/>
                      <w:b/>
                      <w:bCs/>
                      <w:color w:val="auto"/>
                      <w:sz w:val="18"/>
                      <w:szCs w:val="18"/>
                      <w:u w:val="single"/>
                    </w:rPr>
                  </w:pPr>
                  <w:r>
                    <w:rPr>
                      <w:rFonts w:hint="eastAsia" w:cs="Times New Roman"/>
                      <w:b/>
                      <w:bCs/>
                      <w:color w:val="auto"/>
                      <w:sz w:val="18"/>
                      <w:szCs w:val="18"/>
                      <w:u w:val="single"/>
                    </w:rPr>
                    <w:t>配料</w:t>
                  </w:r>
                  <w:r>
                    <w:rPr>
                      <w:rFonts w:cs="Times New Roman"/>
                      <w:b/>
                      <w:bCs/>
                      <w:color w:val="auto"/>
                      <w:sz w:val="18"/>
                      <w:szCs w:val="18"/>
                      <w:u w:val="single"/>
                    </w:rPr>
                    <w:t>工序</w:t>
                  </w:r>
                </w:p>
              </w:tc>
              <w:tc>
                <w:tcPr>
                  <w:tcW w:w="1605" w:type="dxa"/>
                  <w:vAlign w:val="center"/>
                </w:tcPr>
                <w:p>
                  <w:pPr>
                    <w:adjustRightInd w:val="0"/>
                    <w:snapToGrid w:val="0"/>
                    <w:spacing w:line="220" w:lineRule="exact"/>
                    <w:jc w:val="center"/>
                    <w:rPr>
                      <w:rFonts w:cs="Times New Roman"/>
                      <w:b/>
                      <w:bCs/>
                      <w:color w:val="auto"/>
                      <w:sz w:val="18"/>
                      <w:szCs w:val="18"/>
                      <w:u w:val="single"/>
                    </w:rPr>
                  </w:pPr>
                  <w:r>
                    <w:rPr>
                      <w:rFonts w:hint="eastAsia" w:cs="Times New Roman"/>
                      <w:b/>
                      <w:bCs/>
                      <w:color w:val="auto"/>
                      <w:sz w:val="18"/>
                      <w:szCs w:val="18"/>
                      <w:u w:val="single"/>
                    </w:rPr>
                    <w:t>颗粒物</w:t>
                  </w:r>
                </w:p>
              </w:tc>
              <w:tc>
                <w:tcPr>
                  <w:tcW w:w="3135" w:type="dxa"/>
                  <w:vAlign w:val="center"/>
                </w:tcPr>
                <w:p>
                  <w:pPr>
                    <w:adjustRightInd w:val="0"/>
                    <w:snapToGrid w:val="0"/>
                    <w:spacing w:line="220" w:lineRule="exact"/>
                    <w:jc w:val="center"/>
                    <w:rPr>
                      <w:rFonts w:cs="Times New Roman"/>
                      <w:b/>
                      <w:bCs/>
                      <w:color w:val="auto"/>
                      <w:sz w:val="18"/>
                      <w:szCs w:val="18"/>
                      <w:u w:val="single"/>
                    </w:rPr>
                  </w:pPr>
                  <w:r>
                    <w:rPr>
                      <w:rFonts w:hint="eastAsia" w:cs="Times New Roman"/>
                      <w:b/>
                      <w:bCs/>
                      <w:color w:val="auto"/>
                      <w:sz w:val="18"/>
                      <w:szCs w:val="18"/>
                      <w:u w:val="single"/>
                    </w:rPr>
                    <w:t>密闭配料间+袋式除尘器+15m高排气筒</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Align w:val="center"/>
                </w:tcPr>
                <w:p>
                  <w:pPr>
                    <w:adjustRightInd w:val="0"/>
                    <w:snapToGrid w:val="0"/>
                    <w:spacing w:line="220" w:lineRule="exact"/>
                    <w:jc w:val="center"/>
                    <w:rPr>
                      <w:rFonts w:cs="Times New Roman"/>
                      <w:b/>
                      <w:bCs/>
                      <w:color w:val="auto"/>
                      <w:sz w:val="18"/>
                      <w:szCs w:val="18"/>
                      <w:u w:val="single"/>
                    </w:rPr>
                  </w:pPr>
                  <w:r>
                    <w:rPr>
                      <w:rFonts w:hint="eastAsia" w:cs="Times New Roman"/>
                      <w:b/>
                      <w:bCs/>
                      <w:color w:val="auto"/>
                      <w:sz w:val="18"/>
                      <w:szCs w:val="18"/>
                      <w:u w:val="single"/>
                    </w:rPr>
                    <w:t>烘干、烘焙工序</w:t>
                  </w:r>
                </w:p>
              </w:tc>
              <w:tc>
                <w:tcPr>
                  <w:tcW w:w="1605" w:type="dxa"/>
                  <w:vAlign w:val="center"/>
                </w:tcPr>
                <w:p>
                  <w:pPr>
                    <w:adjustRightInd w:val="0"/>
                    <w:snapToGrid w:val="0"/>
                    <w:spacing w:line="220" w:lineRule="exact"/>
                    <w:jc w:val="center"/>
                    <w:rPr>
                      <w:rFonts w:cs="Times New Roman"/>
                      <w:b/>
                      <w:bCs/>
                      <w:color w:val="auto"/>
                      <w:sz w:val="18"/>
                      <w:szCs w:val="18"/>
                      <w:u w:val="single"/>
                    </w:rPr>
                  </w:pPr>
                  <w:r>
                    <w:rPr>
                      <w:rFonts w:hint="eastAsia" w:cs="Times New Roman"/>
                      <w:b/>
                      <w:bCs/>
                      <w:color w:val="auto"/>
                      <w:sz w:val="18"/>
                      <w:szCs w:val="18"/>
                      <w:u w:val="single"/>
                    </w:rPr>
                    <w:t>NO</w:t>
                  </w:r>
                  <w:r>
                    <w:rPr>
                      <w:rFonts w:hint="eastAsia" w:cs="Times New Roman"/>
                      <w:b/>
                      <w:bCs/>
                      <w:color w:val="auto"/>
                      <w:sz w:val="18"/>
                      <w:szCs w:val="18"/>
                      <w:u w:val="single"/>
                      <w:vertAlign w:val="subscript"/>
                    </w:rPr>
                    <w:t>2</w:t>
                  </w:r>
                </w:p>
              </w:tc>
              <w:tc>
                <w:tcPr>
                  <w:tcW w:w="3135" w:type="dxa"/>
                  <w:vAlign w:val="center"/>
                </w:tcPr>
                <w:p>
                  <w:pPr>
                    <w:adjustRightInd w:val="0"/>
                    <w:snapToGrid w:val="0"/>
                    <w:spacing w:line="220" w:lineRule="exact"/>
                    <w:jc w:val="center"/>
                    <w:rPr>
                      <w:rFonts w:cs="Times New Roman"/>
                      <w:b/>
                      <w:bCs/>
                      <w:color w:val="auto"/>
                      <w:sz w:val="18"/>
                      <w:szCs w:val="18"/>
                      <w:u w:val="single"/>
                    </w:rPr>
                  </w:pPr>
                  <w:r>
                    <w:rPr>
                      <w:rFonts w:hint="eastAsia" w:cs="Times New Roman"/>
                      <w:b/>
                      <w:bCs/>
                      <w:color w:val="auto"/>
                      <w:sz w:val="18"/>
                      <w:szCs w:val="18"/>
                      <w:u w:val="single"/>
                      <w:lang w:eastAsia="zh-CN"/>
                    </w:rPr>
                    <w:t>碱液喷淋</w:t>
                  </w:r>
                  <w:r>
                    <w:rPr>
                      <w:rFonts w:hint="eastAsia" w:cs="Times New Roman"/>
                      <w:b/>
                      <w:bCs/>
                      <w:color w:val="auto"/>
                      <w:sz w:val="18"/>
                      <w:szCs w:val="18"/>
                      <w:u w:val="single"/>
                    </w:rPr>
                    <w:t>塔+15m高排气筒</w:t>
                  </w:r>
                </w:p>
              </w:tc>
              <w:tc>
                <w:tcPr>
                  <w:tcW w:w="976" w:type="dxa"/>
                  <w:tcMar>
                    <w:top w:w="85" w:type="dxa"/>
                    <w:bottom w:w="85" w:type="dxa"/>
                  </w:tcMar>
                  <w:vAlign w:val="center"/>
                </w:tcPr>
                <w:p>
                  <w:pPr>
                    <w:pStyle w:val="75"/>
                    <w:snapToGrid w:val="0"/>
                    <w:spacing w:line="220" w:lineRule="exact"/>
                    <w:jc w:val="center"/>
                    <w:rPr>
                      <w:rFonts w:hint="eastAsia" w:ascii="Times New Roman" w:eastAsia="宋体" w:cs="Times New Roman"/>
                      <w:b/>
                      <w:bCs/>
                      <w:color w:val="auto"/>
                      <w:sz w:val="18"/>
                      <w:szCs w:val="18"/>
                      <w:u w:val="single"/>
                      <w:lang w:eastAsia="zh-CN"/>
                    </w:rPr>
                  </w:pPr>
                  <w:r>
                    <w:rPr>
                      <w:rFonts w:hint="eastAsia" w:ascii="Times New Roman" w:eastAsia="宋体" w:cs="Times New Roman"/>
                      <w:b/>
                      <w:bCs/>
                      <w:color w:val="auto"/>
                      <w:sz w:val="18"/>
                      <w:szCs w:val="18"/>
                      <w:u w:val="singl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8"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2</w:t>
                  </w:r>
                </w:p>
              </w:tc>
              <w:tc>
                <w:tcPr>
                  <w:tcW w:w="602"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废水治理</w:t>
                  </w:r>
                </w:p>
              </w:tc>
              <w:tc>
                <w:tcPr>
                  <w:tcW w:w="1800" w:type="dxa"/>
                  <w:vAlign w:val="center"/>
                </w:tcPr>
                <w:p>
                  <w:pPr>
                    <w:spacing w:line="220" w:lineRule="exact"/>
                    <w:jc w:val="center"/>
                    <w:rPr>
                      <w:rFonts w:hint="default"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喷淋废水</w:t>
                  </w:r>
                </w:p>
              </w:tc>
              <w:tc>
                <w:tcPr>
                  <w:tcW w:w="1605" w:type="dxa"/>
                  <w:vAlign w:val="center"/>
                </w:tcPr>
                <w:p>
                  <w:pPr>
                    <w:spacing w:line="220" w:lineRule="exact"/>
                    <w:jc w:val="center"/>
                    <w:rPr>
                      <w:rFonts w:hint="default"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COD、盐类</w:t>
                  </w:r>
                </w:p>
              </w:tc>
              <w:tc>
                <w:tcPr>
                  <w:tcW w:w="3135" w:type="dxa"/>
                  <w:vAlign w:val="center"/>
                </w:tcPr>
                <w:p>
                  <w:pPr>
                    <w:spacing w:line="220" w:lineRule="exact"/>
                    <w:jc w:val="center"/>
                    <w:rPr>
                      <w:rFonts w:hint="default"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设置1m</w:t>
                  </w:r>
                  <w:r>
                    <w:rPr>
                      <w:rFonts w:hint="eastAsia" w:cs="Times New Roman"/>
                      <w:b/>
                      <w:bCs/>
                      <w:color w:val="auto"/>
                      <w:sz w:val="18"/>
                      <w:szCs w:val="18"/>
                      <w:u w:val="single"/>
                      <w:vertAlign w:val="superscript"/>
                      <w:lang w:val="en-US" w:eastAsia="zh-CN"/>
                    </w:rPr>
                    <w:t>3</w:t>
                  </w:r>
                  <w:r>
                    <w:rPr>
                      <w:rFonts w:hint="eastAsia" w:cs="Times New Roman"/>
                      <w:b/>
                      <w:bCs/>
                      <w:color w:val="auto"/>
                      <w:sz w:val="18"/>
                      <w:szCs w:val="18"/>
                      <w:u w:val="single"/>
                      <w:lang w:val="en-US" w:eastAsia="zh-CN"/>
                    </w:rPr>
                    <w:t>絮凝沉淀池</w:t>
                  </w:r>
                </w:p>
              </w:tc>
              <w:tc>
                <w:tcPr>
                  <w:tcW w:w="976" w:type="dxa"/>
                  <w:tcMar>
                    <w:top w:w="85" w:type="dxa"/>
                    <w:bottom w:w="85" w:type="dxa"/>
                  </w:tcMar>
                  <w:vAlign w:val="center"/>
                </w:tcPr>
                <w:p>
                  <w:pPr>
                    <w:spacing w:line="220" w:lineRule="exact"/>
                    <w:jc w:val="center"/>
                    <w:rPr>
                      <w:rFonts w:hint="eastAsia"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Align w:val="center"/>
                </w:tcPr>
                <w:p>
                  <w:pPr>
                    <w:spacing w:line="220" w:lineRule="exact"/>
                    <w:jc w:val="center"/>
                    <w:rPr>
                      <w:rFonts w:cs="Times New Roman"/>
                      <w:b/>
                      <w:bCs/>
                      <w:color w:val="auto"/>
                      <w:sz w:val="18"/>
                      <w:szCs w:val="18"/>
                      <w:u w:val="single"/>
                    </w:rPr>
                  </w:pPr>
                  <w:r>
                    <w:rPr>
                      <w:rFonts w:cs="Times New Roman"/>
                      <w:b/>
                      <w:bCs/>
                      <w:color w:val="auto"/>
                      <w:sz w:val="18"/>
                      <w:szCs w:val="18"/>
                      <w:u w:val="single"/>
                    </w:rPr>
                    <w:t>职工生活</w:t>
                  </w:r>
                </w:p>
              </w:tc>
              <w:tc>
                <w:tcPr>
                  <w:tcW w:w="1605" w:type="dxa"/>
                  <w:vAlign w:val="center"/>
                </w:tcPr>
                <w:p>
                  <w:pPr>
                    <w:spacing w:line="220" w:lineRule="exact"/>
                    <w:jc w:val="center"/>
                    <w:rPr>
                      <w:rFonts w:cs="Times New Roman"/>
                      <w:b/>
                      <w:bCs/>
                      <w:color w:val="auto"/>
                      <w:sz w:val="18"/>
                      <w:szCs w:val="18"/>
                      <w:u w:val="single"/>
                    </w:rPr>
                  </w:pPr>
                  <w:r>
                    <w:rPr>
                      <w:rFonts w:cs="Times New Roman"/>
                      <w:b/>
                      <w:bCs/>
                      <w:color w:val="auto"/>
                      <w:sz w:val="18"/>
                      <w:szCs w:val="18"/>
                      <w:u w:val="single"/>
                    </w:rPr>
                    <w:t>COD、氨氮、SS、总磷</w:t>
                  </w:r>
                </w:p>
              </w:tc>
              <w:tc>
                <w:tcPr>
                  <w:tcW w:w="3135" w:type="dxa"/>
                  <w:vAlign w:val="center"/>
                </w:tcPr>
                <w:p>
                  <w:pPr>
                    <w:spacing w:line="220" w:lineRule="exact"/>
                    <w:jc w:val="center"/>
                    <w:rPr>
                      <w:rFonts w:cs="Times New Roman"/>
                      <w:b/>
                      <w:bCs/>
                      <w:color w:val="auto"/>
                      <w:sz w:val="18"/>
                      <w:szCs w:val="18"/>
                      <w:u w:val="single"/>
                    </w:rPr>
                  </w:pPr>
                  <w:r>
                    <w:rPr>
                      <w:rFonts w:hint="eastAsia" w:cs="Times New Roman"/>
                      <w:b/>
                      <w:bCs/>
                      <w:color w:val="auto"/>
                      <w:sz w:val="18"/>
                      <w:szCs w:val="18"/>
                      <w:u w:val="single"/>
                    </w:rPr>
                    <w:t>依托厂区现有10</w:t>
                  </w:r>
                  <w:r>
                    <w:rPr>
                      <w:rFonts w:cs="Times New Roman"/>
                      <w:b/>
                      <w:bCs/>
                      <w:color w:val="auto"/>
                      <w:sz w:val="18"/>
                      <w:szCs w:val="18"/>
                      <w:u w:val="single"/>
                    </w:rPr>
                    <w:t>m</w:t>
                  </w:r>
                  <w:r>
                    <w:rPr>
                      <w:rFonts w:cs="Times New Roman"/>
                      <w:b/>
                      <w:bCs/>
                      <w:color w:val="auto"/>
                      <w:sz w:val="18"/>
                      <w:szCs w:val="18"/>
                      <w:u w:val="single"/>
                      <w:vertAlign w:val="superscript"/>
                    </w:rPr>
                    <w:t>3</w:t>
                  </w:r>
                  <w:r>
                    <w:rPr>
                      <w:rFonts w:cs="Times New Roman"/>
                      <w:b/>
                      <w:bCs/>
                      <w:color w:val="auto"/>
                      <w:sz w:val="18"/>
                      <w:szCs w:val="18"/>
                      <w:u w:val="single"/>
                    </w:rPr>
                    <w:t>化粪池</w:t>
                  </w:r>
                </w:p>
              </w:tc>
              <w:tc>
                <w:tcPr>
                  <w:tcW w:w="976" w:type="dxa"/>
                  <w:tcMar>
                    <w:top w:w="85" w:type="dxa"/>
                    <w:bottom w:w="85" w:type="dxa"/>
                  </w:tcMar>
                  <w:vAlign w:val="center"/>
                </w:tcPr>
                <w:p>
                  <w:pPr>
                    <w:spacing w:line="220" w:lineRule="exact"/>
                    <w:jc w:val="center"/>
                    <w:rPr>
                      <w:rFonts w:cs="Times New Roman"/>
                      <w:b/>
                      <w:bCs/>
                      <w:color w:val="auto"/>
                      <w:sz w:val="18"/>
                      <w:szCs w:val="18"/>
                      <w:u w:val="single"/>
                    </w:rPr>
                  </w:pPr>
                  <w:r>
                    <w:rPr>
                      <w:rFonts w:hint="eastAsia" w:cs="Times New Roman"/>
                      <w:b/>
                      <w:bCs/>
                      <w:color w:val="auto"/>
                      <w:sz w:val="18"/>
                      <w:szCs w:val="18"/>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68"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3</w:t>
                  </w:r>
                </w:p>
              </w:tc>
              <w:tc>
                <w:tcPr>
                  <w:tcW w:w="602"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噪声治理</w:t>
                  </w:r>
                </w:p>
              </w:tc>
              <w:tc>
                <w:tcPr>
                  <w:tcW w:w="1800"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气动升降乳化机、半自动涂覆机、纯净水机等设备运行</w:t>
                  </w:r>
                </w:p>
              </w:tc>
              <w:tc>
                <w:tcPr>
                  <w:tcW w:w="160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噪声</w:t>
                  </w:r>
                </w:p>
              </w:tc>
              <w:tc>
                <w:tcPr>
                  <w:tcW w:w="313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室内布置、减振基础、隔音等</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68"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4</w:t>
                  </w:r>
                </w:p>
              </w:tc>
              <w:tc>
                <w:tcPr>
                  <w:tcW w:w="602"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固废治理</w:t>
                  </w:r>
                </w:p>
              </w:tc>
              <w:tc>
                <w:tcPr>
                  <w:tcW w:w="1800" w:type="dxa"/>
                  <w:vMerge w:val="restart"/>
                  <w:vAlign w:val="center"/>
                </w:tcPr>
                <w:p>
                  <w:pPr>
                    <w:pStyle w:val="75"/>
                    <w:snapToGrid w:val="0"/>
                    <w:spacing w:line="220" w:lineRule="exact"/>
                    <w:jc w:val="center"/>
                    <w:rPr>
                      <w:rFonts w:ascii="Times New Roman" w:eastAsia="宋体" w:cs="Times New Roman"/>
                      <w:b/>
                      <w:bCs/>
                      <w:color w:val="auto"/>
                      <w:spacing w:val="-8"/>
                      <w:sz w:val="18"/>
                      <w:szCs w:val="18"/>
                      <w:u w:val="single"/>
                    </w:rPr>
                  </w:pPr>
                  <w:r>
                    <w:rPr>
                      <w:rFonts w:hint="eastAsia" w:ascii="Times New Roman" w:eastAsia="宋体" w:cs="Times New Roman"/>
                      <w:b/>
                      <w:bCs/>
                      <w:color w:val="auto"/>
                      <w:spacing w:val="-8"/>
                      <w:sz w:val="18"/>
                      <w:szCs w:val="18"/>
                      <w:u w:val="single"/>
                    </w:rPr>
                    <w:t>原料拆装</w:t>
                  </w:r>
                </w:p>
              </w:tc>
              <w:tc>
                <w:tcPr>
                  <w:tcW w:w="160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废包装袋</w:t>
                  </w:r>
                </w:p>
              </w:tc>
              <w:tc>
                <w:tcPr>
                  <w:tcW w:w="313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一般固废暂存间（</w:t>
                  </w:r>
                  <w:r>
                    <w:rPr>
                      <w:rFonts w:hint="eastAsia" w:ascii="Times New Roman" w:eastAsia="宋体" w:cs="Times New Roman"/>
                      <w:b/>
                      <w:bCs/>
                      <w:color w:val="auto"/>
                      <w:sz w:val="18"/>
                      <w:szCs w:val="18"/>
                      <w:u w:val="single"/>
                    </w:rPr>
                    <w:t>5</w:t>
                  </w:r>
                  <w:r>
                    <w:rPr>
                      <w:rFonts w:ascii="Times New Roman" w:eastAsia="宋体" w:cs="Times New Roman"/>
                      <w:b/>
                      <w:bCs/>
                      <w:color w:val="auto"/>
                      <w:sz w:val="18"/>
                      <w:szCs w:val="18"/>
                      <w:u w:val="single"/>
                    </w:rPr>
                    <w:t>m</w:t>
                  </w:r>
                  <w:r>
                    <w:rPr>
                      <w:rFonts w:ascii="Times New Roman" w:eastAsia="宋体" w:cs="Times New Roman"/>
                      <w:b/>
                      <w:bCs/>
                      <w:color w:val="auto"/>
                      <w:sz w:val="18"/>
                      <w:szCs w:val="18"/>
                      <w:u w:val="single"/>
                      <w:vertAlign w:val="superscript"/>
                    </w:rPr>
                    <w:t>2</w:t>
                  </w:r>
                  <w:r>
                    <w:rPr>
                      <w:rFonts w:ascii="Times New Roman" w:eastAsia="宋体" w:cs="Times New Roman"/>
                      <w:b/>
                      <w:bCs/>
                      <w:color w:val="auto"/>
                      <w:sz w:val="18"/>
                      <w:szCs w:val="18"/>
                      <w:u w:val="single"/>
                    </w:rPr>
                    <w:t>）</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Merge w:val="continue"/>
                  <w:vAlign w:val="center"/>
                </w:tcPr>
                <w:p>
                  <w:pPr>
                    <w:pStyle w:val="75"/>
                    <w:snapToGrid w:val="0"/>
                    <w:spacing w:line="220" w:lineRule="exact"/>
                    <w:jc w:val="center"/>
                    <w:rPr>
                      <w:rFonts w:ascii="Times New Roman" w:eastAsia="宋体" w:cs="Times New Roman"/>
                      <w:b/>
                      <w:bCs/>
                      <w:color w:val="auto"/>
                      <w:spacing w:val="-8"/>
                      <w:sz w:val="18"/>
                      <w:szCs w:val="18"/>
                      <w:u w:val="single"/>
                    </w:rPr>
                  </w:pPr>
                </w:p>
              </w:tc>
              <w:tc>
                <w:tcPr>
                  <w:tcW w:w="160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费包装容器（硝酸、贵金属）</w:t>
                  </w:r>
                </w:p>
              </w:tc>
              <w:tc>
                <w:tcPr>
                  <w:tcW w:w="3135" w:type="dxa"/>
                  <w:vMerge w:val="restart"/>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危险废物暂存间</w:t>
                  </w:r>
                  <w:r>
                    <w:rPr>
                      <w:rFonts w:ascii="Times New Roman" w:eastAsia="宋体" w:cs="Times New Roman"/>
                      <w:b/>
                      <w:bCs/>
                      <w:color w:val="auto"/>
                      <w:sz w:val="18"/>
                      <w:szCs w:val="18"/>
                      <w:u w:val="single"/>
                    </w:rPr>
                    <w:t>（</w:t>
                  </w:r>
                  <w:r>
                    <w:rPr>
                      <w:rFonts w:hint="eastAsia" w:ascii="Times New Roman" w:eastAsia="宋体" w:cs="Times New Roman"/>
                      <w:b/>
                      <w:bCs/>
                      <w:color w:val="auto"/>
                      <w:sz w:val="18"/>
                      <w:szCs w:val="18"/>
                      <w:u w:val="single"/>
                    </w:rPr>
                    <w:t>5</w:t>
                  </w:r>
                  <w:r>
                    <w:rPr>
                      <w:rFonts w:ascii="Times New Roman" w:eastAsia="宋体" w:cs="Times New Roman"/>
                      <w:b/>
                      <w:bCs/>
                      <w:color w:val="auto"/>
                      <w:sz w:val="18"/>
                      <w:szCs w:val="18"/>
                      <w:u w:val="single"/>
                    </w:rPr>
                    <w:t>m</w:t>
                  </w:r>
                  <w:r>
                    <w:rPr>
                      <w:rFonts w:ascii="Times New Roman" w:eastAsia="宋体" w:cs="Times New Roman"/>
                      <w:b/>
                      <w:bCs/>
                      <w:color w:val="auto"/>
                      <w:sz w:val="18"/>
                      <w:szCs w:val="18"/>
                      <w:u w:val="single"/>
                      <w:vertAlign w:val="superscript"/>
                    </w:rPr>
                    <w:t>2</w:t>
                  </w:r>
                  <w:r>
                    <w:rPr>
                      <w:rFonts w:ascii="Times New Roman" w:eastAsia="宋体" w:cs="Times New Roman"/>
                      <w:b/>
                      <w:bCs/>
                      <w:color w:val="auto"/>
                      <w:sz w:val="18"/>
                      <w:szCs w:val="18"/>
                      <w:u w:val="single"/>
                    </w:rPr>
                    <w:t>）</w:t>
                  </w:r>
                </w:p>
              </w:tc>
              <w:tc>
                <w:tcPr>
                  <w:tcW w:w="976" w:type="dxa"/>
                  <w:vMerge w:val="restart"/>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Align w:val="center"/>
                </w:tcPr>
                <w:p>
                  <w:pPr>
                    <w:jc w:val="center"/>
                    <w:rPr>
                      <w:rFonts w:cs="Times New Roman"/>
                      <w:b/>
                      <w:bCs/>
                      <w:color w:val="auto"/>
                      <w:spacing w:val="-8"/>
                      <w:sz w:val="18"/>
                      <w:szCs w:val="18"/>
                      <w:u w:val="single"/>
                    </w:rPr>
                  </w:pPr>
                  <w:r>
                    <w:rPr>
                      <w:rFonts w:hint="eastAsia" w:cs="Times New Roman"/>
                      <w:b/>
                      <w:bCs/>
                      <w:color w:val="auto"/>
                      <w:sz w:val="18"/>
                      <w:szCs w:val="18"/>
                      <w:u w:val="single"/>
                    </w:rPr>
                    <w:t>检验工序</w:t>
                  </w:r>
                </w:p>
              </w:tc>
              <w:tc>
                <w:tcPr>
                  <w:tcW w:w="1605"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不合格产品</w:t>
                  </w:r>
                </w:p>
              </w:tc>
              <w:tc>
                <w:tcPr>
                  <w:tcW w:w="3135" w:type="dxa"/>
                  <w:vMerge w:val="continue"/>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976"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Align w:val="center"/>
                </w:tcPr>
                <w:p>
                  <w:pPr>
                    <w:jc w:val="center"/>
                    <w:rPr>
                      <w:rFonts w:cs="Times New Roman"/>
                      <w:b/>
                      <w:bCs/>
                      <w:color w:val="auto"/>
                      <w:spacing w:val="-8"/>
                      <w:sz w:val="18"/>
                      <w:szCs w:val="18"/>
                      <w:u w:val="single"/>
                    </w:rPr>
                  </w:pPr>
                  <w:r>
                    <w:rPr>
                      <w:rFonts w:hint="eastAsia" w:cs="Times New Roman"/>
                      <w:b/>
                      <w:bCs/>
                      <w:color w:val="auto"/>
                      <w:sz w:val="18"/>
                      <w:szCs w:val="18"/>
                      <w:u w:val="single"/>
                    </w:rPr>
                    <w:t>纯水制备</w:t>
                  </w:r>
                </w:p>
              </w:tc>
              <w:tc>
                <w:tcPr>
                  <w:tcW w:w="1605" w:type="dxa"/>
                  <w:vAlign w:val="center"/>
                </w:tcPr>
                <w:p>
                  <w:pPr>
                    <w:jc w:val="center"/>
                    <w:rPr>
                      <w:rFonts w:cs="Times New Roman"/>
                      <w:b/>
                      <w:bCs/>
                      <w:color w:val="auto"/>
                      <w:sz w:val="18"/>
                      <w:szCs w:val="18"/>
                      <w:u w:val="single"/>
                    </w:rPr>
                  </w:pPr>
                  <w:r>
                    <w:rPr>
                      <w:rFonts w:hint="eastAsia" w:cs="Times New Roman"/>
                      <w:b/>
                      <w:bCs/>
                      <w:color w:val="auto"/>
                      <w:sz w:val="18"/>
                      <w:szCs w:val="18"/>
                      <w:u w:val="single"/>
                    </w:rPr>
                    <w:t>废滤芯、废反渗透膜</w:t>
                  </w:r>
                </w:p>
              </w:tc>
              <w:tc>
                <w:tcPr>
                  <w:tcW w:w="313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由设备厂家定期更换，厂内不暂存</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Align w:val="center"/>
                </w:tcPr>
                <w:p>
                  <w:pPr>
                    <w:jc w:val="center"/>
                    <w:rPr>
                      <w:rFonts w:hint="default"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絮凝沉淀池</w:t>
                  </w:r>
                </w:p>
              </w:tc>
              <w:tc>
                <w:tcPr>
                  <w:tcW w:w="1605" w:type="dxa"/>
                  <w:vAlign w:val="center"/>
                </w:tcPr>
                <w:p>
                  <w:pPr>
                    <w:jc w:val="center"/>
                    <w:rPr>
                      <w:rFonts w:hint="eastAsia" w:eastAsia="宋体" w:cs="Times New Roman"/>
                      <w:b/>
                      <w:bCs/>
                      <w:color w:val="auto"/>
                      <w:sz w:val="18"/>
                      <w:szCs w:val="18"/>
                      <w:u w:val="single"/>
                      <w:lang w:val="en-US" w:eastAsia="zh-CN"/>
                    </w:rPr>
                  </w:pPr>
                  <w:r>
                    <w:rPr>
                      <w:rFonts w:hint="eastAsia" w:cs="Times New Roman"/>
                      <w:b/>
                      <w:bCs/>
                      <w:color w:val="auto"/>
                      <w:sz w:val="18"/>
                      <w:szCs w:val="18"/>
                      <w:u w:val="single"/>
                      <w:lang w:val="en-US" w:eastAsia="zh-CN"/>
                    </w:rPr>
                    <w:t>污泥</w:t>
                  </w:r>
                </w:p>
              </w:tc>
              <w:tc>
                <w:tcPr>
                  <w:tcW w:w="3135" w:type="dxa"/>
                  <w:vAlign w:val="center"/>
                </w:tcPr>
                <w:p>
                  <w:pPr>
                    <w:pStyle w:val="75"/>
                    <w:snapToGrid w:val="0"/>
                    <w:spacing w:line="220" w:lineRule="exact"/>
                    <w:jc w:val="center"/>
                    <w:rPr>
                      <w:rFonts w:hint="default" w:ascii="Times New Roman" w:eastAsia="宋体" w:cs="Times New Roman"/>
                      <w:b/>
                      <w:bCs/>
                      <w:color w:val="auto"/>
                      <w:sz w:val="18"/>
                      <w:szCs w:val="18"/>
                      <w:u w:val="single"/>
                      <w:lang w:val="en-US" w:eastAsia="zh-CN"/>
                    </w:rPr>
                  </w:pPr>
                  <w:r>
                    <w:rPr>
                      <w:rFonts w:hint="eastAsia" w:ascii="Times New Roman" w:eastAsia="宋体" w:cs="Times New Roman"/>
                      <w:b/>
                      <w:bCs/>
                      <w:color w:val="auto"/>
                      <w:sz w:val="18"/>
                      <w:szCs w:val="18"/>
                      <w:u w:val="single"/>
                      <w:lang w:val="en-US" w:eastAsia="zh-CN"/>
                    </w:rPr>
                    <w:t>定期交由环卫部门处理</w:t>
                  </w:r>
                </w:p>
              </w:tc>
              <w:tc>
                <w:tcPr>
                  <w:tcW w:w="976" w:type="dxa"/>
                  <w:tcMar>
                    <w:top w:w="85" w:type="dxa"/>
                    <w:bottom w:w="85" w:type="dxa"/>
                  </w:tcMar>
                  <w:vAlign w:val="center"/>
                </w:tcPr>
                <w:p>
                  <w:pPr>
                    <w:pStyle w:val="75"/>
                    <w:snapToGrid w:val="0"/>
                    <w:spacing w:line="220" w:lineRule="exact"/>
                    <w:jc w:val="center"/>
                    <w:rPr>
                      <w:rFonts w:hint="eastAsia" w:ascii="Times New Roman" w:eastAsia="宋体" w:cs="Times New Roman"/>
                      <w:b/>
                      <w:bCs/>
                      <w:color w:val="auto"/>
                      <w:sz w:val="18"/>
                      <w:szCs w:val="18"/>
                      <w:u w:val="single"/>
                      <w:lang w:val="en-US" w:eastAsia="zh-CN"/>
                    </w:rPr>
                  </w:pPr>
                  <w:r>
                    <w:rPr>
                      <w:rFonts w:hint="eastAsia" w:ascii="Times New Roman" w:eastAsia="宋体" w:cs="Times New Roman"/>
                      <w:b/>
                      <w:bCs/>
                      <w:color w:val="auto"/>
                      <w:sz w:val="18"/>
                      <w:szCs w:val="18"/>
                      <w:u w:val="singl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602" w:type="dxa"/>
                  <w:vMerge w:val="continue"/>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p>
              </w:tc>
              <w:tc>
                <w:tcPr>
                  <w:tcW w:w="1800"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职工生活</w:t>
                  </w:r>
                </w:p>
              </w:tc>
              <w:tc>
                <w:tcPr>
                  <w:tcW w:w="160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生活垃圾</w:t>
                  </w:r>
                </w:p>
              </w:tc>
              <w:tc>
                <w:tcPr>
                  <w:tcW w:w="313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垃圾箱若干</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5</w:t>
                  </w:r>
                </w:p>
              </w:tc>
              <w:tc>
                <w:tcPr>
                  <w:tcW w:w="4007" w:type="dxa"/>
                  <w:gridSpan w:val="3"/>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环境管理</w:t>
                  </w:r>
                </w:p>
              </w:tc>
              <w:tc>
                <w:tcPr>
                  <w:tcW w:w="3135" w:type="dxa"/>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b/>
                      <w:bCs/>
                      <w:color w:val="auto"/>
                      <w:sz w:val="18"/>
                      <w:szCs w:val="18"/>
                      <w:u w:val="single"/>
                    </w:rPr>
                    <w:t>在总用电控制位置、主要生产设施和污染治理设施安装用电量监控系统终端</w:t>
                  </w:r>
                  <w:r>
                    <w:rPr>
                      <w:rFonts w:ascii="Times New Roman"/>
                      <w:b/>
                      <w:bCs/>
                      <w:color w:val="auto"/>
                      <w:sz w:val="18"/>
                      <w:szCs w:val="18"/>
                      <w:u w:val="single"/>
                    </w:rPr>
                    <w:t>。</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68"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6</w:t>
                  </w:r>
                </w:p>
              </w:tc>
              <w:tc>
                <w:tcPr>
                  <w:tcW w:w="7142" w:type="dxa"/>
                  <w:gridSpan w:val="4"/>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ascii="Times New Roman" w:eastAsia="宋体" w:cs="Times New Roman"/>
                      <w:b/>
                      <w:bCs/>
                      <w:color w:val="auto"/>
                      <w:sz w:val="18"/>
                      <w:szCs w:val="18"/>
                      <w:u w:val="single"/>
                    </w:rPr>
                    <w:t>合计</w:t>
                  </w:r>
                </w:p>
              </w:tc>
              <w:tc>
                <w:tcPr>
                  <w:tcW w:w="976" w:type="dxa"/>
                  <w:tcMar>
                    <w:top w:w="85" w:type="dxa"/>
                    <w:bottom w:w="85" w:type="dxa"/>
                  </w:tcMar>
                  <w:vAlign w:val="center"/>
                </w:tcPr>
                <w:p>
                  <w:pPr>
                    <w:pStyle w:val="75"/>
                    <w:snapToGrid w:val="0"/>
                    <w:spacing w:line="220" w:lineRule="exact"/>
                    <w:jc w:val="center"/>
                    <w:rPr>
                      <w:rFonts w:ascii="Times New Roman" w:eastAsia="宋体" w:cs="Times New Roman"/>
                      <w:b/>
                      <w:bCs/>
                      <w:color w:val="auto"/>
                      <w:sz w:val="18"/>
                      <w:szCs w:val="18"/>
                      <w:u w:val="single"/>
                    </w:rPr>
                  </w:pPr>
                  <w:r>
                    <w:rPr>
                      <w:rFonts w:hint="eastAsia" w:ascii="Times New Roman" w:eastAsia="宋体" w:cs="Times New Roman"/>
                      <w:b/>
                      <w:bCs/>
                      <w:color w:val="auto"/>
                      <w:sz w:val="18"/>
                      <w:szCs w:val="18"/>
                      <w:u w:val="single"/>
                    </w:rPr>
                    <w:t>10.5</w:t>
                  </w:r>
                </w:p>
              </w:tc>
            </w:tr>
          </w:tbl>
          <w:p>
            <w:pPr>
              <w:widowControl/>
              <w:adjustRightInd w:val="0"/>
              <w:snapToGrid w:val="0"/>
              <w:spacing w:line="360" w:lineRule="auto"/>
              <w:jc w:val="left"/>
              <w:rPr>
                <w:rFonts w:cs="Times New Roman"/>
                <w:color w:val="auto"/>
                <w:sz w:val="24"/>
                <w:szCs w:val="24"/>
              </w:rPr>
            </w:pPr>
            <w:r>
              <w:rPr>
                <w:rFonts w:cs="Times New Roman"/>
                <w:color w:val="auto"/>
                <w:sz w:val="24"/>
                <w:szCs w:val="24"/>
              </w:rPr>
              <w:t xml:space="preserve"> </w:t>
            </w:r>
            <w:r>
              <w:rPr>
                <w:rFonts w:eastAsia="黑体" w:cs="Times New Roman"/>
                <w:bCs/>
                <w:color w:val="auto"/>
                <w:szCs w:val="28"/>
              </w:rPr>
              <w:t>八、污染防治措施及验收指标</w:t>
            </w:r>
          </w:p>
          <w:p>
            <w:pPr>
              <w:pStyle w:val="2"/>
              <w:adjustRightInd w:val="0"/>
              <w:snapToGrid w:val="0"/>
              <w:rPr>
                <w:rFonts w:cs="Times New Roman"/>
                <w:b/>
                <w:color w:val="auto"/>
                <w:szCs w:val="24"/>
              </w:rPr>
            </w:pPr>
            <w:r>
              <w:rPr>
                <w:rFonts w:cs="Times New Roman"/>
                <w:color w:val="auto"/>
                <w:szCs w:val="24"/>
              </w:rPr>
              <w:t>本项目污染防治措施及环保验收指标见表</w:t>
            </w:r>
            <w:r>
              <w:rPr>
                <w:rFonts w:hint="eastAsia" w:cs="Times New Roman"/>
                <w:color w:val="auto"/>
                <w:szCs w:val="24"/>
              </w:rPr>
              <w:t>58</w:t>
            </w:r>
            <w:r>
              <w:rPr>
                <w:rFonts w:cs="Times New Roman"/>
                <w:color w:val="auto"/>
                <w:szCs w:val="24"/>
              </w:rPr>
              <w:t>。</w:t>
            </w:r>
          </w:p>
          <w:p>
            <w:pPr>
              <w:pStyle w:val="21"/>
              <w:ind w:firstLine="420"/>
              <w:rPr>
                <w:color w:val="auto"/>
              </w:rPr>
            </w:pPr>
            <w:r>
              <w:rPr>
                <w:rFonts w:hint="eastAsia"/>
                <w:color w:val="auto"/>
              </w:rPr>
              <w:t xml:space="preserve">        </w:t>
            </w:r>
            <w:r>
              <w:rPr>
                <w:color w:val="auto"/>
              </w:rPr>
              <w:t>本项目污染物防治措施及验收指标一览表</w:t>
            </w:r>
          </w:p>
          <w:tbl>
            <w:tblPr>
              <w:tblStyle w:val="26"/>
              <w:tblW w:w="875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32"/>
              <w:gridCol w:w="810"/>
              <w:gridCol w:w="1359"/>
              <w:gridCol w:w="2970"/>
              <w:gridCol w:w="308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532"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序号</w:t>
                  </w:r>
                </w:p>
              </w:tc>
              <w:tc>
                <w:tcPr>
                  <w:tcW w:w="81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污染</w:t>
                  </w:r>
                </w:p>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类别</w:t>
                  </w:r>
                </w:p>
              </w:tc>
              <w:tc>
                <w:tcPr>
                  <w:tcW w:w="1359"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治理内容</w:t>
                  </w:r>
                </w:p>
              </w:tc>
              <w:tc>
                <w:tcPr>
                  <w:tcW w:w="297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环保设施</w:t>
                  </w:r>
                </w:p>
              </w:tc>
              <w:tc>
                <w:tcPr>
                  <w:tcW w:w="3087"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验收指标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2" w:type="dxa"/>
                  <w:vMerge w:val="restart"/>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1</w:t>
                  </w:r>
                </w:p>
              </w:tc>
              <w:tc>
                <w:tcPr>
                  <w:tcW w:w="810" w:type="dxa"/>
                  <w:vMerge w:val="restart"/>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废气</w:t>
                  </w:r>
                </w:p>
              </w:tc>
              <w:tc>
                <w:tcPr>
                  <w:tcW w:w="1359" w:type="dxa"/>
                  <w:tcMar>
                    <w:top w:w="85" w:type="dxa"/>
                    <w:bottom w:w="85" w:type="dxa"/>
                  </w:tcMar>
                  <w:vAlign w:val="center"/>
                </w:tcPr>
                <w:p>
                  <w:pPr>
                    <w:adjustRightInd w:val="0"/>
                    <w:snapToGrid w:val="0"/>
                    <w:spacing w:line="220" w:lineRule="exact"/>
                    <w:jc w:val="center"/>
                    <w:rPr>
                      <w:rFonts w:cs="Times New Roman"/>
                      <w:color w:val="auto"/>
                      <w:sz w:val="18"/>
                      <w:szCs w:val="18"/>
                    </w:rPr>
                  </w:pPr>
                  <w:r>
                    <w:rPr>
                      <w:rFonts w:hint="eastAsia" w:cs="Times New Roman"/>
                      <w:color w:val="auto"/>
                      <w:sz w:val="18"/>
                      <w:szCs w:val="18"/>
                    </w:rPr>
                    <w:t>颗粒物</w:t>
                  </w:r>
                </w:p>
              </w:tc>
              <w:tc>
                <w:tcPr>
                  <w:tcW w:w="2970" w:type="dxa"/>
                  <w:tcMar>
                    <w:top w:w="85" w:type="dxa"/>
                    <w:bottom w:w="85" w:type="dxa"/>
                  </w:tcMar>
                  <w:vAlign w:val="center"/>
                </w:tcPr>
                <w:p>
                  <w:pPr>
                    <w:adjustRightInd w:val="0"/>
                    <w:snapToGrid w:val="0"/>
                    <w:spacing w:line="220" w:lineRule="exact"/>
                    <w:jc w:val="center"/>
                    <w:rPr>
                      <w:rFonts w:cs="Times New Roman"/>
                      <w:color w:val="auto"/>
                      <w:sz w:val="18"/>
                      <w:szCs w:val="18"/>
                    </w:rPr>
                  </w:pPr>
                  <w:r>
                    <w:rPr>
                      <w:rFonts w:hint="eastAsia" w:cs="Times New Roman"/>
                      <w:color w:val="auto"/>
                      <w:sz w:val="18"/>
                      <w:szCs w:val="18"/>
                    </w:rPr>
                    <w:t>密闭配料间+袋式除尘器+15m高排气筒</w:t>
                  </w:r>
                </w:p>
              </w:tc>
              <w:tc>
                <w:tcPr>
                  <w:tcW w:w="3087" w:type="dxa"/>
                  <w:tcMar>
                    <w:top w:w="85" w:type="dxa"/>
                    <w:bottom w:w="85" w:type="dxa"/>
                  </w:tcMar>
                </w:tcPr>
                <w:p>
                  <w:pPr>
                    <w:spacing w:line="220" w:lineRule="exact"/>
                    <w:jc w:val="center"/>
                    <w:rPr>
                      <w:rFonts w:cs="Times New Roman"/>
                      <w:color w:val="auto"/>
                      <w:sz w:val="18"/>
                      <w:szCs w:val="18"/>
                    </w:rPr>
                  </w:pPr>
                  <w:r>
                    <w:rPr>
                      <w:rFonts w:cs="Times New Roman"/>
                      <w:color w:val="auto"/>
                      <w:sz w:val="18"/>
                      <w:szCs w:val="18"/>
                    </w:rPr>
                    <w:t>满足《</w:t>
                  </w:r>
                  <w:r>
                    <w:rPr>
                      <w:rFonts w:hint="eastAsia" w:cs="Times New Roman"/>
                      <w:color w:val="auto"/>
                      <w:sz w:val="18"/>
                      <w:szCs w:val="18"/>
                    </w:rPr>
                    <w:t>大气</w:t>
                  </w:r>
                  <w:r>
                    <w:rPr>
                      <w:rFonts w:cs="Times New Roman"/>
                      <w:color w:val="auto"/>
                      <w:sz w:val="18"/>
                      <w:szCs w:val="18"/>
                    </w:rPr>
                    <w:t>污染物</w:t>
                  </w:r>
                  <w:r>
                    <w:rPr>
                      <w:rFonts w:hint="eastAsia" w:cs="Times New Roman"/>
                      <w:color w:val="auto"/>
                      <w:sz w:val="18"/>
                      <w:szCs w:val="18"/>
                    </w:rPr>
                    <w:t>综合</w:t>
                  </w:r>
                  <w:r>
                    <w:rPr>
                      <w:rFonts w:cs="Times New Roman"/>
                      <w:color w:val="auto"/>
                      <w:sz w:val="18"/>
                      <w:szCs w:val="18"/>
                    </w:rPr>
                    <w:t>排放标准》（GB</w:t>
                  </w:r>
                  <w:r>
                    <w:rPr>
                      <w:rFonts w:hint="eastAsia" w:cs="Times New Roman"/>
                      <w:color w:val="auto"/>
                      <w:sz w:val="18"/>
                      <w:szCs w:val="18"/>
                    </w:rPr>
                    <w:t>16297-1996</w:t>
                  </w:r>
                  <w:r>
                    <w:rPr>
                      <w:rFonts w:cs="Times New Roman"/>
                      <w:color w:val="auto"/>
                      <w:sz w:val="18"/>
                      <w:szCs w:val="18"/>
                    </w:rPr>
                    <w:t>）</w:t>
                  </w:r>
                  <w:r>
                    <w:rPr>
                      <w:rFonts w:hint="eastAsia" w:cs="Times New Roman"/>
                      <w:color w:val="auto"/>
                      <w:sz w:val="18"/>
                      <w:szCs w:val="18"/>
                    </w:rPr>
                    <w:t>表2二级标准</w:t>
                  </w:r>
                  <w:r>
                    <w:rPr>
                      <w:rFonts w:cs="Times New Roman"/>
                      <w:color w:val="auto"/>
                      <w:sz w:val="18"/>
                      <w:szCs w:val="18"/>
                    </w:rPr>
                    <w:t>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532" w:type="dxa"/>
                  <w:vMerge w:val="continue"/>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tc>
              <w:tc>
                <w:tcPr>
                  <w:tcW w:w="810" w:type="dxa"/>
                  <w:vMerge w:val="continue"/>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tc>
              <w:tc>
                <w:tcPr>
                  <w:tcW w:w="1359" w:type="dxa"/>
                  <w:tcMar>
                    <w:top w:w="85" w:type="dxa"/>
                    <w:bottom w:w="85" w:type="dxa"/>
                  </w:tcMar>
                  <w:vAlign w:val="center"/>
                </w:tcPr>
                <w:p>
                  <w:pPr>
                    <w:adjustRightInd w:val="0"/>
                    <w:snapToGrid w:val="0"/>
                    <w:spacing w:line="220" w:lineRule="exact"/>
                    <w:jc w:val="center"/>
                    <w:rPr>
                      <w:rFonts w:cs="Times New Roman"/>
                      <w:color w:val="auto"/>
                      <w:sz w:val="18"/>
                      <w:szCs w:val="18"/>
                    </w:rPr>
                  </w:pPr>
                  <w:r>
                    <w:rPr>
                      <w:rFonts w:hint="eastAsia" w:cs="Times New Roman"/>
                      <w:color w:val="auto"/>
                      <w:sz w:val="18"/>
                      <w:szCs w:val="18"/>
                    </w:rPr>
                    <w:t>NO</w:t>
                  </w:r>
                  <w:r>
                    <w:rPr>
                      <w:rFonts w:hint="eastAsia" w:cs="Times New Roman"/>
                      <w:color w:val="auto"/>
                      <w:sz w:val="18"/>
                      <w:szCs w:val="18"/>
                      <w:vertAlign w:val="subscript"/>
                    </w:rPr>
                    <w:t>2</w:t>
                  </w:r>
                </w:p>
              </w:tc>
              <w:tc>
                <w:tcPr>
                  <w:tcW w:w="2970" w:type="dxa"/>
                  <w:tcMar>
                    <w:top w:w="85" w:type="dxa"/>
                    <w:bottom w:w="85" w:type="dxa"/>
                  </w:tcMar>
                  <w:vAlign w:val="center"/>
                </w:tcPr>
                <w:p>
                  <w:pPr>
                    <w:adjustRightInd w:val="0"/>
                    <w:snapToGrid w:val="0"/>
                    <w:spacing w:line="220" w:lineRule="exact"/>
                    <w:jc w:val="center"/>
                    <w:rPr>
                      <w:rFonts w:cs="Times New Roman"/>
                      <w:color w:val="auto"/>
                      <w:sz w:val="18"/>
                      <w:szCs w:val="18"/>
                    </w:rPr>
                  </w:pPr>
                  <w:r>
                    <w:rPr>
                      <w:rFonts w:hint="eastAsia" w:cs="Times New Roman"/>
                      <w:color w:val="auto"/>
                      <w:sz w:val="18"/>
                      <w:szCs w:val="18"/>
                      <w:lang w:eastAsia="zh-CN"/>
                    </w:rPr>
                    <w:t>碱液喷淋</w:t>
                  </w:r>
                  <w:r>
                    <w:rPr>
                      <w:rFonts w:hint="eastAsia" w:cs="Times New Roman"/>
                      <w:color w:val="auto"/>
                      <w:sz w:val="18"/>
                      <w:szCs w:val="18"/>
                    </w:rPr>
                    <w:t>塔+15m高排气筒</w:t>
                  </w:r>
                </w:p>
              </w:tc>
              <w:tc>
                <w:tcPr>
                  <w:tcW w:w="3087" w:type="dxa"/>
                  <w:tcMar>
                    <w:top w:w="85" w:type="dxa"/>
                    <w:bottom w:w="85" w:type="dxa"/>
                  </w:tcMar>
                </w:tcPr>
                <w:p>
                  <w:pPr>
                    <w:spacing w:line="220" w:lineRule="exact"/>
                    <w:jc w:val="center"/>
                    <w:rPr>
                      <w:rFonts w:cs="Times New Roman"/>
                      <w:color w:val="auto"/>
                      <w:sz w:val="18"/>
                      <w:szCs w:val="18"/>
                    </w:rPr>
                  </w:pPr>
                  <w:r>
                    <w:rPr>
                      <w:rFonts w:hint="eastAsia" w:cs="Times New Roman"/>
                      <w:color w:val="auto"/>
                      <w:sz w:val="18"/>
                      <w:szCs w:val="18"/>
                      <w:lang w:val="en-US" w:eastAsia="zh-CN"/>
                    </w:rPr>
                    <w:t>满足河南省</w:t>
                  </w:r>
                  <w:r>
                    <w:rPr>
                      <w:rFonts w:hint="eastAsia" w:cs="Times New Roman"/>
                      <w:color w:val="auto"/>
                      <w:sz w:val="18"/>
                      <w:szCs w:val="18"/>
                      <w:lang w:eastAsia="zh-CN"/>
                    </w:rPr>
                    <w:t>《</w:t>
                  </w:r>
                  <w:r>
                    <w:rPr>
                      <w:rFonts w:hint="eastAsia" w:cs="Times New Roman"/>
                      <w:color w:val="auto"/>
                      <w:sz w:val="18"/>
                      <w:szCs w:val="18"/>
                      <w:lang w:val="en-US" w:eastAsia="zh-CN"/>
                    </w:rPr>
                    <w:t>工业炉窑大气污染物排放标准</w:t>
                  </w:r>
                  <w:r>
                    <w:rPr>
                      <w:rFonts w:hint="eastAsia" w:cs="Times New Roman"/>
                      <w:color w:val="auto"/>
                      <w:sz w:val="18"/>
                      <w:szCs w:val="18"/>
                      <w:lang w:eastAsia="zh-CN"/>
                    </w:rPr>
                    <w:t>》（</w:t>
                  </w:r>
                  <w:r>
                    <w:rPr>
                      <w:rFonts w:hint="eastAsia" w:cs="Times New Roman"/>
                      <w:color w:val="auto"/>
                      <w:sz w:val="18"/>
                      <w:szCs w:val="18"/>
                      <w:lang w:val="en-US" w:eastAsia="zh-CN"/>
                    </w:rPr>
                    <w:t>DB41/1066-2015</w:t>
                  </w:r>
                  <w:r>
                    <w:rPr>
                      <w:rFonts w:hint="eastAsia" w:cs="Times New Roman"/>
                      <w:color w:val="auto"/>
                      <w:sz w:val="18"/>
                      <w:szCs w:val="18"/>
                      <w:lang w:eastAsia="zh-CN"/>
                    </w:rPr>
                    <w:t>）</w:t>
                  </w:r>
                  <w:r>
                    <w:rPr>
                      <w:rFonts w:hint="eastAsia" w:cs="Times New Roman"/>
                      <w:color w:val="auto"/>
                      <w:sz w:val="18"/>
                      <w:szCs w:val="18"/>
                      <w:lang w:val="en-US" w:eastAsia="zh-CN"/>
                    </w:rPr>
                    <w:t>及</w:t>
                  </w:r>
                  <w:r>
                    <w:rPr>
                      <w:rFonts w:cs="Times New Roman"/>
                      <w:color w:val="auto"/>
                      <w:sz w:val="18"/>
                      <w:szCs w:val="18"/>
                    </w:rPr>
                    <w:t>《新乡市环境污染攻坚战三年行动实施方案》（2018-2020）</w:t>
                  </w:r>
                  <w:r>
                    <w:rPr>
                      <w:rFonts w:hint="eastAsia" w:cs="Times New Roman"/>
                      <w:color w:val="auto"/>
                      <w:sz w:val="18"/>
                      <w:szCs w:val="18"/>
                    </w:rPr>
                    <w:t>要求颗粒物、二氧化硫、氮氧化物排放限值分别不高于 30 毫克/立方米、200 毫克/立方米、300 毫克/立方米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532" w:type="dxa"/>
                  <w:vMerge w:val="restart"/>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2</w:t>
                  </w:r>
                </w:p>
              </w:tc>
              <w:tc>
                <w:tcPr>
                  <w:tcW w:w="810" w:type="dxa"/>
                  <w:vMerge w:val="restart"/>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废水</w:t>
                  </w:r>
                </w:p>
              </w:tc>
              <w:tc>
                <w:tcPr>
                  <w:tcW w:w="1359" w:type="dxa"/>
                  <w:tcMar>
                    <w:top w:w="85" w:type="dxa"/>
                    <w:bottom w:w="85" w:type="dxa"/>
                  </w:tcMar>
                  <w:vAlign w:val="center"/>
                </w:tcPr>
                <w:p>
                  <w:pPr>
                    <w:pStyle w:val="75"/>
                    <w:snapToGrid w:val="0"/>
                    <w:spacing w:line="220" w:lineRule="exact"/>
                    <w:jc w:val="center"/>
                    <w:rPr>
                      <w:rFonts w:hint="default" w:ascii="Times New Roman" w:eastAsia="宋体" w:cs="Times New Roman"/>
                      <w:color w:val="auto"/>
                      <w:sz w:val="18"/>
                      <w:szCs w:val="18"/>
                      <w:lang w:val="en-US" w:eastAsia="zh-CN"/>
                    </w:rPr>
                  </w:pPr>
                  <w:r>
                    <w:rPr>
                      <w:rFonts w:hint="eastAsia" w:ascii="Times New Roman" w:eastAsia="宋体" w:cs="Times New Roman"/>
                      <w:color w:val="auto"/>
                      <w:sz w:val="18"/>
                      <w:szCs w:val="18"/>
                      <w:lang w:val="en-US" w:eastAsia="zh-CN"/>
                    </w:rPr>
                    <w:t>喷淋废水</w:t>
                  </w:r>
                </w:p>
              </w:tc>
              <w:tc>
                <w:tcPr>
                  <w:tcW w:w="2970" w:type="dxa"/>
                  <w:tcMar>
                    <w:top w:w="85" w:type="dxa"/>
                    <w:bottom w:w="85" w:type="dxa"/>
                  </w:tcMar>
                  <w:vAlign w:val="center"/>
                </w:tcPr>
                <w:p>
                  <w:pPr>
                    <w:pStyle w:val="75"/>
                    <w:snapToGrid w:val="0"/>
                    <w:spacing w:line="220" w:lineRule="exact"/>
                    <w:jc w:val="center"/>
                    <w:rPr>
                      <w:rFonts w:hint="default" w:ascii="Times New Roman" w:eastAsia="宋体" w:cs="Times New Roman"/>
                      <w:color w:val="auto"/>
                      <w:sz w:val="18"/>
                      <w:szCs w:val="18"/>
                      <w:lang w:val="en-US" w:eastAsia="zh-CN"/>
                    </w:rPr>
                  </w:pPr>
                  <w:r>
                    <w:rPr>
                      <w:rFonts w:hint="eastAsia" w:ascii="Times New Roman" w:eastAsia="宋体" w:cs="Times New Roman"/>
                      <w:color w:val="auto"/>
                      <w:sz w:val="18"/>
                      <w:szCs w:val="18"/>
                      <w:lang w:val="en-US" w:eastAsia="zh-CN"/>
                    </w:rPr>
                    <w:t>1m</w:t>
                  </w:r>
                  <w:r>
                    <w:rPr>
                      <w:rFonts w:hint="eastAsia" w:ascii="Times New Roman" w:eastAsia="宋体" w:cs="Times New Roman"/>
                      <w:color w:val="auto"/>
                      <w:sz w:val="18"/>
                      <w:szCs w:val="18"/>
                      <w:vertAlign w:val="superscript"/>
                      <w:lang w:val="en-US" w:eastAsia="zh-CN"/>
                    </w:rPr>
                    <w:t>3</w:t>
                  </w:r>
                  <w:r>
                    <w:rPr>
                      <w:rFonts w:hint="eastAsia" w:ascii="Times New Roman" w:eastAsia="宋体" w:cs="Times New Roman"/>
                      <w:color w:val="auto"/>
                      <w:sz w:val="18"/>
                      <w:szCs w:val="18"/>
                      <w:lang w:val="en-US" w:eastAsia="zh-CN"/>
                    </w:rPr>
                    <w:t>絮凝沉淀池</w:t>
                  </w:r>
                </w:p>
              </w:tc>
              <w:tc>
                <w:tcPr>
                  <w:tcW w:w="3087" w:type="dxa"/>
                  <w:tcMar>
                    <w:top w:w="85" w:type="dxa"/>
                    <w:bottom w:w="85" w:type="dxa"/>
                  </w:tcMar>
                  <w:vAlign w:val="center"/>
                </w:tcPr>
                <w:p>
                  <w:pPr>
                    <w:spacing w:line="220" w:lineRule="exact"/>
                    <w:jc w:val="center"/>
                    <w:rPr>
                      <w:rFonts w:hint="eastAsia" w:eastAsia="宋体" w:cs="Times New Roman"/>
                      <w:color w:val="auto"/>
                      <w:sz w:val="18"/>
                      <w:szCs w:val="18"/>
                      <w:lang w:val="en-US" w:eastAsia="zh-CN"/>
                    </w:rPr>
                  </w:pPr>
                  <w:r>
                    <w:rPr>
                      <w:rFonts w:hint="eastAsia" w:cs="Times New Roman"/>
                      <w:color w:val="auto"/>
                      <w:sz w:val="18"/>
                      <w:szCs w:val="18"/>
                      <w:lang w:val="en-US" w:eastAsia="zh-CN"/>
                    </w:rPr>
                    <w:t>循环使用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532" w:type="dxa"/>
                  <w:vMerge w:val="continue"/>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tc>
              <w:tc>
                <w:tcPr>
                  <w:tcW w:w="810" w:type="dxa"/>
                  <w:vMerge w:val="continue"/>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tc>
              <w:tc>
                <w:tcPr>
                  <w:tcW w:w="1359"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生活污水</w:t>
                  </w:r>
                </w:p>
              </w:tc>
              <w:tc>
                <w:tcPr>
                  <w:tcW w:w="297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依托厂区现有</w:t>
                  </w:r>
                  <w:r>
                    <w:rPr>
                      <w:rFonts w:hint="eastAsia" w:ascii="Times New Roman" w:eastAsia="宋体" w:cs="Times New Roman"/>
                      <w:color w:val="auto"/>
                      <w:sz w:val="18"/>
                      <w:szCs w:val="18"/>
                    </w:rPr>
                    <w:t>10</w:t>
                  </w:r>
                  <w:r>
                    <w:rPr>
                      <w:rFonts w:ascii="Times New Roman" w:cs="Times New Roman"/>
                      <w:color w:val="auto"/>
                      <w:sz w:val="18"/>
                      <w:szCs w:val="18"/>
                    </w:rPr>
                    <w:t>m</w:t>
                  </w:r>
                  <w:r>
                    <w:rPr>
                      <w:rFonts w:ascii="Times New Roman" w:cs="Times New Roman"/>
                      <w:color w:val="auto"/>
                      <w:sz w:val="18"/>
                      <w:szCs w:val="18"/>
                      <w:vertAlign w:val="superscript"/>
                    </w:rPr>
                    <w:t>3</w:t>
                  </w:r>
                  <w:r>
                    <w:rPr>
                      <w:rFonts w:ascii="Times New Roman" w:cs="Times New Roman"/>
                      <w:color w:val="auto"/>
                      <w:sz w:val="18"/>
                      <w:szCs w:val="18"/>
                    </w:rPr>
                    <w:t>化粪池</w:t>
                  </w:r>
                </w:p>
              </w:tc>
              <w:tc>
                <w:tcPr>
                  <w:tcW w:w="3087" w:type="dxa"/>
                  <w:tcMar>
                    <w:top w:w="85" w:type="dxa"/>
                    <w:bottom w:w="85" w:type="dxa"/>
                  </w:tcMar>
                  <w:vAlign w:val="center"/>
                </w:tcPr>
                <w:p>
                  <w:pPr>
                    <w:spacing w:line="220" w:lineRule="exact"/>
                    <w:jc w:val="center"/>
                    <w:rPr>
                      <w:rFonts w:cs="Times New Roman"/>
                      <w:color w:val="auto"/>
                      <w:sz w:val="18"/>
                      <w:szCs w:val="18"/>
                    </w:rPr>
                  </w:pPr>
                  <w:r>
                    <w:rPr>
                      <w:rFonts w:hint="eastAsia" w:cs="Times New Roman"/>
                      <w:color w:val="auto"/>
                      <w:sz w:val="18"/>
                      <w:szCs w:val="18"/>
                    </w:rPr>
                    <w:t>满足大块镇污水处理厂收水标准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532"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3</w:t>
                  </w:r>
                </w:p>
              </w:tc>
              <w:tc>
                <w:tcPr>
                  <w:tcW w:w="81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噪声</w:t>
                  </w:r>
                </w:p>
              </w:tc>
              <w:tc>
                <w:tcPr>
                  <w:tcW w:w="1359"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噪声</w:t>
                  </w:r>
                </w:p>
              </w:tc>
              <w:tc>
                <w:tcPr>
                  <w:tcW w:w="297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室内布置、减振、隔声</w:t>
                  </w:r>
                </w:p>
              </w:tc>
              <w:tc>
                <w:tcPr>
                  <w:tcW w:w="3087" w:type="dxa"/>
                  <w:tcMar>
                    <w:top w:w="85" w:type="dxa"/>
                    <w:bottom w:w="85" w:type="dxa"/>
                  </w:tcMar>
                  <w:vAlign w:val="center"/>
                </w:tcPr>
                <w:p>
                  <w:pPr>
                    <w:spacing w:line="220" w:lineRule="exact"/>
                    <w:jc w:val="center"/>
                    <w:rPr>
                      <w:rFonts w:cs="Times New Roman"/>
                      <w:color w:val="auto"/>
                      <w:sz w:val="18"/>
                      <w:szCs w:val="18"/>
                    </w:rPr>
                  </w:pPr>
                  <w:r>
                    <w:rPr>
                      <w:rFonts w:cs="Times New Roman"/>
                      <w:color w:val="auto"/>
                      <w:sz w:val="18"/>
                      <w:szCs w:val="18"/>
                    </w:rPr>
                    <w:t>《工业企业厂界环境噪声排放标准》</w:t>
                  </w:r>
                </w:p>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w:t>
                  </w:r>
                  <w:r>
                    <w:rPr>
                      <w:rFonts w:ascii="Times New Roman" w:cs="Times New Roman"/>
                      <w:color w:val="auto"/>
                      <w:sz w:val="18"/>
                      <w:szCs w:val="18"/>
                    </w:rPr>
                    <w:t>GB12348-2008</w:t>
                  </w:r>
                  <w:r>
                    <w:rPr>
                      <w:rFonts w:ascii="Times New Roman" w:eastAsia="宋体" w:cs="Times New Roman"/>
                      <w:color w:val="auto"/>
                      <w:sz w:val="18"/>
                      <w:szCs w:val="18"/>
                    </w:rPr>
                    <w:t>）2类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532" w:type="dxa"/>
                  <w:vMerge w:val="restart"/>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4</w:t>
                  </w:r>
                </w:p>
              </w:tc>
              <w:tc>
                <w:tcPr>
                  <w:tcW w:w="810" w:type="dxa"/>
                  <w:vMerge w:val="restart"/>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固废</w:t>
                  </w:r>
                </w:p>
              </w:tc>
              <w:tc>
                <w:tcPr>
                  <w:tcW w:w="1359"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一般固废</w:t>
                  </w:r>
                </w:p>
              </w:tc>
              <w:tc>
                <w:tcPr>
                  <w:tcW w:w="297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eastAsia="宋体" w:cs="Times New Roman"/>
                      <w:color w:val="auto"/>
                      <w:sz w:val="18"/>
                      <w:szCs w:val="18"/>
                    </w:rPr>
                    <w:t>一般固废暂存间（</w:t>
                  </w:r>
                  <w:r>
                    <w:rPr>
                      <w:rFonts w:hint="eastAsia" w:ascii="Times New Roman" w:eastAsia="宋体" w:cs="Times New Roman"/>
                      <w:color w:val="auto"/>
                      <w:sz w:val="18"/>
                      <w:szCs w:val="18"/>
                    </w:rPr>
                    <w:t>5</w:t>
                  </w:r>
                  <w:r>
                    <w:rPr>
                      <w:rFonts w:ascii="Times New Roman" w:eastAsia="宋体" w:cs="Times New Roman"/>
                      <w:color w:val="auto"/>
                      <w:sz w:val="18"/>
                      <w:szCs w:val="18"/>
                    </w:rPr>
                    <w:t>m</w:t>
                  </w:r>
                  <w:r>
                    <w:rPr>
                      <w:rFonts w:ascii="Times New Roman" w:eastAsia="宋体" w:cs="Times New Roman"/>
                      <w:color w:val="auto"/>
                      <w:sz w:val="18"/>
                      <w:szCs w:val="18"/>
                      <w:vertAlign w:val="superscript"/>
                    </w:rPr>
                    <w:t>2</w:t>
                  </w:r>
                  <w:r>
                    <w:rPr>
                      <w:rFonts w:ascii="Times New Roman" w:eastAsia="宋体" w:cs="Times New Roman"/>
                      <w:color w:val="auto"/>
                      <w:sz w:val="18"/>
                      <w:szCs w:val="18"/>
                    </w:rPr>
                    <w:t>）</w:t>
                  </w:r>
                </w:p>
              </w:tc>
              <w:tc>
                <w:tcPr>
                  <w:tcW w:w="3087" w:type="dxa"/>
                  <w:tcMar>
                    <w:top w:w="85" w:type="dxa"/>
                    <w:bottom w:w="85" w:type="dxa"/>
                  </w:tcMar>
                  <w:vAlign w:val="center"/>
                </w:tcPr>
                <w:p>
                  <w:pPr>
                    <w:spacing w:line="220" w:lineRule="exact"/>
                    <w:jc w:val="center"/>
                    <w:rPr>
                      <w:rFonts w:cs="Times New Roman"/>
                      <w:color w:val="auto"/>
                      <w:sz w:val="18"/>
                      <w:szCs w:val="18"/>
                    </w:rPr>
                  </w:pPr>
                  <w:r>
                    <w:rPr>
                      <w:rFonts w:cs="Times New Roman"/>
                      <w:color w:val="auto"/>
                      <w:sz w:val="18"/>
                      <w:szCs w:val="18"/>
                    </w:rPr>
                    <w:t>《一般工业固体废物贮存、处置场污染控制标准》（GB18599-2001）（2013修订）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532" w:type="dxa"/>
                  <w:vMerge w:val="continue"/>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tc>
              <w:tc>
                <w:tcPr>
                  <w:tcW w:w="810" w:type="dxa"/>
                  <w:vMerge w:val="continue"/>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tc>
              <w:tc>
                <w:tcPr>
                  <w:tcW w:w="1359"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hint="eastAsia" w:ascii="Times New Roman" w:eastAsia="宋体" w:cs="Times New Roman"/>
                      <w:color w:val="auto"/>
                      <w:sz w:val="18"/>
                      <w:szCs w:val="18"/>
                    </w:rPr>
                    <w:t>危险废物</w:t>
                  </w:r>
                </w:p>
              </w:tc>
              <w:tc>
                <w:tcPr>
                  <w:tcW w:w="2970" w:type="dxa"/>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hint="eastAsia" w:ascii="Times New Roman" w:eastAsia="宋体" w:cs="Times New Roman"/>
                      <w:color w:val="auto"/>
                      <w:sz w:val="18"/>
                      <w:szCs w:val="18"/>
                    </w:rPr>
                    <w:t>危险废物暂存间</w:t>
                  </w:r>
                  <w:r>
                    <w:rPr>
                      <w:rFonts w:ascii="Times New Roman" w:eastAsia="宋体" w:cs="Times New Roman"/>
                      <w:color w:val="auto"/>
                      <w:sz w:val="18"/>
                      <w:szCs w:val="18"/>
                    </w:rPr>
                    <w:t>（</w:t>
                  </w:r>
                  <w:r>
                    <w:rPr>
                      <w:rFonts w:hint="eastAsia" w:ascii="Times New Roman" w:eastAsia="宋体" w:cs="Times New Roman"/>
                      <w:color w:val="auto"/>
                      <w:sz w:val="18"/>
                      <w:szCs w:val="18"/>
                    </w:rPr>
                    <w:t>5</w:t>
                  </w:r>
                  <w:r>
                    <w:rPr>
                      <w:rFonts w:ascii="Times New Roman" w:eastAsia="宋体" w:cs="Times New Roman"/>
                      <w:color w:val="auto"/>
                      <w:sz w:val="18"/>
                      <w:szCs w:val="18"/>
                    </w:rPr>
                    <w:t>m</w:t>
                  </w:r>
                  <w:r>
                    <w:rPr>
                      <w:rFonts w:ascii="Times New Roman" w:eastAsia="宋体" w:cs="Times New Roman"/>
                      <w:color w:val="auto"/>
                      <w:sz w:val="18"/>
                      <w:szCs w:val="18"/>
                      <w:vertAlign w:val="superscript"/>
                    </w:rPr>
                    <w:t>2</w:t>
                  </w:r>
                  <w:r>
                    <w:rPr>
                      <w:rFonts w:ascii="Times New Roman" w:eastAsia="宋体" w:cs="Times New Roman"/>
                      <w:color w:val="auto"/>
                      <w:sz w:val="18"/>
                      <w:szCs w:val="18"/>
                    </w:rPr>
                    <w:t>）</w:t>
                  </w:r>
                </w:p>
              </w:tc>
              <w:tc>
                <w:tcPr>
                  <w:tcW w:w="3087" w:type="dxa"/>
                  <w:tcMar>
                    <w:top w:w="85" w:type="dxa"/>
                    <w:bottom w:w="85" w:type="dxa"/>
                  </w:tcMar>
                  <w:vAlign w:val="center"/>
                </w:tcPr>
                <w:p>
                  <w:pPr>
                    <w:spacing w:line="220" w:lineRule="exact"/>
                    <w:jc w:val="center"/>
                    <w:rPr>
                      <w:rFonts w:cs="Times New Roman"/>
                      <w:color w:val="auto"/>
                      <w:sz w:val="18"/>
                      <w:szCs w:val="18"/>
                    </w:rPr>
                  </w:pPr>
                  <w:r>
                    <w:rPr>
                      <w:rFonts w:cs="Times New Roman"/>
                      <w:bCs/>
                      <w:color w:val="auto"/>
                      <w:sz w:val="21"/>
                      <w:szCs w:val="21"/>
                    </w:rPr>
                    <w:t>《危险废物贮存污染控制标准（GB18597-2001）》（2013修订）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532" w:type="dxa"/>
                  <w:tcBorders>
                    <w:bottom w:val="single" w:color="auto" w:sz="4" w:space="0"/>
                  </w:tcBorders>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hint="eastAsia" w:ascii="Times New Roman" w:eastAsia="宋体" w:cs="Times New Roman"/>
                      <w:color w:val="auto"/>
                      <w:sz w:val="18"/>
                      <w:szCs w:val="18"/>
                    </w:rPr>
                    <w:t>5</w:t>
                  </w:r>
                </w:p>
              </w:tc>
              <w:tc>
                <w:tcPr>
                  <w:tcW w:w="2169" w:type="dxa"/>
                  <w:gridSpan w:val="2"/>
                  <w:tcBorders>
                    <w:bottom w:val="single" w:color="auto" w:sz="4" w:space="0"/>
                  </w:tcBorders>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hint="eastAsia" w:ascii="Times New Roman" w:eastAsia="宋体" w:cs="Times New Roman"/>
                      <w:color w:val="auto"/>
                      <w:sz w:val="18"/>
                      <w:szCs w:val="18"/>
                    </w:rPr>
                    <w:t>环境管理</w:t>
                  </w:r>
                </w:p>
              </w:tc>
              <w:tc>
                <w:tcPr>
                  <w:tcW w:w="2970" w:type="dxa"/>
                  <w:tcBorders>
                    <w:bottom w:val="single" w:color="auto" w:sz="4" w:space="0"/>
                  </w:tcBorders>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r>
                    <w:rPr>
                      <w:rFonts w:ascii="Times New Roman" w:cs="Times New Roman"/>
                      <w:color w:val="auto"/>
                      <w:sz w:val="18"/>
                      <w:szCs w:val="18"/>
                    </w:rPr>
                    <w:t>在总用电控制位置、主要生产设施和污染治理设施安装用电量监控系统终端。</w:t>
                  </w:r>
                </w:p>
              </w:tc>
              <w:tc>
                <w:tcPr>
                  <w:tcW w:w="3087" w:type="dxa"/>
                  <w:tcBorders>
                    <w:bottom w:val="single" w:color="auto" w:sz="4" w:space="0"/>
                  </w:tcBorders>
                  <w:tcMar>
                    <w:top w:w="85" w:type="dxa"/>
                    <w:bottom w:w="85" w:type="dxa"/>
                  </w:tcMar>
                  <w:vAlign w:val="center"/>
                </w:tcPr>
                <w:p>
                  <w:pPr>
                    <w:spacing w:line="220" w:lineRule="exact"/>
                    <w:jc w:val="center"/>
                    <w:rPr>
                      <w:rFonts w:cs="Times New Roman"/>
                      <w:color w:val="auto"/>
                      <w:sz w:val="18"/>
                      <w:szCs w:val="18"/>
                    </w:rPr>
                  </w:pPr>
                  <w:r>
                    <w:rPr>
                      <w:rFonts w:cs="Times New Roman"/>
                      <w:color w:val="auto"/>
                      <w:sz w:val="18"/>
                      <w:szCs w:val="18"/>
                    </w:rPr>
                    <w:t>满足《新乡市生态环境局关于部署按照工业企业用电量监控系统的通知》要求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758" w:type="dxa"/>
                  <w:gridSpan w:val="5"/>
                  <w:tcBorders>
                    <w:top w:val="single" w:color="auto" w:sz="4" w:space="0"/>
                    <w:bottom w:val="nil"/>
                  </w:tcBorders>
                  <w:tcMar>
                    <w:top w:w="85" w:type="dxa"/>
                    <w:bottom w:w="85" w:type="dxa"/>
                  </w:tcMar>
                  <w:vAlign w:val="center"/>
                </w:tcPr>
                <w:p>
                  <w:pPr>
                    <w:pStyle w:val="75"/>
                    <w:snapToGrid w:val="0"/>
                    <w:spacing w:line="220" w:lineRule="exact"/>
                    <w:jc w:val="center"/>
                    <w:rPr>
                      <w:rFonts w:ascii="Times New Roman" w:eastAsia="宋体" w:cs="Times New Roman"/>
                      <w:color w:val="auto"/>
                      <w:sz w:val="18"/>
                      <w:szCs w:val="18"/>
                    </w:rPr>
                  </w:pPr>
                </w:p>
                <w:p>
                  <w:pPr>
                    <w:pStyle w:val="75"/>
                    <w:snapToGrid w:val="0"/>
                    <w:spacing w:line="220" w:lineRule="exact"/>
                    <w:jc w:val="center"/>
                    <w:rPr>
                      <w:rFonts w:ascii="Times New Roman" w:eastAsia="宋体" w:cs="Times New Roman"/>
                      <w:color w:val="auto"/>
                      <w:sz w:val="18"/>
                      <w:szCs w:val="18"/>
                    </w:rPr>
                  </w:pPr>
                </w:p>
                <w:p>
                  <w:pPr>
                    <w:pStyle w:val="75"/>
                    <w:snapToGrid w:val="0"/>
                    <w:spacing w:line="220" w:lineRule="exact"/>
                    <w:jc w:val="center"/>
                    <w:rPr>
                      <w:rFonts w:ascii="Times New Roman" w:eastAsia="宋体" w:cs="Times New Roman"/>
                      <w:color w:val="auto"/>
                      <w:sz w:val="18"/>
                      <w:szCs w:val="18"/>
                    </w:rPr>
                  </w:pPr>
                </w:p>
                <w:p>
                  <w:pPr>
                    <w:pStyle w:val="75"/>
                    <w:snapToGrid w:val="0"/>
                    <w:spacing w:line="220" w:lineRule="exact"/>
                    <w:jc w:val="center"/>
                    <w:rPr>
                      <w:rFonts w:ascii="Times New Roman" w:eastAsia="宋体" w:cs="Times New Roman"/>
                      <w:color w:val="auto"/>
                      <w:sz w:val="18"/>
                      <w:szCs w:val="18"/>
                    </w:rPr>
                  </w:pPr>
                </w:p>
                <w:p>
                  <w:pPr>
                    <w:spacing w:line="220" w:lineRule="exact"/>
                    <w:jc w:val="center"/>
                    <w:rPr>
                      <w:rFonts w:cs="Times New Roman"/>
                      <w:color w:val="auto"/>
                      <w:sz w:val="18"/>
                      <w:szCs w:val="18"/>
                    </w:rPr>
                  </w:pPr>
                </w:p>
              </w:tc>
            </w:tr>
          </w:tbl>
          <w:p>
            <w:pPr>
              <w:spacing w:before="156" w:beforeLines="50" w:line="360" w:lineRule="auto"/>
              <w:rPr>
                <w:rFonts w:cs="Times New Roman"/>
                <w:color w:val="auto"/>
                <w:sz w:val="24"/>
              </w:rPr>
            </w:pPr>
          </w:p>
        </w:tc>
      </w:tr>
    </w:tbl>
    <w:p>
      <w:pPr>
        <w:spacing w:line="360" w:lineRule="auto"/>
        <w:jc w:val="left"/>
        <w:rPr>
          <w:rFonts w:eastAsia="黑体" w:cs="Times New Roman"/>
          <w:color w:val="auto"/>
          <w:sz w:val="30"/>
        </w:rPr>
      </w:pPr>
      <w:r>
        <w:rPr>
          <w:rFonts w:cs="Times New Roman"/>
          <w:b/>
          <w:color w:val="auto"/>
          <w:sz w:val="30"/>
        </w:rPr>
        <w:br w:type="page"/>
      </w:r>
      <w:r>
        <w:rPr>
          <w:rFonts w:eastAsia="黑体" w:cs="Times New Roman"/>
          <w:color w:val="auto"/>
          <w:sz w:val="30"/>
        </w:rPr>
        <w:t>建设项目拟采取的防治措施及预期治理效果</w:t>
      </w:r>
    </w:p>
    <w:tbl>
      <w:tblPr>
        <w:tblStyle w:val="2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640"/>
        <w:gridCol w:w="1775"/>
        <w:gridCol w:w="2168"/>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trPr>
        <w:tc>
          <w:tcPr>
            <w:tcW w:w="833" w:type="dxa"/>
            <w:vAlign w:val="center"/>
          </w:tcPr>
          <w:p>
            <w:pPr>
              <w:spacing w:line="360" w:lineRule="auto"/>
              <w:jc w:val="right"/>
              <w:rPr>
                <w:rFonts w:cs="Times New Roman"/>
                <w:b/>
                <w:color w:val="auto"/>
                <w:sz w:val="21"/>
                <w:szCs w:val="21"/>
              </w:rPr>
            </w:pPr>
            <w:r>
              <w:rPr>
                <w:rFonts w:cs="Times New Roman"/>
                <w:b/>
                <w:color w:val="auto"/>
                <w:sz w:val="21"/>
                <w:szCs w:val="21"/>
              </w:rPr>
              <w:pict>
                <v:line id="直线 1756" o:spid="_x0000_s1050" o:spt="20" style="position:absolute;left:0pt;margin-left:-4.1pt;margin-top:-0.7pt;height:40.35pt;width:41.25pt;z-index:251624448;mso-width-relative:page;mso-height-relative:page;" coordsize="21600,21600">
                  <v:path arrowok="t"/>
                  <v:fill focussize="0,0"/>
                  <v:stroke/>
                  <v:imagedata o:title=""/>
                  <o:lock v:ext="edit"/>
                </v:line>
              </w:pict>
            </w:r>
            <w:r>
              <w:rPr>
                <w:rFonts w:cs="Times New Roman"/>
                <w:b/>
                <w:color w:val="auto"/>
                <w:sz w:val="21"/>
                <w:szCs w:val="21"/>
              </w:rPr>
              <w:t>内容</w:t>
            </w:r>
          </w:p>
          <w:p>
            <w:pPr>
              <w:rPr>
                <w:rFonts w:cs="Times New Roman"/>
                <w:b/>
                <w:color w:val="auto"/>
                <w:sz w:val="21"/>
                <w:szCs w:val="21"/>
              </w:rPr>
            </w:pPr>
            <w:r>
              <w:rPr>
                <w:rFonts w:cs="Times New Roman"/>
                <w:b/>
                <w:color w:val="auto"/>
                <w:sz w:val="21"/>
                <w:szCs w:val="21"/>
              </w:rPr>
              <w:t>类别</w:t>
            </w:r>
          </w:p>
        </w:tc>
        <w:tc>
          <w:tcPr>
            <w:tcW w:w="1640" w:type="dxa"/>
            <w:vAlign w:val="center"/>
          </w:tcPr>
          <w:p>
            <w:pPr>
              <w:jc w:val="center"/>
              <w:rPr>
                <w:rFonts w:cs="Times New Roman"/>
                <w:b/>
                <w:color w:val="auto"/>
                <w:sz w:val="21"/>
                <w:szCs w:val="21"/>
              </w:rPr>
            </w:pPr>
            <w:r>
              <w:rPr>
                <w:rFonts w:cs="Times New Roman"/>
                <w:b/>
                <w:color w:val="auto"/>
                <w:sz w:val="21"/>
                <w:szCs w:val="21"/>
              </w:rPr>
              <w:t>排放源</w:t>
            </w:r>
          </w:p>
          <w:p>
            <w:pPr>
              <w:jc w:val="center"/>
              <w:rPr>
                <w:rFonts w:cs="Times New Roman"/>
                <w:b/>
                <w:color w:val="auto"/>
                <w:sz w:val="21"/>
                <w:szCs w:val="21"/>
              </w:rPr>
            </w:pPr>
            <w:r>
              <w:rPr>
                <w:rFonts w:cs="Times New Roman"/>
                <w:b/>
                <w:color w:val="auto"/>
                <w:sz w:val="21"/>
                <w:szCs w:val="21"/>
              </w:rPr>
              <w:t>（编号）</w:t>
            </w:r>
          </w:p>
        </w:tc>
        <w:tc>
          <w:tcPr>
            <w:tcW w:w="1775" w:type="dxa"/>
            <w:vAlign w:val="center"/>
          </w:tcPr>
          <w:p>
            <w:pPr>
              <w:jc w:val="center"/>
              <w:rPr>
                <w:rFonts w:cs="Times New Roman"/>
                <w:b/>
                <w:color w:val="auto"/>
                <w:sz w:val="21"/>
                <w:szCs w:val="21"/>
              </w:rPr>
            </w:pPr>
            <w:r>
              <w:rPr>
                <w:rFonts w:cs="Times New Roman"/>
                <w:b/>
                <w:color w:val="auto"/>
                <w:sz w:val="21"/>
                <w:szCs w:val="21"/>
              </w:rPr>
              <w:t>污染物名称</w:t>
            </w:r>
          </w:p>
        </w:tc>
        <w:tc>
          <w:tcPr>
            <w:tcW w:w="2168" w:type="dxa"/>
            <w:vAlign w:val="center"/>
          </w:tcPr>
          <w:p>
            <w:pPr>
              <w:jc w:val="center"/>
              <w:rPr>
                <w:rFonts w:cs="Times New Roman"/>
                <w:b/>
                <w:color w:val="auto"/>
                <w:sz w:val="21"/>
                <w:szCs w:val="21"/>
              </w:rPr>
            </w:pPr>
            <w:r>
              <w:rPr>
                <w:rFonts w:cs="Times New Roman"/>
                <w:b/>
                <w:color w:val="auto"/>
                <w:sz w:val="21"/>
                <w:szCs w:val="21"/>
              </w:rPr>
              <w:t>防治措施</w:t>
            </w:r>
          </w:p>
        </w:tc>
        <w:tc>
          <w:tcPr>
            <w:tcW w:w="2481" w:type="dxa"/>
            <w:vAlign w:val="center"/>
          </w:tcPr>
          <w:p>
            <w:pPr>
              <w:jc w:val="center"/>
              <w:rPr>
                <w:rFonts w:cs="Times New Roman"/>
                <w:b/>
                <w:color w:val="auto"/>
                <w:sz w:val="21"/>
                <w:szCs w:val="21"/>
              </w:rPr>
            </w:pPr>
            <w:r>
              <w:rPr>
                <w:rFonts w:cs="Times New Roman"/>
                <w:b/>
                <w:color w:val="auto"/>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dxa"/>
            <w:vMerge w:val="restart"/>
            <w:vAlign w:val="center"/>
          </w:tcPr>
          <w:p>
            <w:pPr>
              <w:jc w:val="center"/>
              <w:rPr>
                <w:rFonts w:cs="Times New Roman"/>
                <w:color w:val="auto"/>
                <w:sz w:val="21"/>
                <w:szCs w:val="21"/>
              </w:rPr>
            </w:pPr>
            <w:r>
              <w:rPr>
                <w:rFonts w:hint="eastAsia" w:cs="Times New Roman"/>
                <w:color w:val="auto"/>
                <w:sz w:val="21"/>
                <w:szCs w:val="21"/>
              </w:rPr>
              <w:t>废气</w:t>
            </w:r>
          </w:p>
        </w:tc>
        <w:tc>
          <w:tcPr>
            <w:tcW w:w="1640" w:type="dxa"/>
            <w:vAlign w:val="center"/>
          </w:tcPr>
          <w:p>
            <w:pPr>
              <w:jc w:val="center"/>
              <w:rPr>
                <w:rFonts w:cs="Times New Roman"/>
                <w:color w:val="auto"/>
                <w:spacing w:val="-8"/>
                <w:sz w:val="21"/>
                <w:szCs w:val="21"/>
              </w:rPr>
            </w:pPr>
            <w:r>
              <w:rPr>
                <w:rFonts w:hint="eastAsia" w:cs="Times New Roman"/>
                <w:color w:val="auto"/>
                <w:sz w:val="21"/>
                <w:szCs w:val="21"/>
              </w:rPr>
              <w:t>配料工序</w:t>
            </w:r>
          </w:p>
        </w:tc>
        <w:tc>
          <w:tcPr>
            <w:tcW w:w="1775" w:type="dxa"/>
            <w:vAlign w:val="center"/>
          </w:tcPr>
          <w:p>
            <w:pPr>
              <w:adjustRightInd w:val="0"/>
              <w:snapToGrid w:val="0"/>
              <w:spacing w:line="220" w:lineRule="exact"/>
              <w:jc w:val="center"/>
              <w:rPr>
                <w:rFonts w:cs="Times New Roman"/>
                <w:color w:val="auto"/>
                <w:spacing w:val="-8"/>
                <w:sz w:val="21"/>
                <w:szCs w:val="21"/>
              </w:rPr>
            </w:pPr>
            <w:r>
              <w:rPr>
                <w:rFonts w:hint="eastAsia" w:cs="Times New Roman"/>
                <w:color w:val="auto"/>
                <w:sz w:val="21"/>
                <w:szCs w:val="21"/>
              </w:rPr>
              <w:t>颗粒物</w:t>
            </w:r>
          </w:p>
        </w:tc>
        <w:tc>
          <w:tcPr>
            <w:tcW w:w="2168" w:type="dxa"/>
            <w:vAlign w:val="center"/>
          </w:tcPr>
          <w:p>
            <w:pPr>
              <w:adjustRightInd w:val="0"/>
              <w:snapToGrid w:val="0"/>
              <w:spacing w:line="220" w:lineRule="exact"/>
              <w:jc w:val="center"/>
              <w:rPr>
                <w:rFonts w:cs="Times New Roman"/>
                <w:color w:val="auto"/>
                <w:sz w:val="21"/>
                <w:szCs w:val="21"/>
              </w:rPr>
            </w:pPr>
            <w:r>
              <w:rPr>
                <w:rFonts w:hint="eastAsia" w:cs="Times New Roman"/>
                <w:color w:val="auto"/>
                <w:sz w:val="21"/>
                <w:szCs w:val="21"/>
              </w:rPr>
              <w:t>密闭配料间+袋式除尘器+15m高排气筒</w:t>
            </w:r>
          </w:p>
        </w:tc>
        <w:tc>
          <w:tcPr>
            <w:tcW w:w="2481" w:type="dxa"/>
          </w:tcPr>
          <w:p>
            <w:pPr>
              <w:spacing w:line="220" w:lineRule="exact"/>
              <w:jc w:val="center"/>
              <w:rPr>
                <w:rFonts w:cs="Times New Roman"/>
                <w:color w:val="auto"/>
                <w:sz w:val="21"/>
                <w:szCs w:val="21"/>
              </w:rPr>
            </w:pPr>
            <w:r>
              <w:rPr>
                <w:rFonts w:cs="Times New Roman"/>
                <w:color w:val="auto"/>
                <w:sz w:val="21"/>
                <w:szCs w:val="21"/>
              </w:rPr>
              <w:t>满足《</w:t>
            </w:r>
            <w:r>
              <w:rPr>
                <w:rFonts w:hint="eastAsia" w:cs="Times New Roman"/>
                <w:color w:val="auto"/>
                <w:sz w:val="21"/>
                <w:szCs w:val="21"/>
              </w:rPr>
              <w:t>大气</w:t>
            </w:r>
            <w:r>
              <w:rPr>
                <w:rFonts w:cs="Times New Roman"/>
                <w:color w:val="auto"/>
                <w:sz w:val="21"/>
                <w:szCs w:val="21"/>
              </w:rPr>
              <w:t>污染物</w:t>
            </w:r>
            <w:r>
              <w:rPr>
                <w:rFonts w:hint="eastAsia" w:cs="Times New Roman"/>
                <w:color w:val="auto"/>
                <w:sz w:val="21"/>
                <w:szCs w:val="21"/>
              </w:rPr>
              <w:t>综合</w:t>
            </w:r>
            <w:r>
              <w:rPr>
                <w:rFonts w:cs="Times New Roman"/>
                <w:color w:val="auto"/>
                <w:sz w:val="21"/>
                <w:szCs w:val="21"/>
              </w:rPr>
              <w:t>排放标准》（GB</w:t>
            </w:r>
            <w:r>
              <w:rPr>
                <w:rFonts w:hint="eastAsia" w:cs="Times New Roman"/>
                <w:color w:val="auto"/>
                <w:sz w:val="21"/>
                <w:szCs w:val="21"/>
              </w:rPr>
              <w:t>16297-1996</w:t>
            </w:r>
            <w:r>
              <w:rPr>
                <w:rFonts w:cs="Times New Roman"/>
                <w:color w:val="auto"/>
                <w:sz w:val="21"/>
                <w:szCs w:val="21"/>
              </w:rPr>
              <w:t>）</w:t>
            </w:r>
            <w:r>
              <w:rPr>
                <w:rFonts w:hint="eastAsia" w:cs="Times New Roman"/>
                <w:color w:val="auto"/>
                <w:sz w:val="21"/>
                <w:szCs w:val="21"/>
              </w:rPr>
              <w:t>表2二级标准</w:t>
            </w:r>
            <w:r>
              <w:rPr>
                <w:rFonts w:cs="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dxa"/>
            <w:vMerge w:val="continue"/>
            <w:vAlign w:val="center"/>
          </w:tcPr>
          <w:p>
            <w:pPr>
              <w:jc w:val="center"/>
              <w:rPr>
                <w:rFonts w:cs="Times New Roman"/>
                <w:color w:val="auto"/>
                <w:sz w:val="21"/>
                <w:szCs w:val="21"/>
              </w:rPr>
            </w:pPr>
          </w:p>
        </w:tc>
        <w:tc>
          <w:tcPr>
            <w:tcW w:w="1640" w:type="dxa"/>
            <w:vAlign w:val="center"/>
          </w:tcPr>
          <w:p>
            <w:pPr>
              <w:jc w:val="center"/>
              <w:rPr>
                <w:rFonts w:cs="Times New Roman"/>
                <w:color w:val="auto"/>
                <w:spacing w:val="-8"/>
                <w:sz w:val="21"/>
                <w:szCs w:val="21"/>
              </w:rPr>
            </w:pPr>
            <w:r>
              <w:rPr>
                <w:rFonts w:hint="eastAsia" w:cs="Times New Roman"/>
                <w:color w:val="auto"/>
                <w:spacing w:val="-8"/>
                <w:sz w:val="21"/>
                <w:szCs w:val="21"/>
              </w:rPr>
              <w:t>烘干、烘焙工序</w:t>
            </w:r>
          </w:p>
        </w:tc>
        <w:tc>
          <w:tcPr>
            <w:tcW w:w="1775" w:type="dxa"/>
            <w:vAlign w:val="center"/>
          </w:tcPr>
          <w:p>
            <w:pPr>
              <w:adjustRightInd w:val="0"/>
              <w:snapToGrid w:val="0"/>
              <w:spacing w:line="220" w:lineRule="exact"/>
              <w:jc w:val="center"/>
              <w:rPr>
                <w:rFonts w:cs="Times New Roman"/>
                <w:color w:val="auto"/>
                <w:spacing w:val="-8"/>
                <w:sz w:val="21"/>
                <w:szCs w:val="21"/>
              </w:rPr>
            </w:pPr>
            <w:r>
              <w:rPr>
                <w:rFonts w:hint="eastAsia" w:cs="Times New Roman"/>
                <w:color w:val="auto"/>
                <w:sz w:val="21"/>
                <w:szCs w:val="21"/>
              </w:rPr>
              <w:t>NO</w:t>
            </w:r>
            <w:r>
              <w:rPr>
                <w:rFonts w:hint="eastAsia" w:cs="Times New Roman"/>
                <w:color w:val="auto"/>
                <w:sz w:val="21"/>
                <w:szCs w:val="21"/>
                <w:vertAlign w:val="subscript"/>
              </w:rPr>
              <w:t>2</w:t>
            </w:r>
          </w:p>
        </w:tc>
        <w:tc>
          <w:tcPr>
            <w:tcW w:w="2168" w:type="dxa"/>
            <w:vAlign w:val="center"/>
          </w:tcPr>
          <w:p>
            <w:pPr>
              <w:adjustRightInd w:val="0"/>
              <w:snapToGrid w:val="0"/>
              <w:spacing w:line="220" w:lineRule="exact"/>
              <w:jc w:val="center"/>
              <w:rPr>
                <w:rFonts w:cs="Times New Roman"/>
                <w:color w:val="auto"/>
                <w:sz w:val="21"/>
                <w:szCs w:val="21"/>
              </w:rPr>
            </w:pPr>
            <w:r>
              <w:rPr>
                <w:rFonts w:hint="eastAsia" w:cs="Times New Roman"/>
                <w:color w:val="auto"/>
                <w:sz w:val="21"/>
                <w:szCs w:val="21"/>
                <w:lang w:eastAsia="zh-CN"/>
              </w:rPr>
              <w:t>碱液喷淋</w:t>
            </w:r>
            <w:r>
              <w:rPr>
                <w:rFonts w:hint="eastAsia" w:cs="Times New Roman"/>
                <w:color w:val="auto"/>
                <w:sz w:val="21"/>
                <w:szCs w:val="21"/>
              </w:rPr>
              <w:t>塔+15m高排气筒</w:t>
            </w:r>
          </w:p>
        </w:tc>
        <w:tc>
          <w:tcPr>
            <w:tcW w:w="2481" w:type="dxa"/>
          </w:tcPr>
          <w:p>
            <w:pPr>
              <w:spacing w:line="220" w:lineRule="exact"/>
              <w:jc w:val="center"/>
              <w:rPr>
                <w:rFonts w:cs="Times New Roman"/>
                <w:color w:val="auto"/>
                <w:sz w:val="21"/>
                <w:szCs w:val="21"/>
              </w:rPr>
            </w:pPr>
            <w:r>
              <w:rPr>
                <w:rFonts w:hint="eastAsia" w:cs="Times New Roman"/>
                <w:color w:val="auto"/>
                <w:sz w:val="21"/>
                <w:szCs w:val="21"/>
                <w:lang w:val="en-US" w:eastAsia="zh-CN"/>
              </w:rPr>
              <w:t>满足河南省</w:t>
            </w:r>
            <w:r>
              <w:rPr>
                <w:rFonts w:hint="eastAsia" w:cs="Times New Roman"/>
                <w:color w:val="auto"/>
                <w:sz w:val="21"/>
                <w:szCs w:val="21"/>
                <w:lang w:eastAsia="zh-CN"/>
              </w:rPr>
              <w:t>《</w:t>
            </w:r>
            <w:r>
              <w:rPr>
                <w:rFonts w:hint="eastAsia" w:cs="Times New Roman"/>
                <w:color w:val="auto"/>
                <w:sz w:val="21"/>
                <w:szCs w:val="21"/>
                <w:lang w:val="en-US" w:eastAsia="zh-CN"/>
              </w:rPr>
              <w:t>工业炉窑大气污染物排放标准</w:t>
            </w:r>
            <w:r>
              <w:rPr>
                <w:rFonts w:hint="eastAsia" w:cs="Times New Roman"/>
                <w:color w:val="auto"/>
                <w:sz w:val="21"/>
                <w:szCs w:val="21"/>
                <w:lang w:eastAsia="zh-CN"/>
              </w:rPr>
              <w:t>》（</w:t>
            </w:r>
            <w:r>
              <w:rPr>
                <w:rFonts w:hint="eastAsia" w:cs="Times New Roman"/>
                <w:color w:val="auto"/>
                <w:sz w:val="21"/>
                <w:szCs w:val="21"/>
                <w:lang w:val="en-US" w:eastAsia="zh-CN"/>
              </w:rPr>
              <w:t>DB41/1066-2015</w:t>
            </w:r>
            <w:r>
              <w:rPr>
                <w:rFonts w:hint="eastAsia" w:cs="Times New Roman"/>
                <w:color w:val="auto"/>
                <w:sz w:val="21"/>
                <w:szCs w:val="21"/>
                <w:lang w:eastAsia="zh-CN"/>
              </w:rPr>
              <w:t>）</w:t>
            </w:r>
            <w:r>
              <w:rPr>
                <w:rFonts w:hint="eastAsia" w:cs="Times New Roman"/>
                <w:color w:val="auto"/>
                <w:sz w:val="21"/>
                <w:szCs w:val="21"/>
                <w:lang w:val="en-US" w:eastAsia="zh-CN"/>
              </w:rPr>
              <w:t>及</w:t>
            </w:r>
            <w:r>
              <w:rPr>
                <w:rFonts w:cs="Times New Roman"/>
                <w:color w:val="auto"/>
                <w:sz w:val="21"/>
                <w:szCs w:val="21"/>
              </w:rPr>
              <w:t>《新乡市环境污染攻坚战三年行动实施方案》（2018-2020）</w:t>
            </w:r>
            <w:r>
              <w:rPr>
                <w:rFonts w:hint="eastAsia" w:cs="Times New Roman"/>
                <w:color w:val="auto"/>
                <w:sz w:val="21"/>
                <w:szCs w:val="21"/>
              </w:rPr>
              <w:t>要求颗粒物、二氧化硫、氮氧化物排放限值分别不高于 30 毫克/立方米、200 毫克/立方米、300 毫克/立方米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dxa"/>
            <w:vMerge w:val="restart"/>
            <w:vAlign w:val="center"/>
          </w:tcPr>
          <w:p>
            <w:pPr>
              <w:jc w:val="center"/>
              <w:rPr>
                <w:rFonts w:cs="Times New Roman"/>
                <w:color w:val="auto"/>
                <w:sz w:val="21"/>
                <w:szCs w:val="21"/>
              </w:rPr>
            </w:pPr>
            <w:r>
              <w:rPr>
                <w:rFonts w:cs="Times New Roman"/>
                <w:color w:val="auto"/>
                <w:sz w:val="21"/>
                <w:szCs w:val="21"/>
              </w:rPr>
              <w:t>废水</w:t>
            </w:r>
          </w:p>
        </w:tc>
        <w:tc>
          <w:tcPr>
            <w:tcW w:w="1640" w:type="dxa"/>
            <w:vAlign w:val="center"/>
          </w:tcPr>
          <w:p>
            <w:pPr>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生产废水</w:t>
            </w:r>
          </w:p>
        </w:tc>
        <w:tc>
          <w:tcPr>
            <w:tcW w:w="1775" w:type="dxa"/>
            <w:vAlign w:val="center"/>
          </w:tcPr>
          <w:p>
            <w:pPr>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COD、盐类</w:t>
            </w:r>
          </w:p>
        </w:tc>
        <w:tc>
          <w:tcPr>
            <w:tcW w:w="2168" w:type="dxa"/>
            <w:vAlign w:val="center"/>
          </w:tcPr>
          <w:p>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絮凝沉淀池</w:t>
            </w:r>
          </w:p>
        </w:tc>
        <w:tc>
          <w:tcPr>
            <w:tcW w:w="2481" w:type="dxa"/>
            <w:vAlign w:val="center"/>
          </w:tcPr>
          <w:p>
            <w:pPr>
              <w:pStyle w:val="81"/>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dxa"/>
            <w:vMerge w:val="continue"/>
            <w:vAlign w:val="center"/>
          </w:tcPr>
          <w:p>
            <w:pPr>
              <w:jc w:val="center"/>
              <w:rPr>
                <w:rFonts w:cs="Times New Roman"/>
                <w:color w:val="auto"/>
                <w:sz w:val="21"/>
                <w:szCs w:val="21"/>
              </w:rPr>
            </w:pPr>
          </w:p>
        </w:tc>
        <w:tc>
          <w:tcPr>
            <w:tcW w:w="1640" w:type="dxa"/>
            <w:vAlign w:val="center"/>
          </w:tcPr>
          <w:p>
            <w:pPr>
              <w:jc w:val="center"/>
              <w:rPr>
                <w:rFonts w:cs="Times New Roman"/>
                <w:color w:val="auto"/>
                <w:sz w:val="21"/>
                <w:szCs w:val="21"/>
              </w:rPr>
            </w:pPr>
            <w:r>
              <w:rPr>
                <w:rFonts w:cs="Times New Roman"/>
                <w:color w:val="auto"/>
                <w:sz w:val="21"/>
                <w:szCs w:val="21"/>
              </w:rPr>
              <w:t>生活污水</w:t>
            </w:r>
          </w:p>
        </w:tc>
        <w:tc>
          <w:tcPr>
            <w:tcW w:w="1775" w:type="dxa"/>
            <w:vAlign w:val="center"/>
          </w:tcPr>
          <w:p>
            <w:pPr>
              <w:jc w:val="center"/>
              <w:rPr>
                <w:rFonts w:cs="Times New Roman"/>
                <w:color w:val="auto"/>
                <w:sz w:val="21"/>
                <w:szCs w:val="21"/>
              </w:rPr>
            </w:pPr>
            <w:r>
              <w:rPr>
                <w:rFonts w:cs="Times New Roman"/>
                <w:bCs/>
                <w:color w:val="auto"/>
                <w:sz w:val="21"/>
                <w:szCs w:val="21"/>
              </w:rPr>
              <w:t>COD、SS、NH</w:t>
            </w:r>
            <w:r>
              <w:rPr>
                <w:rFonts w:cs="Times New Roman"/>
                <w:bCs/>
                <w:color w:val="auto"/>
                <w:sz w:val="21"/>
                <w:szCs w:val="21"/>
                <w:vertAlign w:val="subscript"/>
              </w:rPr>
              <w:t>3</w:t>
            </w:r>
            <w:r>
              <w:rPr>
                <w:rFonts w:cs="Times New Roman"/>
                <w:bCs/>
                <w:color w:val="auto"/>
                <w:sz w:val="21"/>
                <w:szCs w:val="21"/>
              </w:rPr>
              <w:t>-N</w:t>
            </w:r>
            <w:r>
              <w:rPr>
                <w:rFonts w:hint="eastAsia" w:cs="Times New Roman"/>
                <w:bCs/>
                <w:color w:val="auto"/>
                <w:sz w:val="21"/>
                <w:szCs w:val="21"/>
              </w:rPr>
              <w:t>、TP</w:t>
            </w:r>
          </w:p>
        </w:tc>
        <w:tc>
          <w:tcPr>
            <w:tcW w:w="2168" w:type="dxa"/>
            <w:vAlign w:val="center"/>
          </w:tcPr>
          <w:p>
            <w:pPr>
              <w:jc w:val="center"/>
              <w:rPr>
                <w:rFonts w:cs="Times New Roman"/>
                <w:color w:val="auto"/>
                <w:sz w:val="21"/>
                <w:szCs w:val="21"/>
              </w:rPr>
            </w:pPr>
            <w:r>
              <w:rPr>
                <w:rFonts w:hint="eastAsia" w:cs="Times New Roman"/>
                <w:color w:val="auto"/>
                <w:sz w:val="21"/>
                <w:szCs w:val="21"/>
              </w:rPr>
              <w:t>依托现有</w:t>
            </w:r>
            <w:r>
              <w:rPr>
                <w:rFonts w:cs="Times New Roman"/>
                <w:color w:val="auto"/>
                <w:sz w:val="21"/>
                <w:szCs w:val="21"/>
              </w:rPr>
              <w:t>化粪池</w:t>
            </w:r>
          </w:p>
        </w:tc>
        <w:tc>
          <w:tcPr>
            <w:tcW w:w="2481" w:type="dxa"/>
            <w:vAlign w:val="center"/>
          </w:tcPr>
          <w:p>
            <w:pPr>
              <w:pStyle w:val="81"/>
              <w:rPr>
                <w:rFonts w:cs="Times New Roman"/>
                <w:color w:val="auto"/>
                <w:sz w:val="21"/>
                <w:szCs w:val="21"/>
              </w:rPr>
            </w:pPr>
            <w:r>
              <w:rPr>
                <w:rFonts w:hint="eastAsia" w:cs="Times New Roman"/>
                <w:color w:val="auto"/>
                <w:sz w:val="21"/>
                <w:szCs w:val="21"/>
              </w:rPr>
              <w:t>满足大块镇污水处理厂收水标准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3" w:type="dxa"/>
            <w:vMerge w:val="restart"/>
            <w:vAlign w:val="center"/>
          </w:tcPr>
          <w:p>
            <w:pPr>
              <w:jc w:val="center"/>
              <w:rPr>
                <w:rFonts w:cs="Times New Roman"/>
                <w:color w:val="auto"/>
                <w:sz w:val="21"/>
                <w:szCs w:val="21"/>
              </w:rPr>
            </w:pPr>
            <w:r>
              <w:rPr>
                <w:rFonts w:cs="Times New Roman"/>
                <w:color w:val="auto"/>
                <w:sz w:val="21"/>
                <w:szCs w:val="21"/>
              </w:rPr>
              <w:t>固废</w:t>
            </w:r>
          </w:p>
        </w:tc>
        <w:tc>
          <w:tcPr>
            <w:tcW w:w="1640" w:type="dxa"/>
            <w:vMerge w:val="restart"/>
            <w:vAlign w:val="center"/>
          </w:tcPr>
          <w:p>
            <w:pPr>
              <w:pStyle w:val="75"/>
              <w:snapToGrid w:val="0"/>
              <w:spacing w:line="220" w:lineRule="exact"/>
              <w:jc w:val="center"/>
              <w:rPr>
                <w:rFonts w:ascii="Times New Roman"/>
                <w:color w:val="auto"/>
                <w:sz w:val="21"/>
                <w:szCs w:val="21"/>
              </w:rPr>
            </w:pPr>
            <w:r>
              <w:rPr>
                <w:rFonts w:hint="eastAsia" w:ascii="Times New Roman" w:eastAsia="宋体" w:cs="Times New Roman"/>
                <w:color w:val="auto"/>
                <w:spacing w:val="-8"/>
                <w:sz w:val="21"/>
                <w:szCs w:val="21"/>
              </w:rPr>
              <w:t>原料拆装</w:t>
            </w:r>
          </w:p>
        </w:tc>
        <w:tc>
          <w:tcPr>
            <w:tcW w:w="1775" w:type="dxa"/>
            <w:vAlign w:val="center"/>
          </w:tcPr>
          <w:p>
            <w:pPr>
              <w:pStyle w:val="75"/>
              <w:snapToGrid w:val="0"/>
              <w:spacing w:line="220" w:lineRule="exact"/>
              <w:jc w:val="center"/>
              <w:rPr>
                <w:rFonts w:cs="Times New Roman"/>
                <w:color w:val="auto"/>
                <w:sz w:val="21"/>
                <w:szCs w:val="21"/>
              </w:rPr>
            </w:pPr>
            <w:r>
              <w:rPr>
                <w:rFonts w:hint="eastAsia" w:ascii="Times New Roman" w:eastAsia="宋体" w:cs="Times New Roman"/>
                <w:color w:val="auto"/>
                <w:sz w:val="21"/>
                <w:szCs w:val="21"/>
              </w:rPr>
              <w:t>废包装袋</w:t>
            </w:r>
          </w:p>
        </w:tc>
        <w:tc>
          <w:tcPr>
            <w:tcW w:w="2168" w:type="dxa"/>
            <w:vAlign w:val="center"/>
          </w:tcPr>
          <w:p>
            <w:pPr>
              <w:jc w:val="center"/>
              <w:rPr>
                <w:rFonts w:cs="Times New Roman"/>
                <w:color w:val="auto"/>
                <w:sz w:val="21"/>
                <w:szCs w:val="21"/>
              </w:rPr>
            </w:pPr>
            <w:r>
              <w:rPr>
                <w:rFonts w:hint="eastAsia" w:cs="Times New Roman"/>
                <w:color w:val="auto"/>
                <w:sz w:val="21"/>
                <w:szCs w:val="21"/>
              </w:rPr>
              <w:t>5m</w:t>
            </w:r>
            <w:r>
              <w:rPr>
                <w:rFonts w:hint="eastAsia" w:cs="Times New Roman"/>
                <w:color w:val="auto"/>
                <w:sz w:val="21"/>
                <w:szCs w:val="21"/>
                <w:vertAlign w:val="superscript"/>
              </w:rPr>
              <w:t>2</w:t>
            </w:r>
            <w:r>
              <w:rPr>
                <w:rFonts w:cs="Times New Roman"/>
                <w:color w:val="auto"/>
                <w:sz w:val="21"/>
                <w:szCs w:val="21"/>
              </w:rPr>
              <w:t>一般固废暂存间</w:t>
            </w:r>
          </w:p>
        </w:tc>
        <w:tc>
          <w:tcPr>
            <w:tcW w:w="2481" w:type="dxa"/>
            <w:vMerge w:val="restart"/>
            <w:vAlign w:val="center"/>
          </w:tcPr>
          <w:p>
            <w:pPr>
              <w:jc w:val="center"/>
              <w:rPr>
                <w:rFonts w:cs="Times New Roman"/>
                <w:color w:val="auto"/>
                <w:spacing w:val="-2"/>
                <w:sz w:val="21"/>
                <w:szCs w:val="21"/>
              </w:rPr>
            </w:pPr>
            <w:r>
              <w:rPr>
                <w:rFonts w:hint="eastAsia" w:cs="Times New Roman"/>
                <w:color w:val="auto"/>
                <w:sz w:val="21"/>
                <w:szCs w:val="21"/>
              </w:rPr>
              <w:t>固废处置率100%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3" w:type="dxa"/>
            <w:vMerge w:val="continue"/>
            <w:vAlign w:val="center"/>
          </w:tcPr>
          <w:p>
            <w:pPr>
              <w:jc w:val="center"/>
              <w:rPr>
                <w:rFonts w:cs="Times New Roman"/>
                <w:color w:val="auto"/>
                <w:sz w:val="21"/>
                <w:szCs w:val="21"/>
              </w:rPr>
            </w:pPr>
          </w:p>
        </w:tc>
        <w:tc>
          <w:tcPr>
            <w:tcW w:w="1640" w:type="dxa"/>
            <w:vMerge w:val="continue"/>
            <w:vAlign w:val="center"/>
          </w:tcPr>
          <w:p>
            <w:pPr>
              <w:pStyle w:val="75"/>
              <w:snapToGrid w:val="0"/>
              <w:spacing w:line="220" w:lineRule="exact"/>
              <w:jc w:val="center"/>
              <w:rPr>
                <w:rFonts w:ascii="Times New Roman"/>
                <w:color w:val="auto"/>
                <w:sz w:val="21"/>
                <w:szCs w:val="21"/>
              </w:rPr>
            </w:pPr>
          </w:p>
        </w:tc>
        <w:tc>
          <w:tcPr>
            <w:tcW w:w="1775" w:type="dxa"/>
            <w:vAlign w:val="center"/>
          </w:tcPr>
          <w:p>
            <w:pPr>
              <w:pStyle w:val="75"/>
              <w:snapToGrid w:val="0"/>
              <w:spacing w:line="220" w:lineRule="exact"/>
              <w:jc w:val="center"/>
              <w:rPr>
                <w:rFonts w:cs="Times New Roman"/>
                <w:color w:val="auto"/>
                <w:spacing w:val="-6"/>
                <w:sz w:val="21"/>
                <w:szCs w:val="21"/>
              </w:rPr>
            </w:pPr>
            <w:r>
              <w:rPr>
                <w:rFonts w:hint="eastAsia" w:ascii="Times New Roman" w:eastAsia="宋体" w:cs="Times New Roman"/>
                <w:color w:val="auto"/>
                <w:sz w:val="21"/>
                <w:szCs w:val="21"/>
              </w:rPr>
              <w:t>费包装容器（硝酸、贵金属）</w:t>
            </w:r>
          </w:p>
        </w:tc>
        <w:tc>
          <w:tcPr>
            <w:tcW w:w="2168" w:type="dxa"/>
            <w:vMerge w:val="restart"/>
            <w:vAlign w:val="center"/>
          </w:tcPr>
          <w:p>
            <w:pPr>
              <w:jc w:val="center"/>
              <w:rPr>
                <w:rFonts w:cs="Times New Roman"/>
                <w:color w:val="auto"/>
                <w:sz w:val="21"/>
                <w:szCs w:val="21"/>
              </w:rPr>
            </w:pPr>
            <w:r>
              <w:rPr>
                <w:rFonts w:hint="eastAsia" w:cs="Times New Roman"/>
                <w:color w:val="auto"/>
                <w:sz w:val="21"/>
                <w:szCs w:val="21"/>
              </w:rPr>
              <w:t>5m</w:t>
            </w:r>
            <w:r>
              <w:rPr>
                <w:rFonts w:hint="eastAsia" w:cs="Times New Roman"/>
                <w:color w:val="auto"/>
                <w:sz w:val="21"/>
                <w:szCs w:val="21"/>
                <w:vertAlign w:val="superscript"/>
              </w:rPr>
              <w:t>2</w:t>
            </w:r>
            <w:r>
              <w:rPr>
                <w:rFonts w:hint="eastAsia" w:cs="Times New Roman"/>
                <w:color w:val="auto"/>
                <w:sz w:val="21"/>
                <w:szCs w:val="21"/>
              </w:rPr>
              <w:t>危废暂存间</w:t>
            </w:r>
          </w:p>
        </w:tc>
        <w:tc>
          <w:tcPr>
            <w:tcW w:w="2481"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3" w:type="dxa"/>
            <w:vMerge w:val="continue"/>
            <w:vAlign w:val="center"/>
          </w:tcPr>
          <w:p>
            <w:pPr>
              <w:jc w:val="center"/>
              <w:rPr>
                <w:rFonts w:cs="Times New Roman"/>
                <w:color w:val="auto"/>
                <w:sz w:val="21"/>
                <w:szCs w:val="21"/>
              </w:rPr>
            </w:pPr>
          </w:p>
        </w:tc>
        <w:tc>
          <w:tcPr>
            <w:tcW w:w="1640" w:type="dxa"/>
            <w:vAlign w:val="center"/>
          </w:tcPr>
          <w:p>
            <w:pPr>
              <w:jc w:val="center"/>
              <w:rPr>
                <w:color w:val="auto"/>
                <w:sz w:val="21"/>
                <w:szCs w:val="21"/>
              </w:rPr>
            </w:pPr>
            <w:r>
              <w:rPr>
                <w:rFonts w:hint="eastAsia" w:cs="Times New Roman"/>
                <w:color w:val="auto"/>
                <w:sz w:val="21"/>
                <w:szCs w:val="21"/>
              </w:rPr>
              <w:t>检验工序</w:t>
            </w:r>
          </w:p>
        </w:tc>
        <w:tc>
          <w:tcPr>
            <w:tcW w:w="1775" w:type="dxa"/>
            <w:vAlign w:val="center"/>
          </w:tcPr>
          <w:p>
            <w:pPr>
              <w:jc w:val="center"/>
              <w:rPr>
                <w:rFonts w:cs="Times New Roman"/>
                <w:color w:val="auto"/>
                <w:spacing w:val="-6"/>
                <w:sz w:val="21"/>
                <w:szCs w:val="21"/>
              </w:rPr>
            </w:pPr>
            <w:r>
              <w:rPr>
                <w:rFonts w:hint="eastAsia" w:cs="Times New Roman"/>
                <w:color w:val="auto"/>
                <w:sz w:val="21"/>
                <w:szCs w:val="21"/>
              </w:rPr>
              <w:t>不合格产品</w:t>
            </w:r>
          </w:p>
        </w:tc>
        <w:tc>
          <w:tcPr>
            <w:tcW w:w="2168" w:type="dxa"/>
            <w:vMerge w:val="continue"/>
            <w:vAlign w:val="center"/>
          </w:tcPr>
          <w:p>
            <w:pPr>
              <w:jc w:val="center"/>
              <w:rPr>
                <w:rFonts w:cs="Times New Roman"/>
                <w:color w:val="auto"/>
                <w:sz w:val="21"/>
                <w:szCs w:val="21"/>
              </w:rPr>
            </w:pPr>
          </w:p>
        </w:tc>
        <w:tc>
          <w:tcPr>
            <w:tcW w:w="2481"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3" w:type="dxa"/>
            <w:vMerge w:val="continue"/>
            <w:vAlign w:val="center"/>
          </w:tcPr>
          <w:p>
            <w:pPr>
              <w:jc w:val="center"/>
              <w:rPr>
                <w:rFonts w:cs="Times New Roman"/>
                <w:color w:val="auto"/>
                <w:sz w:val="21"/>
                <w:szCs w:val="21"/>
              </w:rPr>
            </w:pPr>
          </w:p>
        </w:tc>
        <w:tc>
          <w:tcPr>
            <w:tcW w:w="1640" w:type="dxa"/>
            <w:vAlign w:val="center"/>
          </w:tcPr>
          <w:p>
            <w:pPr>
              <w:jc w:val="center"/>
              <w:rPr>
                <w:color w:val="auto"/>
                <w:sz w:val="21"/>
                <w:szCs w:val="21"/>
              </w:rPr>
            </w:pPr>
            <w:r>
              <w:rPr>
                <w:rFonts w:hint="eastAsia" w:cs="Times New Roman"/>
                <w:color w:val="auto"/>
                <w:sz w:val="21"/>
                <w:szCs w:val="21"/>
              </w:rPr>
              <w:t>纯水制备</w:t>
            </w:r>
          </w:p>
        </w:tc>
        <w:tc>
          <w:tcPr>
            <w:tcW w:w="1775" w:type="dxa"/>
            <w:vAlign w:val="center"/>
          </w:tcPr>
          <w:p>
            <w:pPr>
              <w:jc w:val="center"/>
              <w:rPr>
                <w:rFonts w:cs="Times New Roman"/>
                <w:color w:val="auto"/>
                <w:spacing w:val="-6"/>
                <w:sz w:val="21"/>
                <w:szCs w:val="21"/>
              </w:rPr>
            </w:pPr>
            <w:r>
              <w:rPr>
                <w:rFonts w:hint="eastAsia" w:cs="Times New Roman"/>
                <w:color w:val="auto"/>
                <w:sz w:val="21"/>
                <w:szCs w:val="21"/>
              </w:rPr>
              <w:t>废滤芯、废反渗透膜</w:t>
            </w:r>
          </w:p>
        </w:tc>
        <w:tc>
          <w:tcPr>
            <w:tcW w:w="2168" w:type="dxa"/>
            <w:vAlign w:val="center"/>
          </w:tcPr>
          <w:p>
            <w:pPr>
              <w:jc w:val="center"/>
              <w:rPr>
                <w:rFonts w:cs="Times New Roman"/>
                <w:color w:val="auto"/>
                <w:sz w:val="21"/>
                <w:szCs w:val="21"/>
              </w:rPr>
            </w:pPr>
            <w:r>
              <w:rPr>
                <w:rFonts w:hint="eastAsia" w:cs="Times New Roman"/>
                <w:color w:val="auto"/>
                <w:sz w:val="21"/>
                <w:szCs w:val="21"/>
              </w:rPr>
              <w:t>由设备厂家定期更换，厂内不暂存</w:t>
            </w:r>
          </w:p>
        </w:tc>
        <w:tc>
          <w:tcPr>
            <w:tcW w:w="2481" w:type="dxa"/>
            <w:vMerge w:val="continue"/>
            <w:vAlign w:val="center"/>
          </w:tcPr>
          <w:p>
            <w:pPr>
              <w:jc w:val="center"/>
              <w:rPr>
                <w:rFonts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3" w:type="dxa"/>
            <w:vMerge w:val="continue"/>
            <w:vAlign w:val="center"/>
          </w:tcPr>
          <w:p>
            <w:pPr>
              <w:jc w:val="center"/>
              <w:rPr>
                <w:rFonts w:cs="Times New Roman"/>
                <w:color w:val="auto"/>
                <w:sz w:val="21"/>
                <w:szCs w:val="21"/>
              </w:rPr>
            </w:pPr>
          </w:p>
        </w:tc>
        <w:tc>
          <w:tcPr>
            <w:tcW w:w="1640" w:type="dxa"/>
            <w:vAlign w:val="center"/>
          </w:tcPr>
          <w:p>
            <w:pPr>
              <w:pStyle w:val="75"/>
              <w:snapToGrid w:val="0"/>
              <w:spacing w:line="220" w:lineRule="exact"/>
              <w:jc w:val="center"/>
              <w:rPr>
                <w:rFonts w:ascii="Times New Roman"/>
                <w:color w:val="auto"/>
                <w:spacing w:val="-2"/>
                <w:sz w:val="21"/>
                <w:szCs w:val="21"/>
              </w:rPr>
            </w:pPr>
            <w:r>
              <w:rPr>
                <w:rFonts w:ascii="Times New Roman" w:eastAsia="宋体" w:cs="Times New Roman"/>
                <w:color w:val="auto"/>
                <w:sz w:val="21"/>
                <w:szCs w:val="21"/>
              </w:rPr>
              <w:t>职工生活</w:t>
            </w:r>
          </w:p>
        </w:tc>
        <w:tc>
          <w:tcPr>
            <w:tcW w:w="1775" w:type="dxa"/>
            <w:vAlign w:val="center"/>
          </w:tcPr>
          <w:p>
            <w:pPr>
              <w:pStyle w:val="75"/>
              <w:snapToGrid w:val="0"/>
              <w:spacing w:line="220" w:lineRule="exact"/>
              <w:jc w:val="center"/>
              <w:rPr>
                <w:rFonts w:cs="Times New Roman"/>
                <w:color w:val="auto"/>
                <w:spacing w:val="-2"/>
                <w:sz w:val="21"/>
                <w:szCs w:val="21"/>
              </w:rPr>
            </w:pPr>
            <w:r>
              <w:rPr>
                <w:rFonts w:ascii="Times New Roman" w:eastAsia="宋体" w:cs="Times New Roman"/>
                <w:color w:val="auto"/>
                <w:sz w:val="21"/>
                <w:szCs w:val="21"/>
              </w:rPr>
              <w:t>生活垃圾</w:t>
            </w:r>
          </w:p>
        </w:tc>
        <w:tc>
          <w:tcPr>
            <w:tcW w:w="2168" w:type="dxa"/>
            <w:vAlign w:val="center"/>
          </w:tcPr>
          <w:p>
            <w:pPr>
              <w:jc w:val="center"/>
              <w:rPr>
                <w:rFonts w:cs="Times New Roman"/>
                <w:color w:val="auto"/>
                <w:spacing w:val="-2"/>
                <w:sz w:val="21"/>
                <w:szCs w:val="21"/>
              </w:rPr>
            </w:pPr>
            <w:r>
              <w:rPr>
                <w:rFonts w:cs="Times New Roman"/>
                <w:color w:val="auto"/>
                <w:spacing w:val="-2"/>
                <w:sz w:val="21"/>
                <w:szCs w:val="21"/>
              </w:rPr>
              <w:t>垃圾箱</w:t>
            </w:r>
          </w:p>
        </w:tc>
        <w:tc>
          <w:tcPr>
            <w:tcW w:w="2481" w:type="dxa"/>
            <w:vAlign w:val="center"/>
          </w:tcPr>
          <w:p>
            <w:pPr>
              <w:jc w:val="center"/>
              <w:rPr>
                <w:rFonts w:cs="Times New Roman"/>
                <w:color w:val="auto"/>
                <w:spacing w:val="-2"/>
                <w:sz w:val="21"/>
                <w:szCs w:val="21"/>
              </w:rPr>
            </w:pPr>
            <w:r>
              <w:rPr>
                <w:rFonts w:cs="Times New Roman"/>
                <w:color w:val="auto"/>
                <w:spacing w:val="-2"/>
                <w:sz w:val="21"/>
                <w:szCs w:val="21"/>
              </w:rPr>
              <w:t>定期清</w:t>
            </w:r>
            <w:r>
              <w:rPr>
                <w:rFonts w:hint="eastAsia" w:cs="Times New Roman"/>
                <w:color w:val="auto"/>
                <w:spacing w:val="-2"/>
                <w:sz w:val="21"/>
                <w:szCs w:val="21"/>
              </w:rP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dxa"/>
            <w:vAlign w:val="center"/>
          </w:tcPr>
          <w:p>
            <w:pPr>
              <w:jc w:val="center"/>
              <w:rPr>
                <w:rFonts w:cs="Times New Roman"/>
                <w:color w:val="auto"/>
                <w:sz w:val="21"/>
                <w:szCs w:val="21"/>
              </w:rPr>
            </w:pPr>
            <w:r>
              <w:rPr>
                <w:rFonts w:cs="Times New Roman"/>
                <w:color w:val="auto"/>
                <w:sz w:val="21"/>
                <w:szCs w:val="21"/>
              </w:rPr>
              <w:t>噪声</w:t>
            </w:r>
          </w:p>
        </w:tc>
        <w:tc>
          <w:tcPr>
            <w:tcW w:w="8064" w:type="dxa"/>
            <w:gridSpan w:val="4"/>
            <w:vAlign w:val="center"/>
          </w:tcPr>
          <w:p>
            <w:pPr>
              <w:ind w:firstLine="408" w:firstLineChars="200"/>
              <w:rPr>
                <w:rFonts w:cs="Times New Roman"/>
                <w:color w:val="auto"/>
                <w:spacing w:val="-3"/>
                <w:sz w:val="21"/>
                <w:szCs w:val="21"/>
              </w:rPr>
            </w:pPr>
            <w:r>
              <w:rPr>
                <w:rFonts w:cs="Times New Roman"/>
                <w:color w:val="auto"/>
                <w:spacing w:val="-3"/>
                <w:sz w:val="21"/>
                <w:szCs w:val="21"/>
              </w:rPr>
              <w:t>项目噪声主要为气动升降乳化机、半自动涂覆机、纯净水机等设备运行产生的机械噪声及风机运行产生的空气动力性噪声，噪声源强约为6</w:t>
            </w:r>
            <w:r>
              <w:rPr>
                <w:rFonts w:hint="eastAsia" w:cs="Times New Roman"/>
                <w:color w:val="auto"/>
                <w:spacing w:val="-3"/>
                <w:sz w:val="21"/>
                <w:szCs w:val="21"/>
              </w:rPr>
              <w:t>5</w:t>
            </w:r>
            <w:r>
              <w:rPr>
                <w:rFonts w:cs="Times New Roman"/>
                <w:color w:val="auto"/>
                <w:spacing w:val="-3"/>
                <w:sz w:val="21"/>
                <w:szCs w:val="21"/>
              </w:rPr>
              <w:t>~90dB（A）。经基础减振、厂房隔音</w:t>
            </w:r>
            <w:r>
              <w:rPr>
                <w:rFonts w:hint="eastAsia" w:cs="Times New Roman"/>
                <w:color w:val="auto"/>
                <w:spacing w:val="-3"/>
                <w:sz w:val="21"/>
                <w:szCs w:val="21"/>
              </w:rPr>
              <w:t>、加装隔声罩、距离衰减等措施</w:t>
            </w:r>
            <w:r>
              <w:rPr>
                <w:rFonts w:cs="Times New Roman"/>
                <w:color w:val="auto"/>
                <w:spacing w:val="-3"/>
                <w:sz w:val="21"/>
                <w:szCs w:val="21"/>
              </w:rPr>
              <w:t>后，各厂界噪声满足《工业企业厂界环境噪声排放标准》（GB12348-2008）</w:t>
            </w:r>
            <w:r>
              <w:rPr>
                <w:rFonts w:hint="eastAsia" w:cs="Times New Roman"/>
                <w:color w:val="auto"/>
                <w:spacing w:val="-3"/>
                <w:sz w:val="21"/>
                <w:szCs w:val="21"/>
              </w:rPr>
              <w:t>2</w:t>
            </w:r>
            <w:r>
              <w:rPr>
                <w:rFonts w:cs="Times New Roman"/>
                <w:color w:val="auto"/>
                <w:spacing w:val="-3"/>
                <w:sz w:val="21"/>
                <w:szCs w:val="21"/>
              </w:rPr>
              <w:t>类标准的要求。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dxa"/>
            <w:vAlign w:val="center"/>
          </w:tcPr>
          <w:p>
            <w:pPr>
              <w:jc w:val="center"/>
              <w:rPr>
                <w:rFonts w:cs="Times New Roman"/>
                <w:color w:val="auto"/>
                <w:sz w:val="21"/>
                <w:szCs w:val="21"/>
              </w:rPr>
            </w:pPr>
            <w:r>
              <w:rPr>
                <w:rFonts w:cs="Times New Roman"/>
                <w:color w:val="auto"/>
                <w:sz w:val="21"/>
                <w:szCs w:val="21"/>
              </w:rPr>
              <w:t>其 他</w:t>
            </w:r>
          </w:p>
        </w:tc>
        <w:tc>
          <w:tcPr>
            <w:tcW w:w="8064" w:type="dxa"/>
            <w:gridSpan w:val="4"/>
            <w:vAlign w:val="center"/>
          </w:tcPr>
          <w:p>
            <w:pPr>
              <w:jc w:val="center"/>
              <w:rPr>
                <w:rFonts w:cs="Times New Roman"/>
                <w:color w:val="auto"/>
                <w:sz w:val="21"/>
                <w:szCs w:val="21"/>
              </w:rPr>
            </w:pPr>
            <w:r>
              <w:rPr>
                <w:rFonts w:hint="eastAsia" w:cs="Times New Roman"/>
                <w:color w:val="auto"/>
                <w:sz w:val="21"/>
                <w:szCs w:val="21"/>
              </w:rPr>
              <w:t>安装部署用电量监控系统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97" w:type="dxa"/>
            <w:gridSpan w:val="5"/>
          </w:tcPr>
          <w:p>
            <w:pPr>
              <w:spacing w:line="480" w:lineRule="auto"/>
              <w:rPr>
                <w:rFonts w:ascii="黑体" w:hAnsi="黑体" w:eastAsia="黑体" w:cs="Times New Roman"/>
                <w:color w:val="auto"/>
                <w:sz w:val="21"/>
                <w:szCs w:val="21"/>
              </w:rPr>
            </w:pPr>
            <w:r>
              <w:rPr>
                <w:rFonts w:ascii="黑体" w:hAnsi="黑体" w:eastAsia="黑体" w:cs="Times New Roman"/>
                <w:color w:val="auto"/>
                <w:sz w:val="21"/>
                <w:szCs w:val="21"/>
              </w:rPr>
              <w:t>生态保护措施及预期效果</w:t>
            </w:r>
          </w:p>
          <w:p>
            <w:pPr>
              <w:adjustRightInd w:val="0"/>
              <w:snapToGrid w:val="0"/>
              <w:spacing w:line="360" w:lineRule="auto"/>
              <w:ind w:firstLine="420" w:firstLineChars="200"/>
              <w:rPr>
                <w:rFonts w:cs="Times New Roman"/>
                <w:color w:val="auto"/>
                <w:sz w:val="21"/>
                <w:szCs w:val="21"/>
              </w:rPr>
            </w:pPr>
            <w:r>
              <w:rPr>
                <w:rFonts w:cs="Times New Roman"/>
                <w:color w:val="auto"/>
                <w:sz w:val="21"/>
                <w:szCs w:val="21"/>
              </w:rPr>
              <w:t>根据现场环境的调查，本项目周围均为工业企业，项目运营期产生的污染因素均采取有效措施进行防治，对周围生态环境影响较小。</w:t>
            </w:r>
          </w:p>
          <w:p>
            <w:pPr>
              <w:adjustRightInd w:val="0"/>
              <w:snapToGrid w:val="0"/>
              <w:spacing w:line="360" w:lineRule="auto"/>
              <w:ind w:firstLine="420" w:firstLineChars="200"/>
              <w:rPr>
                <w:rFonts w:cs="Times New Roman"/>
                <w:color w:val="auto"/>
                <w:sz w:val="21"/>
                <w:szCs w:val="21"/>
              </w:rPr>
            </w:pPr>
          </w:p>
          <w:p>
            <w:pPr>
              <w:pStyle w:val="33"/>
              <w:rPr>
                <w:rFonts w:ascii="Times New Roman" w:hAnsi="Times New Roman" w:cs="Times New Roman"/>
                <w:color w:val="auto"/>
                <w:sz w:val="21"/>
                <w:szCs w:val="21"/>
              </w:rPr>
            </w:pPr>
          </w:p>
          <w:p>
            <w:pPr>
              <w:pStyle w:val="33"/>
              <w:rPr>
                <w:rFonts w:ascii="Times New Roman" w:hAnsi="Times New Roman" w:cs="Times New Roman"/>
                <w:color w:val="auto"/>
                <w:sz w:val="21"/>
                <w:szCs w:val="21"/>
              </w:rPr>
            </w:pPr>
          </w:p>
          <w:p>
            <w:pPr>
              <w:pStyle w:val="33"/>
              <w:rPr>
                <w:rFonts w:ascii="Times New Roman" w:hAnsi="Times New Roman" w:cs="Times New Roman"/>
                <w:color w:val="auto"/>
                <w:sz w:val="21"/>
                <w:szCs w:val="21"/>
              </w:rPr>
            </w:pPr>
          </w:p>
          <w:p>
            <w:pPr>
              <w:adjustRightInd w:val="0"/>
              <w:snapToGrid w:val="0"/>
              <w:spacing w:line="360" w:lineRule="auto"/>
              <w:ind w:firstLine="420" w:firstLineChars="200"/>
              <w:rPr>
                <w:rFonts w:cs="Times New Roman"/>
                <w:color w:val="auto"/>
                <w:sz w:val="21"/>
                <w:szCs w:val="21"/>
              </w:rPr>
            </w:pPr>
          </w:p>
          <w:p>
            <w:pPr>
              <w:adjustRightInd w:val="0"/>
              <w:snapToGrid w:val="0"/>
              <w:spacing w:line="360" w:lineRule="auto"/>
              <w:ind w:firstLine="420" w:firstLineChars="200"/>
              <w:rPr>
                <w:rFonts w:cs="Times New Roman"/>
                <w:color w:val="auto"/>
                <w:sz w:val="21"/>
                <w:szCs w:val="21"/>
              </w:rPr>
            </w:pPr>
          </w:p>
          <w:p>
            <w:pPr>
              <w:adjustRightInd w:val="0"/>
              <w:snapToGrid w:val="0"/>
              <w:spacing w:line="360" w:lineRule="auto"/>
              <w:rPr>
                <w:rFonts w:cs="Times New Roman"/>
                <w:color w:val="auto"/>
                <w:sz w:val="21"/>
                <w:szCs w:val="21"/>
              </w:rPr>
            </w:pPr>
          </w:p>
        </w:tc>
      </w:tr>
    </w:tbl>
    <w:p>
      <w:pPr>
        <w:spacing w:line="360" w:lineRule="auto"/>
        <w:jc w:val="left"/>
        <w:rPr>
          <w:rFonts w:eastAsia="黑体" w:cs="Times New Roman"/>
          <w:color w:val="auto"/>
          <w:sz w:val="30"/>
        </w:rPr>
      </w:pPr>
      <w:r>
        <w:rPr>
          <w:rFonts w:cs="Times New Roman"/>
          <w:b/>
          <w:color w:val="auto"/>
          <w:sz w:val="30"/>
        </w:rPr>
        <w:br w:type="page"/>
      </w:r>
      <w:r>
        <w:rPr>
          <w:rFonts w:eastAsia="黑体" w:cs="Times New Roman"/>
          <w:color w:val="auto"/>
          <w:sz w:val="30"/>
        </w:rPr>
        <w:t>结论与建议</w:t>
      </w:r>
    </w:p>
    <w:tbl>
      <w:tblPr>
        <w:tblStyle w:val="26"/>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8798" w:type="dxa"/>
          </w:tcPr>
          <w:p>
            <w:pPr>
              <w:adjustRightInd w:val="0"/>
              <w:snapToGrid w:val="0"/>
              <w:spacing w:line="500" w:lineRule="exact"/>
              <w:rPr>
                <w:rFonts w:eastAsia="黑体" w:cs="Times New Roman"/>
                <w:color w:val="auto"/>
                <w:szCs w:val="28"/>
              </w:rPr>
            </w:pPr>
            <w:r>
              <w:rPr>
                <w:rFonts w:eastAsia="黑体" w:cs="Times New Roman"/>
                <w:color w:val="auto"/>
                <w:szCs w:val="28"/>
              </w:rPr>
              <w:t>一、评价结论</w:t>
            </w:r>
          </w:p>
          <w:p>
            <w:pPr>
              <w:adjustRightInd w:val="0"/>
              <w:snapToGrid w:val="0"/>
              <w:spacing w:line="500" w:lineRule="exact"/>
              <w:jc w:val="left"/>
              <w:rPr>
                <w:rFonts w:eastAsia="黑体" w:cs="Times New Roman"/>
                <w:bCs/>
                <w:color w:val="auto"/>
                <w:sz w:val="24"/>
              </w:rPr>
            </w:pPr>
            <w:r>
              <w:rPr>
                <w:rFonts w:eastAsia="黑体" w:cs="Times New Roman"/>
                <w:bCs/>
                <w:color w:val="auto"/>
                <w:sz w:val="24"/>
              </w:rPr>
              <w:t>1、项目建设符合国家产业政策</w:t>
            </w:r>
          </w:p>
          <w:p>
            <w:pPr>
              <w:adjustRightInd w:val="0"/>
              <w:snapToGrid w:val="0"/>
              <w:spacing w:line="500" w:lineRule="exact"/>
              <w:ind w:firstLine="480" w:firstLineChars="200"/>
              <w:rPr>
                <w:rFonts w:cs="Times New Roman"/>
                <w:b/>
                <w:color w:val="auto"/>
                <w:sz w:val="24"/>
              </w:rPr>
            </w:pPr>
            <w:r>
              <w:rPr>
                <w:rFonts w:cs="Times New Roman"/>
                <w:color w:val="auto"/>
                <w:sz w:val="24"/>
                <w:szCs w:val="24"/>
              </w:rPr>
              <w:t>对照《产业结构调整指导目录（2011年本）（2013修正）》，本项目</w:t>
            </w:r>
            <w:r>
              <w:rPr>
                <w:rFonts w:hint="eastAsia" w:cs="Times New Roman"/>
                <w:color w:val="auto"/>
                <w:sz w:val="24"/>
                <w:szCs w:val="24"/>
              </w:rPr>
              <w:t>不属于限制类和淘汰类项目，属于允许类，同时</w:t>
            </w:r>
            <w:r>
              <w:rPr>
                <w:rFonts w:cs="Times New Roman"/>
                <w:color w:val="auto"/>
                <w:sz w:val="24"/>
                <w:szCs w:val="24"/>
              </w:rPr>
              <w:t>新乡市凤泉区发展和改革委员会同意该项目备案，项目代码为</w:t>
            </w:r>
            <w:r>
              <w:rPr>
                <w:rFonts w:hint="eastAsia" w:cs="Times New Roman"/>
                <w:color w:val="auto"/>
                <w:sz w:val="24"/>
                <w:szCs w:val="24"/>
              </w:rPr>
              <w:t>2019-410704-34-03-051695</w:t>
            </w:r>
            <w:r>
              <w:rPr>
                <w:rFonts w:cs="Times New Roman"/>
                <w:color w:val="auto"/>
                <w:sz w:val="24"/>
                <w:szCs w:val="24"/>
              </w:rPr>
              <w:t>，本项目符合国家有关产业政策</w:t>
            </w:r>
            <w:r>
              <w:rPr>
                <w:rFonts w:cs="Times New Roman"/>
                <w:color w:val="auto"/>
                <w:sz w:val="24"/>
              </w:rPr>
              <w:t>。</w:t>
            </w:r>
          </w:p>
          <w:p>
            <w:pPr>
              <w:adjustRightInd w:val="0"/>
              <w:snapToGrid w:val="0"/>
              <w:spacing w:line="500" w:lineRule="exact"/>
              <w:jc w:val="left"/>
              <w:rPr>
                <w:rFonts w:eastAsia="黑体" w:cs="Times New Roman"/>
                <w:bCs/>
                <w:color w:val="auto"/>
                <w:sz w:val="24"/>
              </w:rPr>
            </w:pPr>
            <w:r>
              <w:rPr>
                <w:rFonts w:eastAsia="黑体" w:cs="Times New Roman"/>
                <w:bCs/>
                <w:color w:val="auto"/>
                <w:sz w:val="24"/>
              </w:rPr>
              <w:t>2、项目选址可行性</w:t>
            </w:r>
          </w:p>
          <w:p>
            <w:pPr>
              <w:adjustRightInd w:val="0"/>
              <w:snapToGrid w:val="0"/>
              <w:spacing w:line="500" w:lineRule="exact"/>
              <w:ind w:firstLine="480" w:firstLineChars="200"/>
              <w:jc w:val="left"/>
              <w:rPr>
                <w:rFonts w:cs="Times New Roman"/>
                <w:bCs/>
                <w:color w:val="auto"/>
                <w:sz w:val="24"/>
                <w:szCs w:val="24"/>
              </w:rPr>
            </w:pPr>
            <w:r>
              <w:rPr>
                <w:rFonts w:cs="Times New Roman"/>
                <w:color w:val="auto"/>
                <w:sz w:val="24"/>
                <w:szCs w:val="24"/>
              </w:rPr>
              <w:t>项目选址位于</w:t>
            </w:r>
            <w:r>
              <w:rPr>
                <w:rFonts w:hint="eastAsia" w:cs="Times New Roman"/>
                <w:color w:val="auto"/>
                <w:sz w:val="24"/>
                <w:szCs w:val="24"/>
              </w:rPr>
              <w:t>新乡市动力电池专业园区</w:t>
            </w:r>
            <w:r>
              <w:rPr>
                <w:rFonts w:cs="Times New Roman"/>
                <w:color w:val="auto"/>
                <w:sz w:val="24"/>
                <w:szCs w:val="24"/>
              </w:rPr>
              <w:t>，根据新乡动力电池专用园区土地利用规划图，项目用地为工业用地，符合土地利用规划</w:t>
            </w:r>
            <w:r>
              <w:rPr>
                <w:rFonts w:hint="eastAsia" w:cs="Times New Roman"/>
                <w:color w:val="auto"/>
                <w:sz w:val="24"/>
                <w:szCs w:val="24"/>
              </w:rPr>
              <w:t>，根据</w:t>
            </w:r>
            <w:r>
              <w:rPr>
                <w:rFonts w:cs="Times New Roman"/>
                <w:color w:val="auto"/>
                <w:sz w:val="24"/>
                <w:szCs w:val="24"/>
              </w:rPr>
              <w:t>新乡动力电池专用园区</w:t>
            </w:r>
            <w:r>
              <w:rPr>
                <w:rFonts w:hint="eastAsia" w:cs="Times New Roman"/>
                <w:color w:val="auto"/>
                <w:sz w:val="24"/>
                <w:szCs w:val="24"/>
              </w:rPr>
              <w:t>功能分区</w:t>
            </w:r>
            <w:r>
              <w:rPr>
                <w:rFonts w:cs="Times New Roman"/>
                <w:color w:val="auto"/>
                <w:sz w:val="24"/>
                <w:szCs w:val="24"/>
              </w:rPr>
              <w:t>规划图，项目</w:t>
            </w:r>
            <w:r>
              <w:rPr>
                <w:rFonts w:hint="eastAsia" w:cs="Times New Roman"/>
                <w:color w:val="auto"/>
                <w:sz w:val="24"/>
                <w:szCs w:val="24"/>
              </w:rPr>
              <w:t>所在地属于电源材料及配件产业区，根据新乡市凤泉区产业集聚区管理委员会出具的证明，本项目符合园区产业发展规划、土地利用规划和总体规划要求，同意本项目入驻该园区；</w:t>
            </w:r>
            <w:r>
              <w:rPr>
                <w:rFonts w:cs="Times New Roman"/>
                <w:bCs/>
                <w:color w:val="auto"/>
                <w:spacing w:val="-6"/>
                <w:sz w:val="24"/>
                <w:szCs w:val="24"/>
              </w:rPr>
              <w:t>项目选址不在新乡市饮用水水源地保护区范围内，项目建设不会对其产生影响；项目选址不在南水北调总干渠保护区范围内，项目建设不会对其产生影响</w:t>
            </w:r>
            <w:r>
              <w:rPr>
                <w:rFonts w:hint="eastAsia" w:cs="Times New Roman"/>
                <w:bCs/>
                <w:color w:val="auto"/>
                <w:spacing w:val="-6"/>
                <w:sz w:val="24"/>
                <w:szCs w:val="24"/>
              </w:rPr>
              <w:t>；</w:t>
            </w:r>
            <w:r>
              <w:rPr>
                <w:rFonts w:cs="Times New Roman"/>
                <w:bCs/>
                <w:color w:val="auto"/>
                <w:sz w:val="24"/>
                <w:szCs w:val="24"/>
              </w:rPr>
              <w:t>项目废气、废水、固废、噪声等污染物在采取评价要求和建议的防治措施后，各污染物均能实现达标排放或合理处置，对区域环境影响可以接受；厂址供水、供电充足，厂区平面布置合理。从环保角度而言，项目选址可行。</w:t>
            </w:r>
          </w:p>
          <w:p>
            <w:pPr>
              <w:adjustRightInd w:val="0"/>
              <w:snapToGrid w:val="0"/>
              <w:spacing w:line="500" w:lineRule="exact"/>
              <w:jc w:val="left"/>
              <w:rPr>
                <w:rFonts w:eastAsia="黑体" w:cs="Times New Roman"/>
                <w:bCs/>
                <w:color w:val="auto"/>
                <w:sz w:val="24"/>
              </w:rPr>
            </w:pPr>
            <w:r>
              <w:rPr>
                <w:rFonts w:eastAsia="黑体" w:cs="Times New Roman"/>
                <w:bCs/>
                <w:color w:val="auto"/>
                <w:sz w:val="24"/>
              </w:rPr>
              <w:t>3、项目的污染治理措施可行性分析</w:t>
            </w:r>
          </w:p>
          <w:p>
            <w:pPr>
              <w:pStyle w:val="23"/>
              <w:adjustRightInd w:val="0"/>
              <w:snapToGrid w:val="0"/>
              <w:spacing w:before="0" w:beforeAutospacing="0" w:after="0" w:afterAutospacing="0" w:line="500" w:lineRule="exact"/>
              <w:ind w:firstLine="480" w:firstLineChars="200"/>
              <w:jc w:val="both"/>
              <w:rPr>
                <w:rFonts w:ascii="Times New Roman" w:hAnsi="Times New Roman" w:cs="Times New Roman"/>
                <w:color w:val="auto"/>
              </w:rPr>
            </w:pPr>
            <w:r>
              <w:rPr>
                <w:rFonts w:ascii="Times New Roman" w:hAnsi="Times New Roman" w:cs="Times New Roman"/>
                <w:color w:val="auto"/>
              </w:rPr>
              <w:t>（1）环境空气</w:t>
            </w:r>
          </w:p>
          <w:p>
            <w:pPr>
              <w:pStyle w:val="23"/>
              <w:adjustRightInd w:val="0"/>
              <w:snapToGrid w:val="0"/>
              <w:spacing w:before="0" w:beforeAutospacing="0" w:after="0" w:afterAutospacing="0" w:line="384"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本项目废气主要包括配料工序产生的颗粒物和烘干、烘焙工序产生的NO</w:t>
            </w:r>
            <w:r>
              <w:rPr>
                <w:rFonts w:hint="eastAsia" w:ascii="Times New Roman" w:hAnsi="Times New Roman" w:cs="Times New Roman"/>
                <w:color w:val="auto"/>
                <w:vertAlign w:val="subscript"/>
              </w:rPr>
              <w:t>2</w:t>
            </w:r>
            <w:r>
              <w:rPr>
                <w:rFonts w:hint="eastAsia" w:ascii="Times New Roman" w:hAnsi="Times New Roman" w:cs="Times New Roman"/>
                <w:color w:val="auto"/>
              </w:rPr>
              <w:t>。配料工序颗粒物排放</w:t>
            </w:r>
            <w:r>
              <w:rPr>
                <w:rFonts w:ascii="Times New Roman" w:hAnsi="Times New Roman" w:cs="Times New Roman"/>
                <w:color w:val="auto"/>
              </w:rPr>
              <w:t>能够</w:t>
            </w:r>
            <w:r>
              <w:rPr>
                <w:rFonts w:hint="eastAsia" w:ascii="Times New Roman" w:hAnsi="Times New Roman" w:cs="Times New Roman"/>
                <w:color w:val="auto"/>
              </w:rPr>
              <w:t>满足《大气污染物综合排放标准》（GB16297-1996）表2二级标准要求；烘干、烘焙工序NO</w:t>
            </w:r>
            <w:r>
              <w:rPr>
                <w:rFonts w:hint="eastAsia" w:ascii="Times New Roman" w:hAnsi="Times New Roman" w:cs="Times New Roman"/>
                <w:color w:val="auto"/>
                <w:vertAlign w:val="subscript"/>
              </w:rPr>
              <w:t>2</w:t>
            </w:r>
            <w:r>
              <w:rPr>
                <w:rFonts w:hint="eastAsia" w:ascii="Times New Roman" w:hAnsi="Times New Roman" w:cs="Times New Roman"/>
                <w:color w:val="auto"/>
              </w:rPr>
              <w:t>排放满足《新乡市环境污染攻坚战三年行动实施方案》（2018-2020）要求颗粒物、二氧化硫、氮氧化物排放限值分别不高于 30 毫克/立方米、200 毫克/立方米、300 毫克/立方米。</w:t>
            </w:r>
            <w:r>
              <w:rPr>
                <w:rFonts w:ascii="Times New Roman" w:hAnsi="Times New Roman" w:cs="Times New Roman"/>
                <w:color w:val="auto"/>
              </w:rPr>
              <w:t>本项目废气污染物对周围环境影响可接受。</w:t>
            </w:r>
          </w:p>
          <w:p>
            <w:pPr>
              <w:pStyle w:val="23"/>
              <w:adjustRightInd w:val="0"/>
              <w:snapToGrid w:val="0"/>
              <w:spacing w:before="0" w:beforeAutospacing="0" w:after="0" w:afterAutospacing="0" w:line="384" w:lineRule="auto"/>
              <w:ind w:firstLine="480" w:firstLineChars="200"/>
              <w:jc w:val="both"/>
              <w:rPr>
                <w:rFonts w:ascii="Times New Roman" w:hAnsi="Times New Roman" w:cs="Times New Roman"/>
                <w:bCs/>
                <w:color w:val="auto"/>
              </w:rPr>
            </w:pPr>
            <w:r>
              <w:rPr>
                <w:rFonts w:ascii="Times New Roman" w:hAnsi="Times New Roman" w:cs="Times New Roman"/>
                <w:bCs/>
                <w:color w:val="auto"/>
              </w:rPr>
              <w:t xml:space="preserve">（2）地表水  </w:t>
            </w:r>
          </w:p>
          <w:p>
            <w:pPr>
              <w:spacing w:line="384" w:lineRule="auto"/>
              <w:ind w:firstLine="480" w:firstLineChars="200"/>
              <w:jc w:val="left"/>
              <w:rPr>
                <w:rFonts w:cs="Times New Roman"/>
                <w:bCs/>
                <w:color w:val="auto"/>
                <w:sz w:val="24"/>
                <w:szCs w:val="24"/>
              </w:rPr>
            </w:pPr>
            <w:r>
              <w:rPr>
                <w:rFonts w:hint="eastAsia"/>
                <w:color w:val="auto"/>
                <w:sz w:val="24"/>
                <w:szCs w:val="24"/>
              </w:rPr>
              <w:t>本项目纯水制备废水用于厂区地面洒水降尘、</w:t>
            </w:r>
            <w:r>
              <w:rPr>
                <w:rFonts w:hint="eastAsia"/>
                <w:color w:val="auto"/>
                <w:sz w:val="24"/>
                <w:szCs w:val="24"/>
                <w:lang w:val="en-US" w:eastAsia="zh-CN"/>
              </w:rPr>
              <w:t>喷淋塔喷淋废水絮凝沉淀后循环使用</w:t>
            </w:r>
            <w:r>
              <w:rPr>
                <w:rFonts w:hint="eastAsia"/>
                <w:color w:val="auto"/>
                <w:sz w:val="24"/>
                <w:szCs w:val="24"/>
              </w:rPr>
              <w:t>，外排废水主要为生活污水。生活污水依托产厂区现有化粪池处理后，近期定期清运，远期待大块镇污水处理厂运行后，进入大块镇污水处理厂进一步处理。</w:t>
            </w:r>
            <w:r>
              <w:rPr>
                <w:rFonts w:cs="Times New Roman"/>
                <w:bCs/>
                <w:color w:val="auto"/>
                <w:sz w:val="24"/>
                <w:szCs w:val="24"/>
              </w:rPr>
              <w:t>项目废水治理措施可行，</w:t>
            </w:r>
            <w:r>
              <w:rPr>
                <w:rFonts w:hint="eastAsia" w:cs="Times New Roman"/>
                <w:bCs/>
                <w:color w:val="auto"/>
                <w:sz w:val="24"/>
                <w:szCs w:val="24"/>
              </w:rPr>
              <w:t>对</w:t>
            </w:r>
            <w:r>
              <w:rPr>
                <w:rFonts w:cs="Times New Roman"/>
                <w:bCs/>
                <w:color w:val="auto"/>
                <w:sz w:val="24"/>
                <w:szCs w:val="24"/>
              </w:rPr>
              <w:t>地表水环境影响可接受。</w:t>
            </w:r>
          </w:p>
          <w:p>
            <w:pPr>
              <w:pStyle w:val="23"/>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ascii="Times New Roman" w:hAnsi="Times New Roman" w:cs="Times New Roman"/>
                <w:bCs/>
                <w:color w:val="auto"/>
              </w:rPr>
            </w:pPr>
            <w:r>
              <w:rPr>
                <w:rFonts w:ascii="Times New Roman" w:hAnsi="Times New Roman" w:cs="Times New Roman"/>
                <w:bCs/>
                <w:color w:val="auto"/>
              </w:rPr>
              <w:t>（3）声环境</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color w:val="auto"/>
                <w:sz w:val="24"/>
                <w:szCs w:val="24"/>
              </w:rPr>
              <w:t>项目噪声主要为气动升降乳化机、半自动涂覆机、纯净水机等设备运行产生的机械噪声及风机运行产生的空气动力性噪声，噪声源强约为65~90dB（A），经基础减振、厂房隔音、加装隔声罩等措施后，各厂界噪声满足《工业企业厂界环境噪声排放标准》（GB12348-2008）2类标准要求。项目噪声对周围声环境影响可接受。</w:t>
            </w:r>
          </w:p>
          <w:p>
            <w:pPr>
              <w:pStyle w:val="23"/>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ascii="Times New Roman" w:hAnsi="Times New Roman" w:cs="Times New Roman"/>
                <w:bCs/>
                <w:color w:val="auto"/>
              </w:rPr>
            </w:pPr>
            <w:r>
              <w:rPr>
                <w:rFonts w:ascii="Times New Roman" w:hAnsi="Times New Roman" w:cs="Times New Roman"/>
                <w:bCs/>
                <w:color w:val="auto"/>
              </w:rPr>
              <w:t xml:space="preserve">（4）固体废物 </w:t>
            </w:r>
          </w:p>
          <w:p>
            <w:pPr>
              <w:pStyle w:val="80"/>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b w:val="0"/>
                <w:bCs/>
                <w:color w:val="auto"/>
                <w:sz w:val="24"/>
                <w:szCs w:val="24"/>
                <w:lang w:eastAsia="zh-CN"/>
              </w:rPr>
            </w:pPr>
            <w:r>
              <w:rPr>
                <w:rFonts w:hint="default" w:ascii="Times New Roman" w:hAnsi="Times New Roman"/>
                <w:b w:val="0"/>
                <w:bCs/>
                <w:color w:val="auto"/>
                <w:sz w:val="24"/>
                <w:szCs w:val="24"/>
                <w:lang w:eastAsia="zh-CN"/>
              </w:rPr>
              <w:t>项目固废主要包括原料拆装过程中产生的废包装袋、废玻璃瓶（硝酸、贵金属）、检验不合格产品、纯水制备过程中产生的废滤芯和反渗透膜及职工办公生活垃圾。其中原料拆装过程产生的废玻璃容器（硝酸、贵金属容器）、检验过程中产生的不合格产品属于危险废物。</w:t>
            </w:r>
          </w:p>
          <w:p>
            <w:pPr>
              <w:pStyle w:val="23"/>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ascii="Times New Roman" w:hAnsi="Times New Roman" w:cs="Times New Roman"/>
                <w:color w:val="auto"/>
              </w:rPr>
            </w:pPr>
            <w:r>
              <w:rPr>
                <w:rFonts w:ascii="Times New Roman" w:hAnsi="Times New Roman" w:cs="Times New Roman"/>
                <w:bCs/>
                <w:color w:val="auto"/>
              </w:rPr>
              <w:t>项目设置5m</w:t>
            </w:r>
            <w:r>
              <w:rPr>
                <w:rFonts w:ascii="Times New Roman" w:hAnsi="Times New Roman" w:cs="Times New Roman"/>
                <w:bCs/>
                <w:color w:val="auto"/>
                <w:vertAlign w:val="superscript"/>
              </w:rPr>
              <w:t>2</w:t>
            </w:r>
            <w:r>
              <w:rPr>
                <w:rFonts w:ascii="Times New Roman" w:hAnsi="Times New Roman" w:cs="Times New Roman"/>
                <w:bCs/>
                <w:color w:val="auto"/>
              </w:rPr>
              <w:t>一般固废暂存间一座，对一般固废进行分类暂存，一般固废暂存间和危废暂存间严格按照《一般工业固体废物贮存、处置场污染控制标准》（GB18599－2001）（2013年修订）要求建设，一般固废暂存后定期外售；设置5m</w:t>
            </w:r>
            <w:r>
              <w:rPr>
                <w:rFonts w:ascii="Times New Roman" w:hAnsi="Times New Roman" w:cs="Times New Roman"/>
                <w:bCs/>
                <w:color w:val="auto"/>
                <w:vertAlign w:val="superscript"/>
              </w:rPr>
              <w:t>2</w:t>
            </w:r>
            <w:r>
              <w:rPr>
                <w:rFonts w:ascii="Times New Roman" w:hAnsi="Times New Roman" w:cs="Times New Roman"/>
                <w:bCs/>
                <w:color w:val="auto"/>
              </w:rPr>
              <w:t>危险废物暂存间一座，对危险废物分类暂存，危废暂存间严格按照《危险废物贮存污染控制标准（GB18597-2001）》（2013修订）的要求进行建设，危险废物暂存后委托资质单位进行处置。采取以上措施后，项目固废</w:t>
            </w:r>
            <w:r>
              <w:rPr>
                <w:rFonts w:ascii="Times New Roman" w:hAnsi="Times New Roman" w:cs="Times New Roman"/>
                <w:color w:val="auto"/>
              </w:rPr>
              <w:t>不会对周围环境造成影响，因此本项目固废处置方案可行。</w:t>
            </w:r>
          </w:p>
          <w:p>
            <w:pPr>
              <w:pStyle w:val="23"/>
              <w:adjustRightInd w:val="0"/>
              <w:snapToGrid w:val="0"/>
              <w:spacing w:before="0" w:beforeAutospacing="0" w:after="0" w:afterAutospacing="0" w:line="360" w:lineRule="auto"/>
              <w:jc w:val="both"/>
              <w:rPr>
                <w:rFonts w:ascii="Times New Roman" w:hAnsi="Times New Roman" w:eastAsia="黑体" w:cs="Times New Roman"/>
                <w:bCs/>
                <w:color w:val="auto"/>
              </w:rPr>
            </w:pPr>
            <w:r>
              <w:rPr>
                <w:rFonts w:ascii="Times New Roman" w:hAnsi="Times New Roman" w:eastAsia="黑体" w:cs="Times New Roman"/>
                <w:bCs/>
                <w:color w:val="auto"/>
              </w:rPr>
              <w:t>4、总量控制</w:t>
            </w:r>
          </w:p>
          <w:p>
            <w:pPr>
              <w:adjustRightInd w:val="0"/>
              <w:snapToGrid w:val="0"/>
              <w:spacing w:line="360" w:lineRule="auto"/>
              <w:ind w:firstLine="480" w:firstLineChars="200"/>
              <w:rPr>
                <w:rFonts w:cs="Times New Roman"/>
                <w:bCs/>
                <w:color w:val="auto"/>
                <w:kern w:val="0"/>
                <w:sz w:val="24"/>
                <w:szCs w:val="24"/>
              </w:rPr>
            </w:pPr>
            <w:r>
              <w:rPr>
                <w:rFonts w:hint="eastAsia" w:cs="Times New Roman"/>
                <w:bCs/>
                <w:color w:val="auto"/>
                <w:kern w:val="0"/>
                <w:sz w:val="24"/>
                <w:szCs w:val="24"/>
              </w:rPr>
              <w:t>本项目总量控制指标为COD0.0029t/a、氨氮0.0001t/a、总磷0.00003t/a;颗粒物0.0042t/a，氮氧化物0.0235t/a。</w:t>
            </w:r>
          </w:p>
          <w:p>
            <w:pPr>
              <w:adjustRightInd w:val="0"/>
              <w:snapToGrid w:val="0"/>
              <w:spacing w:line="460" w:lineRule="exact"/>
              <w:jc w:val="left"/>
              <w:rPr>
                <w:rFonts w:eastAsia="黑体" w:cs="Times New Roman"/>
                <w:bCs/>
                <w:color w:val="auto"/>
                <w:sz w:val="24"/>
              </w:rPr>
            </w:pPr>
            <w:r>
              <w:rPr>
                <w:rFonts w:hint="eastAsia" w:eastAsia="黑体" w:cs="Times New Roman"/>
                <w:bCs/>
                <w:color w:val="auto"/>
                <w:sz w:val="24"/>
              </w:rPr>
              <w:t>5</w:t>
            </w:r>
            <w:r>
              <w:rPr>
                <w:rFonts w:eastAsia="黑体" w:cs="Times New Roman"/>
                <w:bCs/>
                <w:color w:val="auto"/>
                <w:sz w:val="24"/>
              </w:rPr>
              <w:t>、环保投资</w:t>
            </w:r>
          </w:p>
          <w:p>
            <w:pPr>
              <w:adjustRightInd w:val="0"/>
              <w:snapToGrid w:val="0"/>
              <w:spacing w:line="460" w:lineRule="exact"/>
              <w:jc w:val="left"/>
              <w:rPr>
                <w:rFonts w:cs="Times New Roman"/>
                <w:color w:val="auto"/>
                <w:sz w:val="24"/>
              </w:rPr>
            </w:pPr>
            <w:r>
              <w:rPr>
                <w:rFonts w:cs="Times New Roman"/>
                <w:b/>
                <w:bCs/>
                <w:color w:val="auto"/>
                <w:sz w:val="24"/>
              </w:rPr>
              <w:t xml:space="preserve">    </w:t>
            </w:r>
            <w:r>
              <w:rPr>
                <w:rFonts w:cs="Times New Roman"/>
                <w:bCs/>
                <w:color w:val="auto"/>
                <w:sz w:val="24"/>
              </w:rPr>
              <w:t>项目总投资</w:t>
            </w:r>
            <w:r>
              <w:rPr>
                <w:rFonts w:hint="eastAsia" w:cs="Times New Roman"/>
                <w:bCs/>
                <w:color w:val="auto"/>
                <w:sz w:val="24"/>
              </w:rPr>
              <w:t>1000</w:t>
            </w:r>
            <w:r>
              <w:rPr>
                <w:rFonts w:cs="Times New Roman"/>
                <w:bCs/>
                <w:color w:val="auto"/>
                <w:sz w:val="24"/>
              </w:rPr>
              <w:t>万，环保投资</w:t>
            </w:r>
            <w:r>
              <w:rPr>
                <w:rFonts w:hint="eastAsia" w:cs="Times New Roman"/>
                <w:bCs/>
                <w:color w:val="auto"/>
                <w:sz w:val="24"/>
              </w:rPr>
              <w:t>9.5</w:t>
            </w:r>
            <w:r>
              <w:rPr>
                <w:rFonts w:cs="Times New Roman"/>
                <w:bCs/>
                <w:color w:val="auto"/>
                <w:sz w:val="24"/>
              </w:rPr>
              <w:t>万，占总投资比例的</w:t>
            </w:r>
            <w:r>
              <w:rPr>
                <w:rFonts w:hint="eastAsia" w:cs="Times New Roman"/>
                <w:bCs/>
                <w:color w:val="auto"/>
                <w:sz w:val="24"/>
              </w:rPr>
              <w:t>0.95</w:t>
            </w:r>
            <w:r>
              <w:rPr>
                <w:rFonts w:cs="Times New Roman"/>
                <w:bCs/>
                <w:color w:val="auto"/>
                <w:sz w:val="24"/>
              </w:rPr>
              <w:t>%，应在建设过程中认真落实。</w:t>
            </w:r>
          </w:p>
          <w:p>
            <w:pPr>
              <w:autoSpaceDE w:val="0"/>
              <w:autoSpaceDN w:val="0"/>
              <w:adjustRightInd w:val="0"/>
              <w:snapToGrid w:val="0"/>
              <w:spacing w:line="500" w:lineRule="exact"/>
              <w:ind w:right="264"/>
              <w:jc w:val="left"/>
              <w:rPr>
                <w:rFonts w:eastAsia="黑体" w:cs="Times New Roman"/>
                <w:color w:val="auto"/>
                <w:szCs w:val="28"/>
              </w:rPr>
            </w:pPr>
            <w:r>
              <w:rPr>
                <w:rFonts w:cs="Times New Roman"/>
                <w:color w:val="auto"/>
                <w:kern w:val="0"/>
                <w:sz w:val="24"/>
                <w:szCs w:val="24"/>
              </w:rPr>
              <w:t xml:space="preserve"> </w:t>
            </w:r>
            <w:r>
              <w:rPr>
                <w:rFonts w:eastAsia="黑体" w:cs="Times New Roman"/>
                <w:color w:val="auto"/>
                <w:szCs w:val="28"/>
              </w:rPr>
              <w:t>二、评价建议</w:t>
            </w:r>
          </w:p>
          <w:p>
            <w:pPr>
              <w:adjustRightInd w:val="0"/>
              <w:snapToGrid w:val="0"/>
              <w:spacing w:line="500" w:lineRule="exact"/>
              <w:ind w:firstLine="480" w:firstLineChars="200"/>
              <w:rPr>
                <w:rFonts w:cs="Times New Roman"/>
                <w:color w:val="auto"/>
                <w:sz w:val="24"/>
              </w:rPr>
            </w:pPr>
            <w:r>
              <w:rPr>
                <w:rFonts w:cs="Times New Roman"/>
                <w:color w:val="auto"/>
                <w:sz w:val="24"/>
              </w:rPr>
              <w:t>1  建议项目建设单位严格落实环保“三同时”制度，待各项污染防治措施建成，及时申请建设项目竣工环境保护验收。</w:t>
            </w:r>
          </w:p>
          <w:p>
            <w:pPr>
              <w:adjustRightInd w:val="0"/>
              <w:snapToGrid w:val="0"/>
              <w:spacing w:line="500" w:lineRule="exact"/>
              <w:ind w:firstLine="480" w:firstLineChars="200"/>
              <w:rPr>
                <w:rFonts w:cs="Times New Roman"/>
                <w:color w:val="auto"/>
                <w:sz w:val="24"/>
              </w:rPr>
            </w:pPr>
            <w:r>
              <w:rPr>
                <w:rFonts w:cs="Times New Roman"/>
                <w:color w:val="auto"/>
                <w:sz w:val="24"/>
              </w:rPr>
              <w:t>2  加强职工操作培训，提高职工技术水平和安全环保意识，建立健全的各项规章制度，注意正确的操作规程。避免因操作失误造成的安全事故和环境影响。</w:t>
            </w:r>
          </w:p>
          <w:p>
            <w:pPr>
              <w:adjustRightInd w:val="0"/>
              <w:snapToGrid w:val="0"/>
              <w:spacing w:line="500" w:lineRule="exact"/>
              <w:ind w:firstLine="480" w:firstLineChars="200"/>
              <w:rPr>
                <w:rFonts w:cs="Times New Roman"/>
                <w:color w:val="auto"/>
                <w:sz w:val="24"/>
              </w:rPr>
            </w:pPr>
            <w:r>
              <w:rPr>
                <w:rFonts w:cs="Times New Roman"/>
                <w:color w:val="auto"/>
                <w:sz w:val="24"/>
                <w:szCs w:val="24"/>
              </w:rPr>
              <w:t xml:space="preserve">3  </w:t>
            </w:r>
            <w:r>
              <w:rPr>
                <w:rFonts w:cs="Times New Roman"/>
                <w:color w:val="auto"/>
                <w:sz w:val="24"/>
              </w:rPr>
              <w:t>加强环境意识教育，制定环保设施操作管理规程，建立健全各项环保岗位责任制，确保环保设施正常、稳定运行，防止污染事故发生。</w:t>
            </w:r>
          </w:p>
          <w:p>
            <w:pPr>
              <w:adjustRightInd w:val="0"/>
              <w:snapToGrid w:val="0"/>
              <w:spacing w:line="500" w:lineRule="exact"/>
              <w:ind w:firstLine="480" w:firstLineChars="200"/>
              <w:rPr>
                <w:rFonts w:cs="Times New Roman"/>
                <w:bCs/>
                <w:color w:val="auto"/>
                <w:sz w:val="24"/>
              </w:rPr>
            </w:pPr>
            <w:r>
              <w:rPr>
                <w:rFonts w:cs="Times New Roman"/>
                <w:bCs/>
                <w:color w:val="auto"/>
                <w:sz w:val="24"/>
              </w:rPr>
              <w:t>4  加强生产过程管理控制，制定规范的操作规程，对员工进行岗位培训，提高员工操作水平，加强设备管理、检修、维护，防止生产过程中产生物料抛洒等对环境造成影响。</w:t>
            </w:r>
          </w:p>
          <w:p>
            <w:pPr>
              <w:adjustRightInd w:val="0"/>
              <w:snapToGrid w:val="0"/>
              <w:spacing w:line="500" w:lineRule="exact"/>
              <w:rPr>
                <w:rFonts w:eastAsia="黑体" w:cs="Times New Roman"/>
                <w:color w:val="auto"/>
                <w:szCs w:val="28"/>
              </w:rPr>
            </w:pPr>
            <w:r>
              <w:rPr>
                <w:rFonts w:eastAsia="黑体" w:cs="Times New Roman"/>
                <w:color w:val="auto"/>
                <w:szCs w:val="28"/>
              </w:rPr>
              <w:t>三、总结论</w:t>
            </w:r>
          </w:p>
          <w:p>
            <w:pPr>
              <w:adjustRightInd w:val="0"/>
              <w:snapToGrid w:val="0"/>
              <w:spacing w:line="500" w:lineRule="exact"/>
              <w:rPr>
                <w:rFonts w:eastAsia="黑体" w:cs="Times New Roman"/>
                <w:color w:val="auto"/>
                <w:sz w:val="24"/>
                <w:szCs w:val="24"/>
              </w:rPr>
            </w:pPr>
            <w:r>
              <w:rPr>
                <w:rFonts w:cs="Times New Roman"/>
                <w:color w:val="auto"/>
                <w:sz w:val="24"/>
              </w:rPr>
              <w:t xml:space="preserve">     </w:t>
            </w:r>
            <w:r>
              <w:rPr>
                <w:rFonts w:eastAsia="黑体" w:cs="Times New Roman"/>
                <w:color w:val="auto"/>
                <w:sz w:val="24"/>
                <w:szCs w:val="24"/>
              </w:rPr>
              <w:t>综上所述，</w:t>
            </w:r>
            <w:r>
              <w:rPr>
                <w:rFonts w:hint="eastAsia" w:eastAsia="黑体" w:cs="Times New Roman"/>
                <w:color w:val="auto"/>
                <w:sz w:val="24"/>
                <w:szCs w:val="24"/>
              </w:rPr>
              <w:t>新乡市得润环保科技有限公司年产柴油机尾气净化装置30万套项目</w:t>
            </w:r>
            <w:r>
              <w:rPr>
                <w:rFonts w:eastAsia="黑体" w:cs="Times New Roman"/>
                <w:color w:val="auto"/>
                <w:sz w:val="24"/>
                <w:szCs w:val="24"/>
              </w:rPr>
              <w:t>符合国家政策要求，厂址选择合理，在认真落实评价提出的各项污染防治措施及评价建议后，各项污染因素对周围环境影响较小，因此，从环保角度分析，评价认为本项目的建设可行。</w:t>
            </w:r>
          </w:p>
          <w:p>
            <w:pPr>
              <w:spacing w:line="360" w:lineRule="auto"/>
              <w:ind w:firstLine="480" w:firstLineChars="200"/>
              <w:jc w:val="left"/>
              <w:rPr>
                <w:rFonts w:eastAsia="黑体" w:cs="Times New Roman"/>
                <w:color w:val="auto"/>
                <w:sz w:val="24"/>
                <w:szCs w:val="24"/>
              </w:rPr>
            </w:pPr>
          </w:p>
          <w:p>
            <w:pPr>
              <w:spacing w:line="480" w:lineRule="exact"/>
              <w:ind w:firstLine="482" w:firstLineChars="200"/>
              <w:jc w:val="left"/>
              <w:rPr>
                <w:rFonts w:cs="Times New Roman"/>
                <w:b/>
                <w:color w:val="auto"/>
                <w:sz w:val="24"/>
                <w:szCs w:val="24"/>
              </w:rPr>
            </w:pPr>
          </w:p>
          <w:p>
            <w:pPr>
              <w:spacing w:line="480" w:lineRule="exact"/>
              <w:ind w:firstLine="480" w:firstLineChars="200"/>
              <w:jc w:val="right"/>
              <w:rPr>
                <w:rFonts w:cs="Times New Roman" w:eastAsiaTheme="minorEastAsia"/>
                <w:bCs/>
                <w:color w:val="auto"/>
                <w:sz w:val="24"/>
              </w:rPr>
            </w:pPr>
            <w:r>
              <w:rPr>
                <w:rFonts w:cs="Times New Roman" w:eastAsiaTheme="minorEastAsia"/>
                <w:bCs/>
                <w:color w:val="auto"/>
                <w:sz w:val="24"/>
              </w:rPr>
              <w:t>河南昊威环保科技有限公司</w:t>
            </w:r>
          </w:p>
          <w:p>
            <w:pPr>
              <w:pStyle w:val="33"/>
              <w:ind w:right="480"/>
              <w:jc w:val="right"/>
              <w:rPr>
                <w:rFonts w:ascii="Times New Roman" w:hAnsi="Times New Roman" w:cs="Times New Roman" w:eastAsiaTheme="minorEastAsia"/>
                <w:bCs/>
                <w:color w:val="auto"/>
              </w:rPr>
            </w:pPr>
            <w:r>
              <w:rPr>
                <w:rFonts w:ascii="Times New Roman" w:hAnsi="Times New Roman" w:cs="Times New Roman" w:eastAsiaTheme="minorEastAsia"/>
                <w:bCs/>
                <w:color w:val="auto"/>
              </w:rPr>
              <w:t>20</w:t>
            </w:r>
            <w:r>
              <w:rPr>
                <w:rFonts w:hint="eastAsia" w:ascii="Times New Roman" w:hAnsi="Times New Roman" w:cs="Times New Roman" w:eastAsiaTheme="minorEastAsia"/>
                <w:bCs/>
                <w:color w:val="auto"/>
                <w:lang w:val="en-US" w:eastAsia="zh-CN"/>
              </w:rPr>
              <w:t>20</w:t>
            </w:r>
            <w:r>
              <w:rPr>
                <w:rFonts w:ascii="Times New Roman" w:hAnsi="Times New Roman" w:cs="Times New Roman" w:eastAsiaTheme="minorEastAsia"/>
                <w:bCs/>
                <w:color w:val="auto"/>
              </w:rPr>
              <w:t>年</w:t>
            </w:r>
            <w:r>
              <w:rPr>
                <w:rFonts w:hint="eastAsia" w:ascii="Times New Roman" w:hAnsi="Times New Roman" w:cs="Times New Roman" w:eastAsiaTheme="minorEastAsia"/>
                <w:bCs/>
                <w:color w:val="auto"/>
                <w:lang w:val="en-US" w:eastAsia="zh-CN"/>
              </w:rPr>
              <w:t>3</w:t>
            </w:r>
            <w:r>
              <w:rPr>
                <w:rFonts w:ascii="Times New Roman" w:hAnsi="Times New Roman" w:cs="Times New Roman" w:eastAsiaTheme="minorEastAsia"/>
                <w:bCs/>
                <w:color w:val="auto"/>
              </w:rPr>
              <w:t>月</w:t>
            </w:r>
            <w:r>
              <w:rPr>
                <w:rFonts w:hint="eastAsia" w:ascii="Times New Roman" w:hAnsi="Times New Roman" w:cs="Times New Roman" w:eastAsiaTheme="minorEastAsia"/>
                <w:bCs/>
                <w:color w:val="auto"/>
                <w:lang w:val="en-US" w:eastAsia="zh-CN"/>
              </w:rPr>
              <w:t>10</w:t>
            </w:r>
            <w:r>
              <w:rPr>
                <w:rFonts w:ascii="Times New Roman" w:hAnsi="Times New Roman" w:cs="Times New Roman" w:eastAsiaTheme="minorEastAsia"/>
                <w:bCs/>
                <w:color w:val="auto"/>
              </w:rPr>
              <w:t>日</w:t>
            </w: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ind w:right="480"/>
              <w:jc w:val="right"/>
              <w:rPr>
                <w:rFonts w:ascii="Times New Roman" w:hAnsi="Times New Roman" w:cs="Times New Roman" w:eastAsiaTheme="minorEastAsia"/>
                <w:bCs/>
                <w:color w:val="auto"/>
              </w:rPr>
            </w:pPr>
          </w:p>
          <w:p>
            <w:pPr>
              <w:pStyle w:val="33"/>
              <w:rPr>
                <w:color w:val="auto"/>
              </w:rPr>
            </w:pPr>
          </w:p>
          <w:p>
            <w:pPr>
              <w:pStyle w:val="33"/>
              <w:rPr>
                <w:color w:val="auto"/>
              </w:rPr>
            </w:pPr>
          </w:p>
          <w:p>
            <w:pPr>
              <w:spacing w:line="480" w:lineRule="exact"/>
              <w:jc w:val="left"/>
              <w:rPr>
                <w:rFonts w:cs="Times New Roman"/>
                <w:b/>
                <w:color w:val="auto"/>
                <w:sz w:val="24"/>
              </w:rPr>
            </w:pPr>
          </w:p>
        </w:tc>
      </w:tr>
    </w:tbl>
    <w:p>
      <w:pPr>
        <w:snapToGrid w:val="0"/>
        <w:rPr>
          <w:rFonts w:cs="Times New Roman"/>
          <w:b/>
          <w:color w:val="auto"/>
          <w:kern w:val="0"/>
          <w:sz w:val="24"/>
        </w:rPr>
        <w:sectPr>
          <w:pgSz w:w="11906" w:h="16838"/>
          <w:pgMar w:top="1440" w:right="1800" w:bottom="1440" w:left="1520" w:header="851" w:footer="992" w:gutter="0"/>
          <w:pgBorders>
            <w:top w:val="none" w:sz="0" w:space="0"/>
            <w:left w:val="none" w:sz="0" w:space="0"/>
            <w:bottom w:val="none" w:sz="0" w:space="0"/>
            <w:right w:val="none" w:sz="0" w:space="0"/>
          </w:pgBorders>
          <w:cols w:space="720" w:num="1"/>
          <w:docGrid w:type="lines" w:linePitch="312" w:charSpace="0"/>
        </w:sectPr>
      </w:pPr>
    </w:p>
    <w:p>
      <w:pPr>
        <w:pStyle w:val="3"/>
      </w:pPr>
      <w:r>
        <w:drawing>
          <wp:inline distT="0" distB="0" distL="114300" distR="114300">
            <wp:extent cx="8857615" cy="5396230"/>
            <wp:effectExtent l="0" t="0" r="635" b="1397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1"/>
                    <a:stretch>
                      <a:fillRect/>
                    </a:stretch>
                  </pic:blipFill>
                  <pic:spPr>
                    <a:xfrm>
                      <a:off x="0" y="0"/>
                      <a:ext cx="8857615" cy="5396230"/>
                    </a:xfrm>
                    <a:prstGeom prst="rect">
                      <a:avLst/>
                    </a:prstGeom>
                    <a:noFill/>
                    <a:ln>
                      <a:noFill/>
                    </a:ln>
                  </pic:spPr>
                </pic:pic>
              </a:graphicData>
            </a:graphic>
          </wp:inline>
        </w:drawing>
      </w:r>
    </w:p>
    <w:p>
      <w:pPr>
        <w:pStyle w:val="3"/>
      </w:pPr>
      <w:r>
        <w:drawing>
          <wp:inline distT="0" distB="0" distL="114300" distR="114300">
            <wp:extent cx="8857615" cy="5481320"/>
            <wp:effectExtent l="0" t="0" r="635" b="508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2"/>
                    <a:stretch>
                      <a:fillRect/>
                    </a:stretch>
                  </pic:blipFill>
                  <pic:spPr>
                    <a:xfrm>
                      <a:off x="0" y="0"/>
                      <a:ext cx="8857615" cy="5481320"/>
                    </a:xfrm>
                    <a:prstGeom prst="rect">
                      <a:avLst/>
                    </a:prstGeom>
                    <a:noFill/>
                    <a:ln>
                      <a:noFill/>
                    </a:ln>
                  </pic:spPr>
                </pic:pic>
              </a:graphicData>
            </a:graphic>
          </wp:inline>
        </w:drawing>
      </w:r>
    </w:p>
    <w:p>
      <w:pPr>
        <w:pStyle w:val="3"/>
        <w:sectPr>
          <w:type w:val="continuous"/>
          <w:pgSz w:w="16838" w:h="11906" w:orient="landscape"/>
          <w:pgMar w:top="1440" w:right="1803" w:bottom="1440" w:left="1519" w:header="851" w:footer="992" w:gutter="0"/>
          <w:pgBorders>
            <w:top w:val="none" w:sz="0" w:space="0"/>
            <w:left w:val="none" w:sz="0" w:space="0"/>
            <w:bottom w:val="none" w:sz="0" w:space="0"/>
            <w:right w:val="none" w:sz="0" w:space="0"/>
          </w:pgBorders>
          <w:cols w:space="720" w:num="1"/>
          <w:docGrid w:type="lines" w:linePitch="312" w:charSpace="0"/>
        </w:sectPr>
      </w:pPr>
    </w:p>
    <w:p>
      <w:pPr>
        <w:pStyle w:val="3"/>
      </w:pPr>
      <w:r>
        <w:drawing>
          <wp:inline distT="0" distB="0" distL="114300" distR="114300">
            <wp:extent cx="5735955" cy="9046210"/>
            <wp:effectExtent l="0" t="0" r="17145" b="254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a:stretch>
                      <a:fillRect/>
                    </a:stretch>
                  </pic:blipFill>
                  <pic:spPr>
                    <a:xfrm>
                      <a:off x="0" y="0"/>
                      <a:ext cx="5735955" cy="9046210"/>
                    </a:xfrm>
                    <a:prstGeom prst="rect">
                      <a:avLst/>
                    </a:prstGeom>
                    <a:noFill/>
                    <a:ln>
                      <a:noFill/>
                    </a:ln>
                  </pic:spPr>
                </pic:pic>
              </a:graphicData>
            </a:graphic>
          </wp:inline>
        </w:drawing>
      </w:r>
    </w:p>
    <w:p>
      <w:pPr>
        <w:pStyle w:val="3"/>
        <w:sectPr>
          <w:type w:val="continuous"/>
          <w:pgSz w:w="11906" w:h="16838"/>
          <w:pgMar w:top="1440" w:right="1800" w:bottom="1440" w:left="1520" w:header="851" w:footer="992" w:gutter="0"/>
          <w:pgBorders>
            <w:top w:val="none" w:sz="0" w:space="0"/>
            <w:left w:val="none" w:sz="0" w:space="0"/>
            <w:bottom w:val="none" w:sz="0" w:space="0"/>
            <w:right w:val="none" w:sz="0" w:space="0"/>
          </w:pgBorders>
          <w:cols w:space="720" w:num="1"/>
          <w:docGrid w:type="lines" w:linePitch="312" w:charSpace="0"/>
        </w:sectPr>
      </w:pPr>
    </w:p>
    <w:p>
      <w:pPr>
        <w:pStyle w:val="3"/>
      </w:pPr>
      <w:r>
        <w:drawing>
          <wp:inline distT="0" distB="0" distL="114300" distR="114300">
            <wp:extent cx="8681085" cy="5449570"/>
            <wp:effectExtent l="0" t="0" r="5715" b="1778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4"/>
                    <a:stretch>
                      <a:fillRect/>
                    </a:stretch>
                  </pic:blipFill>
                  <pic:spPr>
                    <a:xfrm>
                      <a:off x="0" y="0"/>
                      <a:ext cx="8681085" cy="5449570"/>
                    </a:xfrm>
                    <a:prstGeom prst="rect">
                      <a:avLst/>
                    </a:prstGeom>
                    <a:noFill/>
                    <a:ln>
                      <a:noFill/>
                    </a:ln>
                  </pic:spPr>
                </pic:pic>
              </a:graphicData>
            </a:graphic>
          </wp:inline>
        </w:drawing>
      </w:r>
    </w:p>
    <w:p>
      <w:pPr>
        <w:pStyle w:val="3"/>
      </w:pPr>
      <w:r>
        <w:drawing>
          <wp:inline distT="0" distB="0" distL="114300" distR="114300">
            <wp:extent cx="8279765" cy="5447030"/>
            <wp:effectExtent l="0" t="0" r="6985" b="127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5"/>
                    <a:stretch>
                      <a:fillRect/>
                    </a:stretch>
                  </pic:blipFill>
                  <pic:spPr>
                    <a:xfrm>
                      <a:off x="0" y="0"/>
                      <a:ext cx="8279765" cy="5447030"/>
                    </a:xfrm>
                    <a:prstGeom prst="rect">
                      <a:avLst/>
                    </a:prstGeom>
                    <a:noFill/>
                    <a:ln>
                      <a:noFill/>
                    </a:ln>
                  </pic:spPr>
                </pic:pic>
              </a:graphicData>
            </a:graphic>
          </wp:inline>
        </w:drawing>
      </w:r>
    </w:p>
    <w:p>
      <w:pPr>
        <w:pStyle w:val="3"/>
        <w:sectPr>
          <w:type w:val="continuous"/>
          <w:pgSz w:w="16838" w:h="11906" w:orient="landscape"/>
          <w:pgMar w:top="152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jc w:val="righ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675648" behindDoc="1" locked="0" layoutInCell="1" allowOverlap="1">
            <wp:simplePos x="0" y="0"/>
            <wp:positionH relativeFrom="column">
              <wp:posOffset>359410</wp:posOffset>
            </wp:positionH>
            <wp:positionV relativeFrom="paragraph">
              <wp:posOffset>-52070</wp:posOffset>
            </wp:positionV>
            <wp:extent cx="4899025" cy="8856980"/>
            <wp:effectExtent l="0" t="0" r="15875" b="1270"/>
            <wp:wrapNone/>
            <wp:docPr id="42" name="图片 1" descr="0b7703eae7793765a9e484af087c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0b7703eae7793765a9e484af087c8c1"/>
                    <pic:cNvPicPr>
                      <a:picLocks noChangeAspect="1"/>
                    </pic:cNvPicPr>
                  </pic:nvPicPr>
                  <pic:blipFill>
                    <a:blip r:embed="rId16"/>
                    <a:stretch>
                      <a:fillRect/>
                    </a:stretch>
                  </pic:blipFill>
                  <pic:spPr>
                    <a:xfrm>
                      <a:off x="0" y="0"/>
                      <a:ext cx="4899025" cy="8856980"/>
                    </a:xfrm>
                    <a:prstGeom prst="rect">
                      <a:avLst/>
                    </a:prstGeom>
                    <a:noFill/>
                    <a:ln>
                      <a:noFill/>
                    </a:ln>
                  </pic:spPr>
                </pic:pic>
              </a:graphicData>
            </a:graphic>
          </wp:anchor>
        </w:drawing>
      </w:r>
      <w:r>
        <w:rPr>
          <w:rFonts w:hint="eastAsia" w:ascii="黑体" w:hAnsi="黑体" w:eastAsia="黑体" w:cs="黑体"/>
          <w:sz w:val="24"/>
          <w:szCs w:val="24"/>
          <w:lang w:val="en-US" w:eastAsia="zh-CN"/>
        </w:rPr>
        <w:t>附件一</w:t>
      </w: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anchor distT="0" distB="0" distL="114300" distR="114300" simplePos="0" relativeHeight="251678720" behindDoc="1" locked="0" layoutInCell="1" allowOverlap="1">
            <wp:simplePos x="0" y="0"/>
            <wp:positionH relativeFrom="column">
              <wp:posOffset>-545465</wp:posOffset>
            </wp:positionH>
            <wp:positionV relativeFrom="paragraph">
              <wp:posOffset>-266700</wp:posOffset>
            </wp:positionV>
            <wp:extent cx="6370955" cy="9170670"/>
            <wp:effectExtent l="0" t="0" r="10795" b="11430"/>
            <wp:wrapNone/>
            <wp:docPr id="39" name="图片 4" descr="新文档 2019-10-29 11.10.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新文档 2019-10-29 11.10.25_1"/>
                    <pic:cNvPicPr>
                      <a:picLocks noChangeAspect="1"/>
                    </pic:cNvPicPr>
                  </pic:nvPicPr>
                  <pic:blipFill>
                    <a:blip r:embed="rId17"/>
                    <a:stretch>
                      <a:fillRect/>
                    </a:stretch>
                  </pic:blipFill>
                  <pic:spPr>
                    <a:xfrm>
                      <a:off x="0" y="0"/>
                      <a:ext cx="6370955" cy="9170670"/>
                    </a:xfrm>
                    <a:prstGeom prst="rect">
                      <a:avLst/>
                    </a:prstGeom>
                    <a:noFill/>
                    <a:ln>
                      <a:noFill/>
                    </a:ln>
                  </pic:spPr>
                </pic:pic>
              </a:graphicData>
            </a:graphic>
          </wp:anchor>
        </w:drawing>
      </w:r>
      <w:r>
        <w:rPr>
          <w:rFonts w:hint="eastAsia" w:ascii="黑体" w:hAnsi="黑体" w:eastAsia="黑体" w:cs="黑体"/>
          <w:sz w:val="24"/>
          <w:szCs w:val="24"/>
          <w:lang w:val="en-US" w:eastAsia="zh-CN"/>
        </w:rPr>
        <w:t>附件二</w:t>
      </w: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附件三</w:t>
      </w:r>
      <w:r>
        <w:rPr>
          <w:rFonts w:hint="default" w:ascii="黑体" w:hAnsi="黑体" w:eastAsia="黑体" w:cs="黑体"/>
          <w:sz w:val="24"/>
          <w:szCs w:val="24"/>
          <w:lang w:val="en-US" w:eastAsia="zh-CN"/>
        </w:rPr>
        <w:drawing>
          <wp:anchor distT="0" distB="0" distL="114300" distR="114300" simplePos="0" relativeHeight="251676672" behindDoc="1" locked="0" layoutInCell="1" allowOverlap="1">
            <wp:simplePos x="0" y="0"/>
            <wp:positionH relativeFrom="column">
              <wp:posOffset>397510</wp:posOffset>
            </wp:positionH>
            <wp:positionV relativeFrom="paragraph">
              <wp:posOffset>19050</wp:posOffset>
            </wp:positionV>
            <wp:extent cx="4864735" cy="8860790"/>
            <wp:effectExtent l="0" t="0" r="12065" b="16510"/>
            <wp:wrapNone/>
            <wp:docPr id="41" name="图片 2" descr="79e9003172f8aa0907be3a920040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79e9003172f8aa0907be3a920040f63"/>
                    <pic:cNvPicPr>
                      <a:picLocks noChangeAspect="1"/>
                    </pic:cNvPicPr>
                  </pic:nvPicPr>
                  <pic:blipFill>
                    <a:blip r:embed="rId18"/>
                    <a:stretch>
                      <a:fillRect/>
                    </a:stretch>
                  </pic:blipFill>
                  <pic:spPr>
                    <a:xfrm>
                      <a:off x="0" y="0"/>
                      <a:ext cx="4864735" cy="8860790"/>
                    </a:xfrm>
                    <a:prstGeom prst="rect">
                      <a:avLst/>
                    </a:prstGeom>
                    <a:noFill/>
                    <a:ln>
                      <a:noFill/>
                    </a:ln>
                  </pic:spPr>
                </pic:pic>
              </a:graphicData>
            </a:graphic>
          </wp:anchor>
        </w:drawing>
      </w: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r>
        <w:rPr>
          <w:rFonts w:hint="default" w:ascii="黑体" w:hAnsi="黑体" w:eastAsia="黑体" w:cs="黑体"/>
          <w:sz w:val="24"/>
          <w:szCs w:val="24"/>
          <w:lang w:val="en-US" w:eastAsia="zh-CN"/>
        </w:rPr>
        <w:drawing>
          <wp:anchor distT="0" distB="0" distL="114300" distR="114300" simplePos="0" relativeHeight="251677696" behindDoc="1" locked="0" layoutInCell="1" allowOverlap="1">
            <wp:simplePos x="0" y="0"/>
            <wp:positionH relativeFrom="column">
              <wp:posOffset>329565</wp:posOffset>
            </wp:positionH>
            <wp:positionV relativeFrom="paragraph">
              <wp:posOffset>15240</wp:posOffset>
            </wp:positionV>
            <wp:extent cx="4907915" cy="8860790"/>
            <wp:effectExtent l="0" t="0" r="6985" b="16510"/>
            <wp:wrapNone/>
            <wp:docPr id="40" name="图片 3" descr="ca292cc2a3ae402ed248366798fa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ca292cc2a3ae402ed248366798faaad"/>
                    <pic:cNvPicPr>
                      <a:picLocks noChangeAspect="1"/>
                    </pic:cNvPicPr>
                  </pic:nvPicPr>
                  <pic:blipFill>
                    <a:blip r:embed="rId19"/>
                    <a:stretch>
                      <a:fillRect/>
                    </a:stretch>
                  </pic:blipFill>
                  <pic:spPr>
                    <a:xfrm>
                      <a:off x="0" y="0"/>
                      <a:ext cx="4907915" cy="8860790"/>
                    </a:xfrm>
                    <a:prstGeom prst="rect">
                      <a:avLst/>
                    </a:prstGeom>
                    <a:noFill/>
                    <a:ln>
                      <a:noFill/>
                    </a:ln>
                  </pic:spPr>
                </pic:pic>
              </a:graphicData>
            </a:graphic>
          </wp:anchor>
        </w:drawing>
      </w:r>
      <w:r>
        <w:rPr>
          <w:rFonts w:hint="eastAsia" w:ascii="黑体" w:hAnsi="黑体" w:eastAsia="黑体" w:cs="黑体"/>
          <w:sz w:val="24"/>
          <w:szCs w:val="24"/>
          <w:lang w:val="en-US" w:eastAsia="zh-CN"/>
        </w:rPr>
        <w:t>附件四</w:t>
      </w: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right"/>
        <w:rPr>
          <w:rFonts w:hint="eastAsia" w:ascii="黑体" w:hAnsi="黑体" w:eastAsia="黑体" w:cs="黑体"/>
          <w:sz w:val="24"/>
          <w:szCs w:val="24"/>
          <w:lang w:val="en-US" w:eastAsia="zh-CN"/>
        </w:rPr>
      </w:pPr>
    </w:p>
    <w:p>
      <w:pPr>
        <w:jc w:val="both"/>
        <w:rPr>
          <w:rFonts w:hint="eastAsia" w:ascii="黑体" w:hAnsi="黑体" w:eastAsia="黑体" w:cs="黑体"/>
          <w:sz w:val="24"/>
          <w:szCs w:val="24"/>
          <w:lang w:val="en-US" w:eastAsia="zh-CN"/>
        </w:rPr>
      </w:pPr>
    </w:p>
    <w:p>
      <w:pPr>
        <w:pStyle w:val="2"/>
        <w:rPr>
          <w:rFonts w:hint="eastAsia" w:ascii="黑体" w:hAnsi="黑体" w:eastAsia="黑体" w:cs="黑体"/>
          <w:sz w:val="24"/>
          <w:szCs w:val="24"/>
          <w:lang w:val="en-US" w:eastAsia="zh-CN"/>
        </w:rPr>
        <w:sectPr>
          <w:type w:val="continuous"/>
          <w:pgSz w:w="11906" w:h="16838"/>
          <w:pgMar w:top="1440" w:right="1800" w:bottom="1440" w:left="1800" w:header="851" w:footer="992" w:gutter="0"/>
          <w:cols w:space="720" w:num="1"/>
          <w:docGrid w:type="lines" w:linePitch="312" w:charSpace="0"/>
        </w:sectPr>
      </w:pPr>
    </w:p>
    <w:p>
      <w:pPr>
        <w:pStyle w:val="3"/>
        <w:rPr>
          <w:rFonts w:hint="eastAsia"/>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679450</wp:posOffset>
            </wp:positionH>
            <wp:positionV relativeFrom="paragraph">
              <wp:posOffset>-2170430</wp:posOffset>
            </wp:positionV>
            <wp:extent cx="7150100" cy="9829800"/>
            <wp:effectExtent l="0" t="0" r="0" b="12700"/>
            <wp:wrapNone/>
            <wp:docPr id="7" name="图片 7" descr="3256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5650002"/>
                    <pic:cNvPicPr>
                      <a:picLocks noChangeAspect="1"/>
                    </pic:cNvPicPr>
                  </pic:nvPicPr>
                  <pic:blipFill>
                    <a:blip r:embed="rId20"/>
                    <a:stretch>
                      <a:fillRect/>
                    </a:stretch>
                  </pic:blipFill>
                  <pic:spPr>
                    <a:xfrm rot="5400000">
                      <a:off x="0" y="0"/>
                      <a:ext cx="7150100" cy="9829800"/>
                    </a:xfrm>
                    <a:prstGeom prst="rect">
                      <a:avLst/>
                    </a:prstGeom>
                  </pic:spPr>
                </pic:pic>
              </a:graphicData>
            </a:graphic>
          </wp:anchor>
        </w:drawing>
      </w:r>
    </w:p>
    <w:sectPr>
      <w:type w:val="continuous"/>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A00002EF" w:usb1="420020EB" w:usb2="00000000" w:usb3="00000000" w:csb0="2000009F" w:csb1="00000000"/>
  </w:font>
  <w:font w:name="楷体_GB2312">
    <w:altName w:val="楷体"/>
    <w:panose1 w:val="00000000000000000000"/>
    <w:charset w:val="86"/>
    <w:family w:val="moder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Symbol Tiger Expert">
    <w:altName w:val="Symbol"/>
    <w:panose1 w:val="05050102010706020507"/>
    <w:charset w:val="02"/>
    <w:family w:val="roman"/>
    <w:pitch w:val="default"/>
    <w:sig w:usb0="00000000" w:usb1="00000000" w:usb2="00000000" w:usb3="00000000" w:csb0="8000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38</w:t>
    </w:r>
    <w:r>
      <w:rPr>
        <w:rFonts w:ascii="Times New Roman" w:hAnsi="Times New Roman" w:cs="Times New Roman"/>
        <w:lang w:val="zh-CN"/>
      </w:rPr>
      <w:fldChar w:fldCharType="end"/>
    </w:r>
  </w:p>
  <w:p>
    <w:pPr>
      <w:pStyle w:val="19"/>
      <w:rPr>
        <w:rFonts w:ascii="Times New Roman" w:hAnsi="Times New Roman" w:cs="Times New Roman"/>
        <w:sz w:val="21"/>
        <w:szCs w:val="21"/>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148661"/>
    <w:multiLevelType w:val="singleLevel"/>
    <w:tmpl w:val="88148661"/>
    <w:lvl w:ilvl="0" w:tentative="0">
      <w:start w:val="2"/>
      <w:numFmt w:val="decimal"/>
      <w:suff w:val="nothing"/>
      <w:lvlText w:val="（%1）"/>
      <w:lvlJc w:val="left"/>
    </w:lvl>
  </w:abstractNum>
  <w:abstractNum w:abstractNumId="1">
    <w:nsid w:val="95B24732"/>
    <w:multiLevelType w:val="singleLevel"/>
    <w:tmpl w:val="95B24732"/>
    <w:lvl w:ilvl="0" w:tentative="0">
      <w:start w:val="1"/>
      <w:numFmt w:val="decimal"/>
      <w:suff w:val="nothing"/>
      <w:lvlText w:val="（%1）"/>
      <w:lvlJc w:val="left"/>
    </w:lvl>
  </w:abstractNum>
  <w:abstractNum w:abstractNumId="2">
    <w:nsid w:val="9A103638"/>
    <w:multiLevelType w:val="singleLevel"/>
    <w:tmpl w:val="9A103638"/>
    <w:lvl w:ilvl="0" w:tentative="0">
      <w:start w:val="1"/>
      <w:numFmt w:val="decimal"/>
      <w:suff w:val="space"/>
      <w:lvlText w:val="%1."/>
      <w:lvlJc w:val="left"/>
    </w:lvl>
  </w:abstractNum>
  <w:abstractNum w:abstractNumId="3">
    <w:nsid w:val="E1114094"/>
    <w:multiLevelType w:val="multilevel"/>
    <w:tmpl w:val="E1114094"/>
    <w:lvl w:ilvl="0" w:tentative="0">
      <w:start w:val="1"/>
      <w:numFmt w:val="decimal"/>
      <w:pStyle w:val="21"/>
      <w:lvlText w:val="表%1"/>
      <w:lvlJc w:val="left"/>
      <w:pPr>
        <w:ind w:left="420" w:hanging="420"/>
      </w:pPr>
      <w:rPr>
        <w:rFonts w:hint="default" w:ascii="Times New Roman" w:hAnsi="Times New Roman" w:eastAsia="黑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7CD3B4"/>
    <w:multiLevelType w:val="singleLevel"/>
    <w:tmpl w:val="1F7CD3B4"/>
    <w:lvl w:ilvl="0" w:tentative="0">
      <w:start w:val="4"/>
      <w:numFmt w:val="decimal"/>
      <w:suff w:val="nothing"/>
      <w:lvlText w:val="（%1）"/>
      <w:lvlJc w:val="left"/>
    </w:lvl>
  </w:abstractNum>
  <w:abstractNum w:abstractNumId="5">
    <w:nsid w:val="53A1334D"/>
    <w:multiLevelType w:val="singleLevel"/>
    <w:tmpl w:val="53A1334D"/>
    <w:lvl w:ilvl="0" w:tentative="0">
      <w:start w:val="1"/>
      <w:numFmt w:val="decimal"/>
      <w:suff w:val="nothing"/>
      <w:lvlText w:val="%1、"/>
      <w:lvlJc w:val="left"/>
    </w:lvl>
  </w:abstractNum>
  <w:abstractNum w:abstractNumId="6">
    <w:nsid w:val="63C88929"/>
    <w:multiLevelType w:val="singleLevel"/>
    <w:tmpl w:val="63C88929"/>
    <w:lvl w:ilvl="0" w:tentative="0">
      <w:start w:val="1"/>
      <w:numFmt w:val="decimal"/>
      <w:suff w:val="nothing"/>
      <w:lvlText w:val="（%1）"/>
      <w:lvlJc w:val="left"/>
    </w:lvl>
  </w:abstractNum>
  <w:abstractNum w:abstractNumId="7">
    <w:nsid w:val="706275FF"/>
    <w:multiLevelType w:val="singleLevel"/>
    <w:tmpl w:val="706275FF"/>
    <w:lvl w:ilvl="0" w:tentative="0">
      <w:start w:val="1"/>
      <w:numFmt w:val="decimal"/>
      <w:suff w:val="nothing"/>
      <w:lvlText w:val="（%1）"/>
      <w:lvlJc w:val="left"/>
    </w:lvl>
  </w:abstractNum>
  <w:num w:numId="1">
    <w:abstractNumId w:val="3"/>
  </w:num>
  <w:num w:numId="2">
    <w:abstractNumId w:val="0"/>
  </w:num>
  <w:num w:numId="3">
    <w:abstractNumId w:val="5"/>
  </w:num>
  <w:num w:numId="4">
    <w:abstractNumId w:val="4"/>
  </w:num>
  <w:num w:numId="5">
    <w:abstractNumId w:val="7"/>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69E"/>
    <w:rsid w:val="000008D4"/>
    <w:rsid w:val="00002B6A"/>
    <w:rsid w:val="000048B1"/>
    <w:rsid w:val="00004BE2"/>
    <w:rsid w:val="00004EA2"/>
    <w:rsid w:val="00005494"/>
    <w:rsid w:val="00005697"/>
    <w:rsid w:val="000064F8"/>
    <w:rsid w:val="000064F9"/>
    <w:rsid w:val="00010157"/>
    <w:rsid w:val="000102B9"/>
    <w:rsid w:val="00011290"/>
    <w:rsid w:val="00011468"/>
    <w:rsid w:val="00011627"/>
    <w:rsid w:val="00011F87"/>
    <w:rsid w:val="000125E9"/>
    <w:rsid w:val="00013611"/>
    <w:rsid w:val="00013B42"/>
    <w:rsid w:val="000147A6"/>
    <w:rsid w:val="0001514C"/>
    <w:rsid w:val="00015A9C"/>
    <w:rsid w:val="00016F78"/>
    <w:rsid w:val="00016FAB"/>
    <w:rsid w:val="00017B52"/>
    <w:rsid w:val="0002028B"/>
    <w:rsid w:val="000219A7"/>
    <w:rsid w:val="00021CA8"/>
    <w:rsid w:val="00022200"/>
    <w:rsid w:val="00023725"/>
    <w:rsid w:val="00023A16"/>
    <w:rsid w:val="0002452E"/>
    <w:rsid w:val="00024AB4"/>
    <w:rsid w:val="000252F9"/>
    <w:rsid w:val="0002588D"/>
    <w:rsid w:val="00025ADE"/>
    <w:rsid w:val="00026699"/>
    <w:rsid w:val="00027B15"/>
    <w:rsid w:val="00030FF6"/>
    <w:rsid w:val="0003129B"/>
    <w:rsid w:val="00031CCF"/>
    <w:rsid w:val="00032334"/>
    <w:rsid w:val="00032681"/>
    <w:rsid w:val="0003276C"/>
    <w:rsid w:val="000335F8"/>
    <w:rsid w:val="0003369A"/>
    <w:rsid w:val="000339F0"/>
    <w:rsid w:val="00034354"/>
    <w:rsid w:val="00036454"/>
    <w:rsid w:val="0003695F"/>
    <w:rsid w:val="00036B5D"/>
    <w:rsid w:val="00036E58"/>
    <w:rsid w:val="00040076"/>
    <w:rsid w:val="00041B42"/>
    <w:rsid w:val="00041E8E"/>
    <w:rsid w:val="00042C28"/>
    <w:rsid w:val="00043708"/>
    <w:rsid w:val="00044009"/>
    <w:rsid w:val="00044041"/>
    <w:rsid w:val="000457BB"/>
    <w:rsid w:val="00045AB1"/>
    <w:rsid w:val="00045C84"/>
    <w:rsid w:val="000460EE"/>
    <w:rsid w:val="00046863"/>
    <w:rsid w:val="00046D88"/>
    <w:rsid w:val="0004719C"/>
    <w:rsid w:val="000476EA"/>
    <w:rsid w:val="00047700"/>
    <w:rsid w:val="00051B47"/>
    <w:rsid w:val="0005232E"/>
    <w:rsid w:val="00052933"/>
    <w:rsid w:val="0005435F"/>
    <w:rsid w:val="0005526E"/>
    <w:rsid w:val="000562B2"/>
    <w:rsid w:val="00056492"/>
    <w:rsid w:val="000565D5"/>
    <w:rsid w:val="00057095"/>
    <w:rsid w:val="0005774F"/>
    <w:rsid w:val="0006081F"/>
    <w:rsid w:val="00060A20"/>
    <w:rsid w:val="00061D8A"/>
    <w:rsid w:val="0006231F"/>
    <w:rsid w:val="00062B46"/>
    <w:rsid w:val="00062FC3"/>
    <w:rsid w:val="00063282"/>
    <w:rsid w:val="00064C34"/>
    <w:rsid w:val="0006507F"/>
    <w:rsid w:val="00065242"/>
    <w:rsid w:val="000653E3"/>
    <w:rsid w:val="0006647D"/>
    <w:rsid w:val="000704FF"/>
    <w:rsid w:val="00071DF0"/>
    <w:rsid w:val="00072469"/>
    <w:rsid w:val="00072653"/>
    <w:rsid w:val="00072A6F"/>
    <w:rsid w:val="00075009"/>
    <w:rsid w:val="00076BA6"/>
    <w:rsid w:val="00076BDF"/>
    <w:rsid w:val="0007724F"/>
    <w:rsid w:val="00077A84"/>
    <w:rsid w:val="00080287"/>
    <w:rsid w:val="00080961"/>
    <w:rsid w:val="00080BFB"/>
    <w:rsid w:val="0008125D"/>
    <w:rsid w:val="000820D4"/>
    <w:rsid w:val="00082F54"/>
    <w:rsid w:val="00083EF2"/>
    <w:rsid w:val="00084389"/>
    <w:rsid w:val="000843DF"/>
    <w:rsid w:val="00084E6B"/>
    <w:rsid w:val="00085137"/>
    <w:rsid w:val="0008540F"/>
    <w:rsid w:val="0008700E"/>
    <w:rsid w:val="00087B69"/>
    <w:rsid w:val="00090E67"/>
    <w:rsid w:val="000917A3"/>
    <w:rsid w:val="00091EF1"/>
    <w:rsid w:val="00091FA1"/>
    <w:rsid w:val="0009207F"/>
    <w:rsid w:val="0009238E"/>
    <w:rsid w:val="000923B5"/>
    <w:rsid w:val="000923B6"/>
    <w:rsid w:val="00093423"/>
    <w:rsid w:val="000947E8"/>
    <w:rsid w:val="0009590B"/>
    <w:rsid w:val="00095BEB"/>
    <w:rsid w:val="00095F43"/>
    <w:rsid w:val="00096860"/>
    <w:rsid w:val="000968D8"/>
    <w:rsid w:val="00097307"/>
    <w:rsid w:val="000975A5"/>
    <w:rsid w:val="000978E4"/>
    <w:rsid w:val="000A0B83"/>
    <w:rsid w:val="000A1838"/>
    <w:rsid w:val="000A18C0"/>
    <w:rsid w:val="000A1F59"/>
    <w:rsid w:val="000A2D35"/>
    <w:rsid w:val="000A4AD6"/>
    <w:rsid w:val="000A4BE7"/>
    <w:rsid w:val="000A530D"/>
    <w:rsid w:val="000A637D"/>
    <w:rsid w:val="000A737E"/>
    <w:rsid w:val="000A7861"/>
    <w:rsid w:val="000A7B4F"/>
    <w:rsid w:val="000A7BCB"/>
    <w:rsid w:val="000B2703"/>
    <w:rsid w:val="000B2768"/>
    <w:rsid w:val="000B3493"/>
    <w:rsid w:val="000B48E9"/>
    <w:rsid w:val="000B55B0"/>
    <w:rsid w:val="000B7D47"/>
    <w:rsid w:val="000C11FA"/>
    <w:rsid w:val="000C265C"/>
    <w:rsid w:val="000C28E1"/>
    <w:rsid w:val="000C3045"/>
    <w:rsid w:val="000C336A"/>
    <w:rsid w:val="000C3A41"/>
    <w:rsid w:val="000C5E76"/>
    <w:rsid w:val="000C61BC"/>
    <w:rsid w:val="000C75C1"/>
    <w:rsid w:val="000C76EF"/>
    <w:rsid w:val="000D072F"/>
    <w:rsid w:val="000D17E9"/>
    <w:rsid w:val="000D1E60"/>
    <w:rsid w:val="000D268A"/>
    <w:rsid w:val="000D2B43"/>
    <w:rsid w:val="000D385A"/>
    <w:rsid w:val="000D3DD4"/>
    <w:rsid w:val="000D403C"/>
    <w:rsid w:val="000D5365"/>
    <w:rsid w:val="000D6199"/>
    <w:rsid w:val="000D6575"/>
    <w:rsid w:val="000D67FB"/>
    <w:rsid w:val="000D6AAB"/>
    <w:rsid w:val="000E01F8"/>
    <w:rsid w:val="000E029D"/>
    <w:rsid w:val="000E447B"/>
    <w:rsid w:val="000E6EA9"/>
    <w:rsid w:val="000E6F6B"/>
    <w:rsid w:val="000F0002"/>
    <w:rsid w:val="000F00CF"/>
    <w:rsid w:val="000F0875"/>
    <w:rsid w:val="000F0FD5"/>
    <w:rsid w:val="000F1BDC"/>
    <w:rsid w:val="000F2011"/>
    <w:rsid w:val="000F2050"/>
    <w:rsid w:val="000F23EC"/>
    <w:rsid w:val="000F27C1"/>
    <w:rsid w:val="000F43D0"/>
    <w:rsid w:val="000F442F"/>
    <w:rsid w:val="000F4B90"/>
    <w:rsid w:val="000F5D16"/>
    <w:rsid w:val="000F6145"/>
    <w:rsid w:val="000F69ED"/>
    <w:rsid w:val="000F6FBA"/>
    <w:rsid w:val="00100640"/>
    <w:rsid w:val="0010164C"/>
    <w:rsid w:val="00101E55"/>
    <w:rsid w:val="00103E4E"/>
    <w:rsid w:val="001041A8"/>
    <w:rsid w:val="00104336"/>
    <w:rsid w:val="00104A0F"/>
    <w:rsid w:val="00104A97"/>
    <w:rsid w:val="00104FC6"/>
    <w:rsid w:val="00107F2A"/>
    <w:rsid w:val="0011062D"/>
    <w:rsid w:val="00111B79"/>
    <w:rsid w:val="00113362"/>
    <w:rsid w:val="0011363B"/>
    <w:rsid w:val="00113BF1"/>
    <w:rsid w:val="00113CE5"/>
    <w:rsid w:val="001142B3"/>
    <w:rsid w:val="001145F7"/>
    <w:rsid w:val="001150D6"/>
    <w:rsid w:val="00115253"/>
    <w:rsid w:val="0011535E"/>
    <w:rsid w:val="00115F78"/>
    <w:rsid w:val="00116D17"/>
    <w:rsid w:val="00117126"/>
    <w:rsid w:val="00120727"/>
    <w:rsid w:val="00120CD1"/>
    <w:rsid w:val="00121998"/>
    <w:rsid w:val="0012199A"/>
    <w:rsid w:val="00121A72"/>
    <w:rsid w:val="00121AB4"/>
    <w:rsid w:val="00121AFD"/>
    <w:rsid w:val="001223AC"/>
    <w:rsid w:val="00123CC5"/>
    <w:rsid w:val="00124860"/>
    <w:rsid w:val="001253B5"/>
    <w:rsid w:val="001257CF"/>
    <w:rsid w:val="0012771B"/>
    <w:rsid w:val="001303FE"/>
    <w:rsid w:val="00131161"/>
    <w:rsid w:val="00131D30"/>
    <w:rsid w:val="00134329"/>
    <w:rsid w:val="0013469E"/>
    <w:rsid w:val="001347CE"/>
    <w:rsid w:val="0013482C"/>
    <w:rsid w:val="001355B1"/>
    <w:rsid w:val="001355EB"/>
    <w:rsid w:val="00135F4E"/>
    <w:rsid w:val="00135FE0"/>
    <w:rsid w:val="00136BB5"/>
    <w:rsid w:val="00136DC6"/>
    <w:rsid w:val="001370FF"/>
    <w:rsid w:val="00137525"/>
    <w:rsid w:val="00140236"/>
    <w:rsid w:val="00141BB2"/>
    <w:rsid w:val="001424AF"/>
    <w:rsid w:val="0014691D"/>
    <w:rsid w:val="001474C7"/>
    <w:rsid w:val="001501FB"/>
    <w:rsid w:val="001503C2"/>
    <w:rsid w:val="00150608"/>
    <w:rsid w:val="00151A73"/>
    <w:rsid w:val="00152B12"/>
    <w:rsid w:val="00154752"/>
    <w:rsid w:val="00154937"/>
    <w:rsid w:val="0015502F"/>
    <w:rsid w:val="0015505D"/>
    <w:rsid w:val="0015688E"/>
    <w:rsid w:val="00156C22"/>
    <w:rsid w:val="0015714C"/>
    <w:rsid w:val="00160229"/>
    <w:rsid w:val="00161E0D"/>
    <w:rsid w:val="00161F51"/>
    <w:rsid w:val="00162C0E"/>
    <w:rsid w:val="00162C99"/>
    <w:rsid w:val="00162DD4"/>
    <w:rsid w:val="00165E25"/>
    <w:rsid w:val="001666F3"/>
    <w:rsid w:val="00166A84"/>
    <w:rsid w:val="00170A41"/>
    <w:rsid w:val="0017102F"/>
    <w:rsid w:val="001713E3"/>
    <w:rsid w:val="001726FC"/>
    <w:rsid w:val="00172A27"/>
    <w:rsid w:val="001754CD"/>
    <w:rsid w:val="0017586F"/>
    <w:rsid w:val="00176C56"/>
    <w:rsid w:val="00176CA4"/>
    <w:rsid w:val="0017776E"/>
    <w:rsid w:val="00177DC2"/>
    <w:rsid w:val="0018074B"/>
    <w:rsid w:val="0018253D"/>
    <w:rsid w:val="0018277E"/>
    <w:rsid w:val="00182D86"/>
    <w:rsid w:val="00185930"/>
    <w:rsid w:val="00187B41"/>
    <w:rsid w:val="001914D6"/>
    <w:rsid w:val="001924BC"/>
    <w:rsid w:val="001938B9"/>
    <w:rsid w:val="0019413F"/>
    <w:rsid w:val="001943B1"/>
    <w:rsid w:val="00194ED0"/>
    <w:rsid w:val="00195B9C"/>
    <w:rsid w:val="00196BE1"/>
    <w:rsid w:val="00196F66"/>
    <w:rsid w:val="00197162"/>
    <w:rsid w:val="0019777F"/>
    <w:rsid w:val="00197AA1"/>
    <w:rsid w:val="001A028B"/>
    <w:rsid w:val="001A076F"/>
    <w:rsid w:val="001A098D"/>
    <w:rsid w:val="001A0D31"/>
    <w:rsid w:val="001A1850"/>
    <w:rsid w:val="001A2125"/>
    <w:rsid w:val="001A244F"/>
    <w:rsid w:val="001A2935"/>
    <w:rsid w:val="001A2C8F"/>
    <w:rsid w:val="001A47A9"/>
    <w:rsid w:val="001A6366"/>
    <w:rsid w:val="001A6FDE"/>
    <w:rsid w:val="001B0098"/>
    <w:rsid w:val="001B0192"/>
    <w:rsid w:val="001B0863"/>
    <w:rsid w:val="001B09AF"/>
    <w:rsid w:val="001B12A5"/>
    <w:rsid w:val="001B1452"/>
    <w:rsid w:val="001B1530"/>
    <w:rsid w:val="001B15C8"/>
    <w:rsid w:val="001B28FF"/>
    <w:rsid w:val="001B2A2F"/>
    <w:rsid w:val="001B31B4"/>
    <w:rsid w:val="001B41EE"/>
    <w:rsid w:val="001B6764"/>
    <w:rsid w:val="001B74C7"/>
    <w:rsid w:val="001B76E3"/>
    <w:rsid w:val="001C0159"/>
    <w:rsid w:val="001C035A"/>
    <w:rsid w:val="001C0DBC"/>
    <w:rsid w:val="001C138A"/>
    <w:rsid w:val="001C1F35"/>
    <w:rsid w:val="001C2322"/>
    <w:rsid w:val="001C3D25"/>
    <w:rsid w:val="001C3F67"/>
    <w:rsid w:val="001C42B2"/>
    <w:rsid w:val="001C52A2"/>
    <w:rsid w:val="001C5B4F"/>
    <w:rsid w:val="001C6930"/>
    <w:rsid w:val="001C6E06"/>
    <w:rsid w:val="001C70A5"/>
    <w:rsid w:val="001C716F"/>
    <w:rsid w:val="001C764E"/>
    <w:rsid w:val="001C7EE5"/>
    <w:rsid w:val="001C7F11"/>
    <w:rsid w:val="001D07A9"/>
    <w:rsid w:val="001D2633"/>
    <w:rsid w:val="001D2935"/>
    <w:rsid w:val="001D2F20"/>
    <w:rsid w:val="001D3341"/>
    <w:rsid w:val="001D484D"/>
    <w:rsid w:val="001D5132"/>
    <w:rsid w:val="001D55B5"/>
    <w:rsid w:val="001D5783"/>
    <w:rsid w:val="001D6345"/>
    <w:rsid w:val="001D6419"/>
    <w:rsid w:val="001D6560"/>
    <w:rsid w:val="001D65DF"/>
    <w:rsid w:val="001D717B"/>
    <w:rsid w:val="001D75F3"/>
    <w:rsid w:val="001D7CC6"/>
    <w:rsid w:val="001E0860"/>
    <w:rsid w:val="001E091A"/>
    <w:rsid w:val="001E1557"/>
    <w:rsid w:val="001E1737"/>
    <w:rsid w:val="001E3A92"/>
    <w:rsid w:val="001E3AB2"/>
    <w:rsid w:val="001E432B"/>
    <w:rsid w:val="001E4431"/>
    <w:rsid w:val="001E6159"/>
    <w:rsid w:val="001E6247"/>
    <w:rsid w:val="001E7103"/>
    <w:rsid w:val="001E7AD2"/>
    <w:rsid w:val="001F0571"/>
    <w:rsid w:val="001F13C8"/>
    <w:rsid w:val="001F1916"/>
    <w:rsid w:val="001F245C"/>
    <w:rsid w:val="001F26FE"/>
    <w:rsid w:val="001F36F7"/>
    <w:rsid w:val="001F4626"/>
    <w:rsid w:val="001F4EA2"/>
    <w:rsid w:val="001F5714"/>
    <w:rsid w:val="001F57C2"/>
    <w:rsid w:val="001F677B"/>
    <w:rsid w:val="001F68BA"/>
    <w:rsid w:val="001F7A0F"/>
    <w:rsid w:val="0020033E"/>
    <w:rsid w:val="00200C69"/>
    <w:rsid w:val="002017B2"/>
    <w:rsid w:val="002019F4"/>
    <w:rsid w:val="00202394"/>
    <w:rsid w:val="00203C73"/>
    <w:rsid w:val="002043C5"/>
    <w:rsid w:val="002046CC"/>
    <w:rsid w:val="0020559B"/>
    <w:rsid w:val="00205D04"/>
    <w:rsid w:val="00206B3B"/>
    <w:rsid w:val="00207947"/>
    <w:rsid w:val="00210C0E"/>
    <w:rsid w:val="0021139A"/>
    <w:rsid w:val="0021248E"/>
    <w:rsid w:val="00212F4D"/>
    <w:rsid w:val="002146D3"/>
    <w:rsid w:val="0021480E"/>
    <w:rsid w:val="00214D35"/>
    <w:rsid w:val="00215343"/>
    <w:rsid w:val="002153CB"/>
    <w:rsid w:val="00215F18"/>
    <w:rsid w:val="0021649F"/>
    <w:rsid w:val="00216757"/>
    <w:rsid w:val="0021680A"/>
    <w:rsid w:val="00217967"/>
    <w:rsid w:val="00217D55"/>
    <w:rsid w:val="00217E88"/>
    <w:rsid w:val="00220548"/>
    <w:rsid w:val="002211B9"/>
    <w:rsid w:val="0022197D"/>
    <w:rsid w:val="00221ABC"/>
    <w:rsid w:val="0022284B"/>
    <w:rsid w:val="00222AC8"/>
    <w:rsid w:val="00222C1A"/>
    <w:rsid w:val="00223EF5"/>
    <w:rsid w:val="00224512"/>
    <w:rsid w:val="002246C9"/>
    <w:rsid w:val="00227142"/>
    <w:rsid w:val="0022724D"/>
    <w:rsid w:val="00227368"/>
    <w:rsid w:val="002301BD"/>
    <w:rsid w:val="00230E72"/>
    <w:rsid w:val="0023146D"/>
    <w:rsid w:val="0023250C"/>
    <w:rsid w:val="00232A77"/>
    <w:rsid w:val="00232CB4"/>
    <w:rsid w:val="00232DB1"/>
    <w:rsid w:val="00232E1C"/>
    <w:rsid w:val="00233913"/>
    <w:rsid w:val="00234339"/>
    <w:rsid w:val="00234785"/>
    <w:rsid w:val="00234E03"/>
    <w:rsid w:val="00235546"/>
    <w:rsid w:val="00235F3F"/>
    <w:rsid w:val="002360F0"/>
    <w:rsid w:val="00236969"/>
    <w:rsid w:val="002372EA"/>
    <w:rsid w:val="0023777C"/>
    <w:rsid w:val="002416C9"/>
    <w:rsid w:val="00241AB7"/>
    <w:rsid w:val="002431BA"/>
    <w:rsid w:val="00245386"/>
    <w:rsid w:val="002456FA"/>
    <w:rsid w:val="00245B8B"/>
    <w:rsid w:val="00245D80"/>
    <w:rsid w:val="00247B32"/>
    <w:rsid w:val="00250B4A"/>
    <w:rsid w:val="00250E9B"/>
    <w:rsid w:val="002516E2"/>
    <w:rsid w:val="0025295D"/>
    <w:rsid w:val="0025328A"/>
    <w:rsid w:val="00253FF9"/>
    <w:rsid w:val="002545F5"/>
    <w:rsid w:val="002548A9"/>
    <w:rsid w:val="00255B7A"/>
    <w:rsid w:val="002564A2"/>
    <w:rsid w:val="00256C12"/>
    <w:rsid w:val="00256DC6"/>
    <w:rsid w:val="00257111"/>
    <w:rsid w:val="00257CA1"/>
    <w:rsid w:val="00261DAB"/>
    <w:rsid w:val="00262C23"/>
    <w:rsid w:val="00262E26"/>
    <w:rsid w:val="0026316B"/>
    <w:rsid w:val="00263CB1"/>
    <w:rsid w:val="00264395"/>
    <w:rsid w:val="00265C1C"/>
    <w:rsid w:val="002664B0"/>
    <w:rsid w:val="00266953"/>
    <w:rsid w:val="002671C2"/>
    <w:rsid w:val="002671D2"/>
    <w:rsid w:val="00267E70"/>
    <w:rsid w:val="00267FB0"/>
    <w:rsid w:val="00270243"/>
    <w:rsid w:val="002704E6"/>
    <w:rsid w:val="0027081B"/>
    <w:rsid w:val="00270999"/>
    <w:rsid w:val="00270BDF"/>
    <w:rsid w:val="00270E9A"/>
    <w:rsid w:val="0027144C"/>
    <w:rsid w:val="00272A84"/>
    <w:rsid w:val="0027375C"/>
    <w:rsid w:val="00273790"/>
    <w:rsid w:val="002739C2"/>
    <w:rsid w:val="00273BB6"/>
    <w:rsid w:val="00274897"/>
    <w:rsid w:val="002755F3"/>
    <w:rsid w:val="002769C2"/>
    <w:rsid w:val="00280A00"/>
    <w:rsid w:val="00282BF9"/>
    <w:rsid w:val="00282FC3"/>
    <w:rsid w:val="00283E36"/>
    <w:rsid w:val="0028425E"/>
    <w:rsid w:val="00284B98"/>
    <w:rsid w:val="00284E87"/>
    <w:rsid w:val="00284F08"/>
    <w:rsid w:val="00286196"/>
    <w:rsid w:val="00286E73"/>
    <w:rsid w:val="00287CF1"/>
    <w:rsid w:val="00290B71"/>
    <w:rsid w:val="00291446"/>
    <w:rsid w:val="00291940"/>
    <w:rsid w:val="00291A14"/>
    <w:rsid w:val="00291C02"/>
    <w:rsid w:val="00292B6D"/>
    <w:rsid w:val="00292DA2"/>
    <w:rsid w:val="0029463D"/>
    <w:rsid w:val="0029498B"/>
    <w:rsid w:val="00294A0F"/>
    <w:rsid w:val="00295143"/>
    <w:rsid w:val="00295485"/>
    <w:rsid w:val="0029566C"/>
    <w:rsid w:val="00295A98"/>
    <w:rsid w:val="0029606D"/>
    <w:rsid w:val="00296AFA"/>
    <w:rsid w:val="0029763B"/>
    <w:rsid w:val="0029794C"/>
    <w:rsid w:val="002A104B"/>
    <w:rsid w:val="002A12FF"/>
    <w:rsid w:val="002A1907"/>
    <w:rsid w:val="002A1D1D"/>
    <w:rsid w:val="002A2516"/>
    <w:rsid w:val="002A3095"/>
    <w:rsid w:val="002A314E"/>
    <w:rsid w:val="002A3F50"/>
    <w:rsid w:val="002A4137"/>
    <w:rsid w:val="002A4531"/>
    <w:rsid w:val="002A5028"/>
    <w:rsid w:val="002A5199"/>
    <w:rsid w:val="002A525A"/>
    <w:rsid w:val="002A5425"/>
    <w:rsid w:val="002A5DC8"/>
    <w:rsid w:val="002A67B8"/>
    <w:rsid w:val="002A7968"/>
    <w:rsid w:val="002A7C3B"/>
    <w:rsid w:val="002A7C4B"/>
    <w:rsid w:val="002B0150"/>
    <w:rsid w:val="002B097E"/>
    <w:rsid w:val="002B0A75"/>
    <w:rsid w:val="002B1C9C"/>
    <w:rsid w:val="002B211B"/>
    <w:rsid w:val="002B22AC"/>
    <w:rsid w:val="002B29D9"/>
    <w:rsid w:val="002B2DEE"/>
    <w:rsid w:val="002B344A"/>
    <w:rsid w:val="002B494F"/>
    <w:rsid w:val="002B5050"/>
    <w:rsid w:val="002B5E25"/>
    <w:rsid w:val="002B6ABF"/>
    <w:rsid w:val="002B6B25"/>
    <w:rsid w:val="002B7E5D"/>
    <w:rsid w:val="002C0BA0"/>
    <w:rsid w:val="002C0F51"/>
    <w:rsid w:val="002C2D9A"/>
    <w:rsid w:val="002C30CD"/>
    <w:rsid w:val="002C3FFE"/>
    <w:rsid w:val="002C4378"/>
    <w:rsid w:val="002C53AB"/>
    <w:rsid w:val="002C71B7"/>
    <w:rsid w:val="002D00BA"/>
    <w:rsid w:val="002D067F"/>
    <w:rsid w:val="002D0DAE"/>
    <w:rsid w:val="002D19AE"/>
    <w:rsid w:val="002D28D1"/>
    <w:rsid w:val="002D2ABD"/>
    <w:rsid w:val="002D2F50"/>
    <w:rsid w:val="002D326B"/>
    <w:rsid w:val="002D3719"/>
    <w:rsid w:val="002D40E2"/>
    <w:rsid w:val="002D503A"/>
    <w:rsid w:val="002D5367"/>
    <w:rsid w:val="002D7403"/>
    <w:rsid w:val="002E027F"/>
    <w:rsid w:val="002E281C"/>
    <w:rsid w:val="002E4312"/>
    <w:rsid w:val="002E47BF"/>
    <w:rsid w:val="002E6337"/>
    <w:rsid w:val="002E7A2D"/>
    <w:rsid w:val="002E7C2B"/>
    <w:rsid w:val="002F01AC"/>
    <w:rsid w:val="002F085A"/>
    <w:rsid w:val="002F0B3D"/>
    <w:rsid w:val="002F0E85"/>
    <w:rsid w:val="002F122A"/>
    <w:rsid w:val="002F150C"/>
    <w:rsid w:val="002F156E"/>
    <w:rsid w:val="002F1DA1"/>
    <w:rsid w:val="002F22DF"/>
    <w:rsid w:val="002F254B"/>
    <w:rsid w:val="002F2E8A"/>
    <w:rsid w:val="002F3790"/>
    <w:rsid w:val="002F5022"/>
    <w:rsid w:val="002F561F"/>
    <w:rsid w:val="002F563C"/>
    <w:rsid w:val="002F58D3"/>
    <w:rsid w:val="002F677D"/>
    <w:rsid w:val="002F712D"/>
    <w:rsid w:val="002F721E"/>
    <w:rsid w:val="00300206"/>
    <w:rsid w:val="00300C0E"/>
    <w:rsid w:val="00301904"/>
    <w:rsid w:val="00302749"/>
    <w:rsid w:val="0030375B"/>
    <w:rsid w:val="00305019"/>
    <w:rsid w:val="00305D1E"/>
    <w:rsid w:val="003069D5"/>
    <w:rsid w:val="0030714C"/>
    <w:rsid w:val="00310CB1"/>
    <w:rsid w:val="003125DE"/>
    <w:rsid w:val="00313E89"/>
    <w:rsid w:val="00313ED2"/>
    <w:rsid w:val="00314F57"/>
    <w:rsid w:val="0031590D"/>
    <w:rsid w:val="003162B3"/>
    <w:rsid w:val="0031690C"/>
    <w:rsid w:val="00316B8C"/>
    <w:rsid w:val="0032065A"/>
    <w:rsid w:val="00321395"/>
    <w:rsid w:val="003216C3"/>
    <w:rsid w:val="003221CC"/>
    <w:rsid w:val="00322E09"/>
    <w:rsid w:val="00322E91"/>
    <w:rsid w:val="003237B9"/>
    <w:rsid w:val="00324DF7"/>
    <w:rsid w:val="00324EFC"/>
    <w:rsid w:val="003252CA"/>
    <w:rsid w:val="00325332"/>
    <w:rsid w:val="00327BCC"/>
    <w:rsid w:val="00330D2A"/>
    <w:rsid w:val="00331107"/>
    <w:rsid w:val="003312BC"/>
    <w:rsid w:val="00331BF1"/>
    <w:rsid w:val="0033276F"/>
    <w:rsid w:val="003334C4"/>
    <w:rsid w:val="00333511"/>
    <w:rsid w:val="00333836"/>
    <w:rsid w:val="003338C9"/>
    <w:rsid w:val="00333BAF"/>
    <w:rsid w:val="00334E4E"/>
    <w:rsid w:val="003368DE"/>
    <w:rsid w:val="00336B72"/>
    <w:rsid w:val="00336BF0"/>
    <w:rsid w:val="00336D26"/>
    <w:rsid w:val="003375D2"/>
    <w:rsid w:val="00337D4F"/>
    <w:rsid w:val="003427DA"/>
    <w:rsid w:val="00342F16"/>
    <w:rsid w:val="0034463B"/>
    <w:rsid w:val="0034470B"/>
    <w:rsid w:val="00345039"/>
    <w:rsid w:val="0034531C"/>
    <w:rsid w:val="003464E8"/>
    <w:rsid w:val="003465D7"/>
    <w:rsid w:val="0034762B"/>
    <w:rsid w:val="00350128"/>
    <w:rsid w:val="0035258B"/>
    <w:rsid w:val="00353120"/>
    <w:rsid w:val="00353C63"/>
    <w:rsid w:val="00354D8A"/>
    <w:rsid w:val="00355474"/>
    <w:rsid w:val="00355D23"/>
    <w:rsid w:val="00355FFB"/>
    <w:rsid w:val="003562C8"/>
    <w:rsid w:val="003566BD"/>
    <w:rsid w:val="0035795A"/>
    <w:rsid w:val="00361ED3"/>
    <w:rsid w:val="003621E2"/>
    <w:rsid w:val="00362A4B"/>
    <w:rsid w:val="00363253"/>
    <w:rsid w:val="00363819"/>
    <w:rsid w:val="00365850"/>
    <w:rsid w:val="003659FF"/>
    <w:rsid w:val="00365A4F"/>
    <w:rsid w:val="003664C9"/>
    <w:rsid w:val="00366E86"/>
    <w:rsid w:val="00367184"/>
    <w:rsid w:val="003674DE"/>
    <w:rsid w:val="00370278"/>
    <w:rsid w:val="003706FA"/>
    <w:rsid w:val="00370AC8"/>
    <w:rsid w:val="003717B3"/>
    <w:rsid w:val="003719C7"/>
    <w:rsid w:val="0037247D"/>
    <w:rsid w:val="003736D4"/>
    <w:rsid w:val="003741D4"/>
    <w:rsid w:val="0037431B"/>
    <w:rsid w:val="003751C5"/>
    <w:rsid w:val="003755B8"/>
    <w:rsid w:val="00375B8F"/>
    <w:rsid w:val="00377A33"/>
    <w:rsid w:val="00377B2B"/>
    <w:rsid w:val="00380641"/>
    <w:rsid w:val="00380E2B"/>
    <w:rsid w:val="00380ED3"/>
    <w:rsid w:val="00380F97"/>
    <w:rsid w:val="00381F30"/>
    <w:rsid w:val="00382FAA"/>
    <w:rsid w:val="0038329C"/>
    <w:rsid w:val="0038345A"/>
    <w:rsid w:val="003843BD"/>
    <w:rsid w:val="00384B17"/>
    <w:rsid w:val="00385197"/>
    <w:rsid w:val="00385ED8"/>
    <w:rsid w:val="00385F6B"/>
    <w:rsid w:val="00386128"/>
    <w:rsid w:val="00386601"/>
    <w:rsid w:val="00386A49"/>
    <w:rsid w:val="00386A63"/>
    <w:rsid w:val="00387556"/>
    <w:rsid w:val="003876CB"/>
    <w:rsid w:val="0039039D"/>
    <w:rsid w:val="00390640"/>
    <w:rsid w:val="00391103"/>
    <w:rsid w:val="00391A0A"/>
    <w:rsid w:val="00391B9E"/>
    <w:rsid w:val="00392152"/>
    <w:rsid w:val="00392DBA"/>
    <w:rsid w:val="00392DE6"/>
    <w:rsid w:val="003930A2"/>
    <w:rsid w:val="00393265"/>
    <w:rsid w:val="00393310"/>
    <w:rsid w:val="00393B4C"/>
    <w:rsid w:val="00393F83"/>
    <w:rsid w:val="003965A8"/>
    <w:rsid w:val="00396FA1"/>
    <w:rsid w:val="003977F6"/>
    <w:rsid w:val="00397E58"/>
    <w:rsid w:val="003A02CC"/>
    <w:rsid w:val="003A0BB8"/>
    <w:rsid w:val="003A1947"/>
    <w:rsid w:val="003A21C3"/>
    <w:rsid w:val="003A2D17"/>
    <w:rsid w:val="003A2FFD"/>
    <w:rsid w:val="003A5101"/>
    <w:rsid w:val="003A6709"/>
    <w:rsid w:val="003A6A1F"/>
    <w:rsid w:val="003A6DB0"/>
    <w:rsid w:val="003A7937"/>
    <w:rsid w:val="003A7FDE"/>
    <w:rsid w:val="003B0E80"/>
    <w:rsid w:val="003B1122"/>
    <w:rsid w:val="003B2017"/>
    <w:rsid w:val="003B27CA"/>
    <w:rsid w:val="003B2F1A"/>
    <w:rsid w:val="003B34D6"/>
    <w:rsid w:val="003B352E"/>
    <w:rsid w:val="003B415B"/>
    <w:rsid w:val="003B4924"/>
    <w:rsid w:val="003B49A2"/>
    <w:rsid w:val="003B4E77"/>
    <w:rsid w:val="003B55C3"/>
    <w:rsid w:val="003B58A4"/>
    <w:rsid w:val="003B6516"/>
    <w:rsid w:val="003B6945"/>
    <w:rsid w:val="003B785C"/>
    <w:rsid w:val="003C034E"/>
    <w:rsid w:val="003C0CCC"/>
    <w:rsid w:val="003C0D32"/>
    <w:rsid w:val="003C2BDB"/>
    <w:rsid w:val="003C3454"/>
    <w:rsid w:val="003C398D"/>
    <w:rsid w:val="003C3D97"/>
    <w:rsid w:val="003C551E"/>
    <w:rsid w:val="003C5862"/>
    <w:rsid w:val="003C5A2E"/>
    <w:rsid w:val="003C5BC4"/>
    <w:rsid w:val="003C63FD"/>
    <w:rsid w:val="003C6B66"/>
    <w:rsid w:val="003C6D8A"/>
    <w:rsid w:val="003C70FB"/>
    <w:rsid w:val="003D1DB6"/>
    <w:rsid w:val="003D275B"/>
    <w:rsid w:val="003D2B85"/>
    <w:rsid w:val="003D2EA8"/>
    <w:rsid w:val="003D489F"/>
    <w:rsid w:val="003D4CC6"/>
    <w:rsid w:val="003D4F99"/>
    <w:rsid w:val="003D548A"/>
    <w:rsid w:val="003D5AB2"/>
    <w:rsid w:val="003E0902"/>
    <w:rsid w:val="003E19D1"/>
    <w:rsid w:val="003E1E28"/>
    <w:rsid w:val="003E1FBE"/>
    <w:rsid w:val="003E2690"/>
    <w:rsid w:val="003E275C"/>
    <w:rsid w:val="003E3534"/>
    <w:rsid w:val="003E3779"/>
    <w:rsid w:val="003E3D02"/>
    <w:rsid w:val="003E3F4D"/>
    <w:rsid w:val="003E491C"/>
    <w:rsid w:val="003E556E"/>
    <w:rsid w:val="003E5D54"/>
    <w:rsid w:val="003E5DB7"/>
    <w:rsid w:val="003E64B3"/>
    <w:rsid w:val="003E6823"/>
    <w:rsid w:val="003E77B8"/>
    <w:rsid w:val="003E7B3C"/>
    <w:rsid w:val="003F0D32"/>
    <w:rsid w:val="003F2663"/>
    <w:rsid w:val="003F2B92"/>
    <w:rsid w:val="003F471B"/>
    <w:rsid w:val="003F4A96"/>
    <w:rsid w:val="003F59CE"/>
    <w:rsid w:val="003F6495"/>
    <w:rsid w:val="003F6EF1"/>
    <w:rsid w:val="003F73FF"/>
    <w:rsid w:val="003F7D64"/>
    <w:rsid w:val="00400BF6"/>
    <w:rsid w:val="00400D47"/>
    <w:rsid w:val="00401B3A"/>
    <w:rsid w:val="00402914"/>
    <w:rsid w:val="0040429B"/>
    <w:rsid w:val="004046EE"/>
    <w:rsid w:val="00407F4B"/>
    <w:rsid w:val="0041260D"/>
    <w:rsid w:val="00415B57"/>
    <w:rsid w:val="004163C2"/>
    <w:rsid w:val="00416A70"/>
    <w:rsid w:val="00416F14"/>
    <w:rsid w:val="00417F64"/>
    <w:rsid w:val="0042045A"/>
    <w:rsid w:val="00420BEB"/>
    <w:rsid w:val="00421FD7"/>
    <w:rsid w:val="004220DF"/>
    <w:rsid w:val="00422526"/>
    <w:rsid w:val="00422983"/>
    <w:rsid w:val="004237A7"/>
    <w:rsid w:val="00423A3D"/>
    <w:rsid w:val="004244E5"/>
    <w:rsid w:val="004257FE"/>
    <w:rsid w:val="00425D53"/>
    <w:rsid w:val="004269E6"/>
    <w:rsid w:val="00426CD6"/>
    <w:rsid w:val="00427C38"/>
    <w:rsid w:val="00427C93"/>
    <w:rsid w:val="00430356"/>
    <w:rsid w:val="0043058C"/>
    <w:rsid w:val="004320C0"/>
    <w:rsid w:val="0043286E"/>
    <w:rsid w:val="00432A8D"/>
    <w:rsid w:val="00433B92"/>
    <w:rsid w:val="00434288"/>
    <w:rsid w:val="00434A92"/>
    <w:rsid w:val="00434D21"/>
    <w:rsid w:val="0043558A"/>
    <w:rsid w:val="00435598"/>
    <w:rsid w:val="004359F5"/>
    <w:rsid w:val="00435B18"/>
    <w:rsid w:val="004367D4"/>
    <w:rsid w:val="004371FD"/>
    <w:rsid w:val="00437C30"/>
    <w:rsid w:val="004400F3"/>
    <w:rsid w:val="00440484"/>
    <w:rsid w:val="00440E0B"/>
    <w:rsid w:val="00441C8E"/>
    <w:rsid w:val="00442810"/>
    <w:rsid w:val="00442C37"/>
    <w:rsid w:val="0044337D"/>
    <w:rsid w:val="00443519"/>
    <w:rsid w:val="0044586F"/>
    <w:rsid w:val="00445871"/>
    <w:rsid w:val="00446D37"/>
    <w:rsid w:val="004501EF"/>
    <w:rsid w:val="00450F50"/>
    <w:rsid w:val="004516C1"/>
    <w:rsid w:val="0045240B"/>
    <w:rsid w:val="0045367E"/>
    <w:rsid w:val="004537F3"/>
    <w:rsid w:val="004547C0"/>
    <w:rsid w:val="00454C85"/>
    <w:rsid w:val="00456979"/>
    <w:rsid w:val="00457EEA"/>
    <w:rsid w:val="00460533"/>
    <w:rsid w:val="00461ACC"/>
    <w:rsid w:val="0046241C"/>
    <w:rsid w:val="004635D4"/>
    <w:rsid w:val="00463A6A"/>
    <w:rsid w:val="0046454B"/>
    <w:rsid w:val="00464622"/>
    <w:rsid w:val="00464CC8"/>
    <w:rsid w:val="004654D0"/>
    <w:rsid w:val="00466C3E"/>
    <w:rsid w:val="00466D05"/>
    <w:rsid w:val="004672F1"/>
    <w:rsid w:val="004716B8"/>
    <w:rsid w:val="00472570"/>
    <w:rsid w:val="00472F31"/>
    <w:rsid w:val="00473BA4"/>
    <w:rsid w:val="00473CCE"/>
    <w:rsid w:val="0047408D"/>
    <w:rsid w:val="004740D4"/>
    <w:rsid w:val="004748F8"/>
    <w:rsid w:val="0047547B"/>
    <w:rsid w:val="004754B0"/>
    <w:rsid w:val="00475A98"/>
    <w:rsid w:val="00475FB9"/>
    <w:rsid w:val="0047631A"/>
    <w:rsid w:val="00480824"/>
    <w:rsid w:val="0048106E"/>
    <w:rsid w:val="004821CE"/>
    <w:rsid w:val="00483C33"/>
    <w:rsid w:val="004845CF"/>
    <w:rsid w:val="00486CE3"/>
    <w:rsid w:val="00487318"/>
    <w:rsid w:val="00487DD6"/>
    <w:rsid w:val="0049051E"/>
    <w:rsid w:val="00490B42"/>
    <w:rsid w:val="00492F11"/>
    <w:rsid w:val="0049318F"/>
    <w:rsid w:val="00495A94"/>
    <w:rsid w:val="004963CB"/>
    <w:rsid w:val="00496E01"/>
    <w:rsid w:val="0049731F"/>
    <w:rsid w:val="00497759"/>
    <w:rsid w:val="004A0D6D"/>
    <w:rsid w:val="004A20AB"/>
    <w:rsid w:val="004A2912"/>
    <w:rsid w:val="004A2E7D"/>
    <w:rsid w:val="004A406A"/>
    <w:rsid w:val="004A46DD"/>
    <w:rsid w:val="004A4983"/>
    <w:rsid w:val="004A4E81"/>
    <w:rsid w:val="004A721F"/>
    <w:rsid w:val="004A72AF"/>
    <w:rsid w:val="004B0CC4"/>
    <w:rsid w:val="004B10F8"/>
    <w:rsid w:val="004B2889"/>
    <w:rsid w:val="004B298C"/>
    <w:rsid w:val="004B2C39"/>
    <w:rsid w:val="004B4BD0"/>
    <w:rsid w:val="004B5686"/>
    <w:rsid w:val="004B589D"/>
    <w:rsid w:val="004B7BC9"/>
    <w:rsid w:val="004C12D7"/>
    <w:rsid w:val="004C207F"/>
    <w:rsid w:val="004C3051"/>
    <w:rsid w:val="004C3606"/>
    <w:rsid w:val="004C37B0"/>
    <w:rsid w:val="004C3EAE"/>
    <w:rsid w:val="004C5662"/>
    <w:rsid w:val="004C59F6"/>
    <w:rsid w:val="004C6604"/>
    <w:rsid w:val="004D15AC"/>
    <w:rsid w:val="004D29E4"/>
    <w:rsid w:val="004D359A"/>
    <w:rsid w:val="004D3C24"/>
    <w:rsid w:val="004D441C"/>
    <w:rsid w:val="004D48C0"/>
    <w:rsid w:val="004D4E00"/>
    <w:rsid w:val="004D4FC2"/>
    <w:rsid w:val="004D5012"/>
    <w:rsid w:val="004D73A9"/>
    <w:rsid w:val="004D778D"/>
    <w:rsid w:val="004D7C61"/>
    <w:rsid w:val="004D7E60"/>
    <w:rsid w:val="004E1DCB"/>
    <w:rsid w:val="004E21AA"/>
    <w:rsid w:val="004E2885"/>
    <w:rsid w:val="004E3E21"/>
    <w:rsid w:val="004E55E8"/>
    <w:rsid w:val="004E6C46"/>
    <w:rsid w:val="004E6C55"/>
    <w:rsid w:val="004E7930"/>
    <w:rsid w:val="004F0221"/>
    <w:rsid w:val="004F1098"/>
    <w:rsid w:val="004F24A0"/>
    <w:rsid w:val="004F3237"/>
    <w:rsid w:val="004F3916"/>
    <w:rsid w:val="004F3A98"/>
    <w:rsid w:val="004F3EBF"/>
    <w:rsid w:val="004F64CA"/>
    <w:rsid w:val="004F67F2"/>
    <w:rsid w:val="004F68A6"/>
    <w:rsid w:val="004F6FDD"/>
    <w:rsid w:val="004F7B21"/>
    <w:rsid w:val="004F7E66"/>
    <w:rsid w:val="00500006"/>
    <w:rsid w:val="00500283"/>
    <w:rsid w:val="00500B56"/>
    <w:rsid w:val="005028E0"/>
    <w:rsid w:val="00502931"/>
    <w:rsid w:val="005030E0"/>
    <w:rsid w:val="00503AD3"/>
    <w:rsid w:val="0050491C"/>
    <w:rsid w:val="00504AE4"/>
    <w:rsid w:val="00504C81"/>
    <w:rsid w:val="00504F28"/>
    <w:rsid w:val="00504FAD"/>
    <w:rsid w:val="005052FF"/>
    <w:rsid w:val="00505B5E"/>
    <w:rsid w:val="00505FA5"/>
    <w:rsid w:val="005064E2"/>
    <w:rsid w:val="00506587"/>
    <w:rsid w:val="0050680B"/>
    <w:rsid w:val="00507720"/>
    <w:rsid w:val="0051042B"/>
    <w:rsid w:val="0051060F"/>
    <w:rsid w:val="00511FBF"/>
    <w:rsid w:val="00514874"/>
    <w:rsid w:val="00514C87"/>
    <w:rsid w:val="005150A0"/>
    <w:rsid w:val="0051576C"/>
    <w:rsid w:val="005159EF"/>
    <w:rsid w:val="00515A6A"/>
    <w:rsid w:val="005178F2"/>
    <w:rsid w:val="005200DA"/>
    <w:rsid w:val="00520777"/>
    <w:rsid w:val="005211D3"/>
    <w:rsid w:val="00521CB6"/>
    <w:rsid w:val="00522215"/>
    <w:rsid w:val="00522288"/>
    <w:rsid w:val="005226CD"/>
    <w:rsid w:val="005232C5"/>
    <w:rsid w:val="005234B2"/>
    <w:rsid w:val="00526736"/>
    <w:rsid w:val="00526A8B"/>
    <w:rsid w:val="00526B9A"/>
    <w:rsid w:val="0052719D"/>
    <w:rsid w:val="005274B5"/>
    <w:rsid w:val="00527872"/>
    <w:rsid w:val="00527E09"/>
    <w:rsid w:val="00530078"/>
    <w:rsid w:val="00530583"/>
    <w:rsid w:val="005306B8"/>
    <w:rsid w:val="00531014"/>
    <w:rsid w:val="00531A80"/>
    <w:rsid w:val="00531B95"/>
    <w:rsid w:val="005327AA"/>
    <w:rsid w:val="00532F1A"/>
    <w:rsid w:val="00532F64"/>
    <w:rsid w:val="005334F8"/>
    <w:rsid w:val="00533932"/>
    <w:rsid w:val="0053625C"/>
    <w:rsid w:val="00536778"/>
    <w:rsid w:val="00536DD1"/>
    <w:rsid w:val="005416B1"/>
    <w:rsid w:val="00541A0C"/>
    <w:rsid w:val="00541E6D"/>
    <w:rsid w:val="0054210D"/>
    <w:rsid w:val="00542942"/>
    <w:rsid w:val="00543293"/>
    <w:rsid w:val="00543EC8"/>
    <w:rsid w:val="00546536"/>
    <w:rsid w:val="005466C1"/>
    <w:rsid w:val="00547A4C"/>
    <w:rsid w:val="005509CE"/>
    <w:rsid w:val="00551A01"/>
    <w:rsid w:val="005525D6"/>
    <w:rsid w:val="005531C6"/>
    <w:rsid w:val="005543B7"/>
    <w:rsid w:val="00554867"/>
    <w:rsid w:val="005554B1"/>
    <w:rsid w:val="00557623"/>
    <w:rsid w:val="00560670"/>
    <w:rsid w:val="00560F26"/>
    <w:rsid w:val="00561237"/>
    <w:rsid w:val="00561976"/>
    <w:rsid w:val="005628A8"/>
    <w:rsid w:val="005628D5"/>
    <w:rsid w:val="00565129"/>
    <w:rsid w:val="005651F4"/>
    <w:rsid w:val="0056709D"/>
    <w:rsid w:val="005674A2"/>
    <w:rsid w:val="00567DAE"/>
    <w:rsid w:val="00570983"/>
    <w:rsid w:val="00571505"/>
    <w:rsid w:val="0057253A"/>
    <w:rsid w:val="00574C13"/>
    <w:rsid w:val="00576939"/>
    <w:rsid w:val="00580AD6"/>
    <w:rsid w:val="00583A9E"/>
    <w:rsid w:val="00583CB2"/>
    <w:rsid w:val="005844D6"/>
    <w:rsid w:val="005844F0"/>
    <w:rsid w:val="00584E9E"/>
    <w:rsid w:val="0058558B"/>
    <w:rsid w:val="00585AF3"/>
    <w:rsid w:val="00585CC1"/>
    <w:rsid w:val="00586491"/>
    <w:rsid w:val="005865A0"/>
    <w:rsid w:val="00586DD1"/>
    <w:rsid w:val="00587013"/>
    <w:rsid w:val="005879C4"/>
    <w:rsid w:val="005905DF"/>
    <w:rsid w:val="00590B27"/>
    <w:rsid w:val="005915E8"/>
    <w:rsid w:val="005916D8"/>
    <w:rsid w:val="00592A84"/>
    <w:rsid w:val="00593BDD"/>
    <w:rsid w:val="0059410C"/>
    <w:rsid w:val="005956FB"/>
    <w:rsid w:val="005960D7"/>
    <w:rsid w:val="005964A9"/>
    <w:rsid w:val="0059677A"/>
    <w:rsid w:val="00596E7E"/>
    <w:rsid w:val="00596F45"/>
    <w:rsid w:val="005A083C"/>
    <w:rsid w:val="005A0F5B"/>
    <w:rsid w:val="005A1554"/>
    <w:rsid w:val="005A17DF"/>
    <w:rsid w:val="005A1A02"/>
    <w:rsid w:val="005A221F"/>
    <w:rsid w:val="005A3521"/>
    <w:rsid w:val="005A5154"/>
    <w:rsid w:val="005A539E"/>
    <w:rsid w:val="005A5493"/>
    <w:rsid w:val="005A5900"/>
    <w:rsid w:val="005A6827"/>
    <w:rsid w:val="005A6EEF"/>
    <w:rsid w:val="005A7115"/>
    <w:rsid w:val="005B08A4"/>
    <w:rsid w:val="005B0CB8"/>
    <w:rsid w:val="005B1F30"/>
    <w:rsid w:val="005B1FC1"/>
    <w:rsid w:val="005B2468"/>
    <w:rsid w:val="005B2E59"/>
    <w:rsid w:val="005B4FF6"/>
    <w:rsid w:val="005B66C0"/>
    <w:rsid w:val="005B6A5B"/>
    <w:rsid w:val="005B7120"/>
    <w:rsid w:val="005B77AA"/>
    <w:rsid w:val="005C15AD"/>
    <w:rsid w:val="005C1DE5"/>
    <w:rsid w:val="005C2701"/>
    <w:rsid w:val="005C2778"/>
    <w:rsid w:val="005C45B4"/>
    <w:rsid w:val="005C51FA"/>
    <w:rsid w:val="005C596B"/>
    <w:rsid w:val="005C631D"/>
    <w:rsid w:val="005C65E2"/>
    <w:rsid w:val="005C6749"/>
    <w:rsid w:val="005C7554"/>
    <w:rsid w:val="005C7D0B"/>
    <w:rsid w:val="005C7DC3"/>
    <w:rsid w:val="005C7E95"/>
    <w:rsid w:val="005D0268"/>
    <w:rsid w:val="005D0787"/>
    <w:rsid w:val="005D141D"/>
    <w:rsid w:val="005D2525"/>
    <w:rsid w:val="005D2BC0"/>
    <w:rsid w:val="005D2F1D"/>
    <w:rsid w:val="005D32E9"/>
    <w:rsid w:val="005D434A"/>
    <w:rsid w:val="005D5C95"/>
    <w:rsid w:val="005D625C"/>
    <w:rsid w:val="005D63B0"/>
    <w:rsid w:val="005D75BD"/>
    <w:rsid w:val="005E00DF"/>
    <w:rsid w:val="005E0F4B"/>
    <w:rsid w:val="005E1A47"/>
    <w:rsid w:val="005E3192"/>
    <w:rsid w:val="005E3AF9"/>
    <w:rsid w:val="005E3B67"/>
    <w:rsid w:val="005E3E40"/>
    <w:rsid w:val="005E4BFB"/>
    <w:rsid w:val="005E7300"/>
    <w:rsid w:val="005E7CE6"/>
    <w:rsid w:val="005F1014"/>
    <w:rsid w:val="005F1600"/>
    <w:rsid w:val="005F1A19"/>
    <w:rsid w:val="005F2314"/>
    <w:rsid w:val="005F300F"/>
    <w:rsid w:val="005F33ED"/>
    <w:rsid w:val="005F428C"/>
    <w:rsid w:val="005F5C3E"/>
    <w:rsid w:val="005F779B"/>
    <w:rsid w:val="005F7C34"/>
    <w:rsid w:val="0060132C"/>
    <w:rsid w:val="00602B74"/>
    <w:rsid w:val="0060346C"/>
    <w:rsid w:val="00603F51"/>
    <w:rsid w:val="006041E0"/>
    <w:rsid w:val="00604E38"/>
    <w:rsid w:val="00604FBA"/>
    <w:rsid w:val="00605ABF"/>
    <w:rsid w:val="00605B67"/>
    <w:rsid w:val="00605DAC"/>
    <w:rsid w:val="0060732B"/>
    <w:rsid w:val="0060794B"/>
    <w:rsid w:val="00610A76"/>
    <w:rsid w:val="0061150B"/>
    <w:rsid w:val="006115DB"/>
    <w:rsid w:val="0061196F"/>
    <w:rsid w:val="00611A79"/>
    <w:rsid w:val="00611FF8"/>
    <w:rsid w:val="00612EE6"/>
    <w:rsid w:val="006144DE"/>
    <w:rsid w:val="00614DD6"/>
    <w:rsid w:val="00615193"/>
    <w:rsid w:val="006152DC"/>
    <w:rsid w:val="00615596"/>
    <w:rsid w:val="006158CD"/>
    <w:rsid w:val="00616153"/>
    <w:rsid w:val="006169A0"/>
    <w:rsid w:val="00616BD6"/>
    <w:rsid w:val="00617EB8"/>
    <w:rsid w:val="0062030A"/>
    <w:rsid w:val="00620726"/>
    <w:rsid w:val="0062153F"/>
    <w:rsid w:val="00621707"/>
    <w:rsid w:val="00621968"/>
    <w:rsid w:val="00621CD0"/>
    <w:rsid w:val="006228BD"/>
    <w:rsid w:val="00623F13"/>
    <w:rsid w:val="00626ABA"/>
    <w:rsid w:val="00626C53"/>
    <w:rsid w:val="006272D9"/>
    <w:rsid w:val="00627D12"/>
    <w:rsid w:val="00627FBA"/>
    <w:rsid w:val="0063174B"/>
    <w:rsid w:val="00631ECD"/>
    <w:rsid w:val="00632DCE"/>
    <w:rsid w:val="00632DD2"/>
    <w:rsid w:val="00633A07"/>
    <w:rsid w:val="0063406F"/>
    <w:rsid w:val="006349CF"/>
    <w:rsid w:val="00635F8F"/>
    <w:rsid w:val="00637160"/>
    <w:rsid w:val="00637701"/>
    <w:rsid w:val="0064070A"/>
    <w:rsid w:val="00640986"/>
    <w:rsid w:val="00640B83"/>
    <w:rsid w:val="006416E5"/>
    <w:rsid w:val="0064247B"/>
    <w:rsid w:val="0064272D"/>
    <w:rsid w:val="00644165"/>
    <w:rsid w:val="00644A41"/>
    <w:rsid w:val="00644C88"/>
    <w:rsid w:val="00644D22"/>
    <w:rsid w:val="006462D5"/>
    <w:rsid w:val="00646F1D"/>
    <w:rsid w:val="00647412"/>
    <w:rsid w:val="00647D7A"/>
    <w:rsid w:val="006500EE"/>
    <w:rsid w:val="0065160C"/>
    <w:rsid w:val="00651991"/>
    <w:rsid w:val="00651B40"/>
    <w:rsid w:val="00652058"/>
    <w:rsid w:val="00652333"/>
    <w:rsid w:val="00653324"/>
    <w:rsid w:val="00654EE7"/>
    <w:rsid w:val="006552F8"/>
    <w:rsid w:val="006558E2"/>
    <w:rsid w:val="00655E5E"/>
    <w:rsid w:val="00656059"/>
    <w:rsid w:val="00657183"/>
    <w:rsid w:val="00657657"/>
    <w:rsid w:val="006579EA"/>
    <w:rsid w:val="006605B7"/>
    <w:rsid w:val="0066071F"/>
    <w:rsid w:val="0066094D"/>
    <w:rsid w:val="00660D23"/>
    <w:rsid w:val="006623DF"/>
    <w:rsid w:val="00664013"/>
    <w:rsid w:val="00664A60"/>
    <w:rsid w:val="00664DEC"/>
    <w:rsid w:val="00664EE9"/>
    <w:rsid w:val="00664F1D"/>
    <w:rsid w:val="00665651"/>
    <w:rsid w:val="00665655"/>
    <w:rsid w:val="0066589F"/>
    <w:rsid w:val="00665970"/>
    <w:rsid w:val="00666D2E"/>
    <w:rsid w:val="00666EF2"/>
    <w:rsid w:val="00667AC4"/>
    <w:rsid w:val="00670794"/>
    <w:rsid w:val="00670C1B"/>
    <w:rsid w:val="006717CD"/>
    <w:rsid w:val="0067269B"/>
    <w:rsid w:val="0067273D"/>
    <w:rsid w:val="00672B13"/>
    <w:rsid w:val="00672D51"/>
    <w:rsid w:val="00672D61"/>
    <w:rsid w:val="00672F7C"/>
    <w:rsid w:val="00673479"/>
    <w:rsid w:val="0067417E"/>
    <w:rsid w:val="00674587"/>
    <w:rsid w:val="00674B98"/>
    <w:rsid w:val="006767F8"/>
    <w:rsid w:val="00676BD2"/>
    <w:rsid w:val="00676CA1"/>
    <w:rsid w:val="00677D84"/>
    <w:rsid w:val="0068124C"/>
    <w:rsid w:val="00681549"/>
    <w:rsid w:val="00681D90"/>
    <w:rsid w:val="006822C9"/>
    <w:rsid w:val="00683672"/>
    <w:rsid w:val="00683886"/>
    <w:rsid w:val="00684361"/>
    <w:rsid w:val="00685477"/>
    <w:rsid w:val="006855A5"/>
    <w:rsid w:val="00686F61"/>
    <w:rsid w:val="00687C3B"/>
    <w:rsid w:val="006905B3"/>
    <w:rsid w:val="0069079F"/>
    <w:rsid w:val="00690AA8"/>
    <w:rsid w:val="00690BBE"/>
    <w:rsid w:val="00690CDA"/>
    <w:rsid w:val="006921D9"/>
    <w:rsid w:val="006936F4"/>
    <w:rsid w:val="00694CA4"/>
    <w:rsid w:val="006951D9"/>
    <w:rsid w:val="00696254"/>
    <w:rsid w:val="00697018"/>
    <w:rsid w:val="006974A1"/>
    <w:rsid w:val="006974D7"/>
    <w:rsid w:val="00697A7B"/>
    <w:rsid w:val="006A0010"/>
    <w:rsid w:val="006A085B"/>
    <w:rsid w:val="006A2AA1"/>
    <w:rsid w:val="006A2E25"/>
    <w:rsid w:val="006A38D6"/>
    <w:rsid w:val="006A3DB9"/>
    <w:rsid w:val="006A6224"/>
    <w:rsid w:val="006A76E2"/>
    <w:rsid w:val="006B041A"/>
    <w:rsid w:val="006B0713"/>
    <w:rsid w:val="006B176D"/>
    <w:rsid w:val="006B2012"/>
    <w:rsid w:val="006B24CA"/>
    <w:rsid w:val="006B2F34"/>
    <w:rsid w:val="006B36B5"/>
    <w:rsid w:val="006B3A6A"/>
    <w:rsid w:val="006B3CCE"/>
    <w:rsid w:val="006B45D3"/>
    <w:rsid w:val="006B4930"/>
    <w:rsid w:val="006B4D4D"/>
    <w:rsid w:val="006B560C"/>
    <w:rsid w:val="006B64E6"/>
    <w:rsid w:val="006B7239"/>
    <w:rsid w:val="006B770B"/>
    <w:rsid w:val="006B79C3"/>
    <w:rsid w:val="006C213E"/>
    <w:rsid w:val="006C2494"/>
    <w:rsid w:val="006C24B0"/>
    <w:rsid w:val="006C2606"/>
    <w:rsid w:val="006C26E3"/>
    <w:rsid w:val="006C2D1C"/>
    <w:rsid w:val="006C3328"/>
    <w:rsid w:val="006C33A4"/>
    <w:rsid w:val="006C39E6"/>
    <w:rsid w:val="006C3EA0"/>
    <w:rsid w:val="006C471F"/>
    <w:rsid w:val="006C49C4"/>
    <w:rsid w:val="006C4AE8"/>
    <w:rsid w:val="006C4EC3"/>
    <w:rsid w:val="006C5EB3"/>
    <w:rsid w:val="006C65F8"/>
    <w:rsid w:val="006C670C"/>
    <w:rsid w:val="006C6D9B"/>
    <w:rsid w:val="006D0676"/>
    <w:rsid w:val="006D07E9"/>
    <w:rsid w:val="006D0F7D"/>
    <w:rsid w:val="006D12BA"/>
    <w:rsid w:val="006D2AD3"/>
    <w:rsid w:val="006D3D88"/>
    <w:rsid w:val="006D4F92"/>
    <w:rsid w:val="006D5241"/>
    <w:rsid w:val="006D67E8"/>
    <w:rsid w:val="006D6875"/>
    <w:rsid w:val="006D6942"/>
    <w:rsid w:val="006D6BDC"/>
    <w:rsid w:val="006D6E06"/>
    <w:rsid w:val="006D7FAB"/>
    <w:rsid w:val="006E1582"/>
    <w:rsid w:val="006E2223"/>
    <w:rsid w:val="006E2C55"/>
    <w:rsid w:val="006E3479"/>
    <w:rsid w:val="006E3601"/>
    <w:rsid w:val="006E36AA"/>
    <w:rsid w:val="006E3B7F"/>
    <w:rsid w:val="006E3EDA"/>
    <w:rsid w:val="006E4F9F"/>
    <w:rsid w:val="006E7970"/>
    <w:rsid w:val="006F03E8"/>
    <w:rsid w:val="006F0B92"/>
    <w:rsid w:val="006F11AF"/>
    <w:rsid w:val="006F1797"/>
    <w:rsid w:val="006F3652"/>
    <w:rsid w:val="006F3ABD"/>
    <w:rsid w:val="006F44E3"/>
    <w:rsid w:val="006F4D85"/>
    <w:rsid w:val="006F59BD"/>
    <w:rsid w:val="006F5C8D"/>
    <w:rsid w:val="006F63FC"/>
    <w:rsid w:val="006F6944"/>
    <w:rsid w:val="006F76DF"/>
    <w:rsid w:val="006F7BBC"/>
    <w:rsid w:val="006F7D61"/>
    <w:rsid w:val="007003BA"/>
    <w:rsid w:val="007006C6"/>
    <w:rsid w:val="00700F57"/>
    <w:rsid w:val="00701DC7"/>
    <w:rsid w:val="00702A01"/>
    <w:rsid w:val="007042A1"/>
    <w:rsid w:val="007048C2"/>
    <w:rsid w:val="00705036"/>
    <w:rsid w:val="0070514E"/>
    <w:rsid w:val="00705C40"/>
    <w:rsid w:val="007063EA"/>
    <w:rsid w:val="00707383"/>
    <w:rsid w:val="0071007D"/>
    <w:rsid w:val="00710D22"/>
    <w:rsid w:val="007112C5"/>
    <w:rsid w:val="007115DE"/>
    <w:rsid w:val="00712834"/>
    <w:rsid w:val="00712EF9"/>
    <w:rsid w:val="0071325A"/>
    <w:rsid w:val="00713316"/>
    <w:rsid w:val="00713343"/>
    <w:rsid w:val="007135AE"/>
    <w:rsid w:val="00713A05"/>
    <w:rsid w:val="00713C01"/>
    <w:rsid w:val="00716032"/>
    <w:rsid w:val="00716FBA"/>
    <w:rsid w:val="00717D36"/>
    <w:rsid w:val="0072027B"/>
    <w:rsid w:val="00721227"/>
    <w:rsid w:val="00721B1C"/>
    <w:rsid w:val="00722705"/>
    <w:rsid w:val="00722D93"/>
    <w:rsid w:val="00723C94"/>
    <w:rsid w:val="00724660"/>
    <w:rsid w:val="00724716"/>
    <w:rsid w:val="00726492"/>
    <w:rsid w:val="0073191A"/>
    <w:rsid w:val="007340D7"/>
    <w:rsid w:val="007343CC"/>
    <w:rsid w:val="007358AB"/>
    <w:rsid w:val="0073654D"/>
    <w:rsid w:val="00736567"/>
    <w:rsid w:val="00736570"/>
    <w:rsid w:val="0073695E"/>
    <w:rsid w:val="007370A6"/>
    <w:rsid w:val="00737FF6"/>
    <w:rsid w:val="00740CF2"/>
    <w:rsid w:val="007419F0"/>
    <w:rsid w:val="00742F70"/>
    <w:rsid w:val="00744515"/>
    <w:rsid w:val="00744B79"/>
    <w:rsid w:val="00744E28"/>
    <w:rsid w:val="00745813"/>
    <w:rsid w:val="0074711A"/>
    <w:rsid w:val="00747240"/>
    <w:rsid w:val="00751133"/>
    <w:rsid w:val="007517E6"/>
    <w:rsid w:val="00751D4F"/>
    <w:rsid w:val="00752BD8"/>
    <w:rsid w:val="00753496"/>
    <w:rsid w:val="00755BB6"/>
    <w:rsid w:val="00755D96"/>
    <w:rsid w:val="007560F7"/>
    <w:rsid w:val="00756427"/>
    <w:rsid w:val="00756BE8"/>
    <w:rsid w:val="00760FF9"/>
    <w:rsid w:val="0076121A"/>
    <w:rsid w:val="00761F1B"/>
    <w:rsid w:val="007625B8"/>
    <w:rsid w:val="007629B5"/>
    <w:rsid w:val="00763706"/>
    <w:rsid w:val="0076551A"/>
    <w:rsid w:val="00765526"/>
    <w:rsid w:val="0076704A"/>
    <w:rsid w:val="0076774B"/>
    <w:rsid w:val="00771217"/>
    <w:rsid w:val="00771D08"/>
    <w:rsid w:val="00772BD1"/>
    <w:rsid w:val="00772E18"/>
    <w:rsid w:val="00772E89"/>
    <w:rsid w:val="00773320"/>
    <w:rsid w:val="0077351C"/>
    <w:rsid w:val="007738A5"/>
    <w:rsid w:val="00773ECE"/>
    <w:rsid w:val="007750A9"/>
    <w:rsid w:val="00775A8F"/>
    <w:rsid w:val="00775DE5"/>
    <w:rsid w:val="007762A2"/>
    <w:rsid w:val="0077630B"/>
    <w:rsid w:val="00776B2E"/>
    <w:rsid w:val="0077751C"/>
    <w:rsid w:val="00780C65"/>
    <w:rsid w:val="0078143D"/>
    <w:rsid w:val="007828AA"/>
    <w:rsid w:val="007829F4"/>
    <w:rsid w:val="0078486A"/>
    <w:rsid w:val="00785F28"/>
    <w:rsid w:val="00786114"/>
    <w:rsid w:val="0078623B"/>
    <w:rsid w:val="00786EAF"/>
    <w:rsid w:val="007905AC"/>
    <w:rsid w:val="0079072E"/>
    <w:rsid w:val="00790AB3"/>
    <w:rsid w:val="00791861"/>
    <w:rsid w:val="0079225D"/>
    <w:rsid w:val="0079270A"/>
    <w:rsid w:val="00792843"/>
    <w:rsid w:val="00792899"/>
    <w:rsid w:val="00792916"/>
    <w:rsid w:val="00792E8F"/>
    <w:rsid w:val="00792FA1"/>
    <w:rsid w:val="00794614"/>
    <w:rsid w:val="0079499A"/>
    <w:rsid w:val="00795830"/>
    <w:rsid w:val="00795C12"/>
    <w:rsid w:val="00795E93"/>
    <w:rsid w:val="007A0143"/>
    <w:rsid w:val="007A0E4F"/>
    <w:rsid w:val="007A1015"/>
    <w:rsid w:val="007A1DFF"/>
    <w:rsid w:val="007A2A16"/>
    <w:rsid w:val="007A2C74"/>
    <w:rsid w:val="007A3445"/>
    <w:rsid w:val="007A3455"/>
    <w:rsid w:val="007A4766"/>
    <w:rsid w:val="007A481D"/>
    <w:rsid w:val="007A504A"/>
    <w:rsid w:val="007A55D5"/>
    <w:rsid w:val="007A55F1"/>
    <w:rsid w:val="007A6363"/>
    <w:rsid w:val="007A6421"/>
    <w:rsid w:val="007A6C60"/>
    <w:rsid w:val="007A7608"/>
    <w:rsid w:val="007B0156"/>
    <w:rsid w:val="007B1D34"/>
    <w:rsid w:val="007B238C"/>
    <w:rsid w:val="007B5019"/>
    <w:rsid w:val="007B566F"/>
    <w:rsid w:val="007B5B76"/>
    <w:rsid w:val="007B5F47"/>
    <w:rsid w:val="007B6A6B"/>
    <w:rsid w:val="007B6B99"/>
    <w:rsid w:val="007C0FF7"/>
    <w:rsid w:val="007C1433"/>
    <w:rsid w:val="007C1481"/>
    <w:rsid w:val="007C17C6"/>
    <w:rsid w:val="007C1AE2"/>
    <w:rsid w:val="007C24CA"/>
    <w:rsid w:val="007C278E"/>
    <w:rsid w:val="007C3713"/>
    <w:rsid w:val="007C5246"/>
    <w:rsid w:val="007C53B3"/>
    <w:rsid w:val="007C5693"/>
    <w:rsid w:val="007C66D8"/>
    <w:rsid w:val="007C6A87"/>
    <w:rsid w:val="007C6E9F"/>
    <w:rsid w:val="007C7A07"/>
    <w:rsid w:val="007C7DF1"/>
    <w:rsid w:val="007C7FAB"/>
    <w:rsid w:val="007D03ED"/>
    <w:rsid w:val="007D0AD5"/>
    <w:rsid w:val="007D0D8D"/>
    <w:rsid w:val="007D1290"/>
    <w:rsid w:val="007D1774"/>
    <w:rsid w:val="007D1A26"/>
    <w:rsid w:val="007D2374"/>
    <w:rsid w:val="007D2594"/>
    <w:rsid w:val="007D2DDE"/>
    <w:rsid w:val="007D3A74"/>
    <w:rsid w:val="007D3AC2"/>
    <w:rsid w:val="007D4012"/>
    <w:rsid w:val="007D452C"/>
    <w:rsid w:val="007D48C1"/>
    <w:rsid w:val="007D4DB0"/>
    <w:rsid w:val="007D5CF2"/>
    <w:rsid w:val="007D642C"/>
    <w:rsid w:val="007D699A"/>
    <w:rsid w:val="007D7CE4"/>
    <w:rsid w:val="007E5BCC"/>
    <w:rsid w:val="007E5ED7"/>
    <w:rsid w:val="007E61E9"/>
    <w:rsid w:val="007E6245"/>
    <w:rsid w:val="007E672C"/>
    <w:rsid w:val="007E69AC"/>
    <w:rsid w:val="007E6A40"/>
    <w:rsid w:val="007E7757"/>
    <w:rsid w:val="007E7A96"/>
    <w:rsid w:val="007F0D43"/>
    <w:rsid w:val="007F1408"/>
    <w:rsid w:val="007F16EB"/>
    <w:rsid w:val="007F1726"/>
    <w:rsid w:val="007F2FBD"/>
    <w:rsid w:val="007F3A1E"/>
    <w:rsid w:val="007F3A27"/>
    <w:rsid w:val="007F3BED"/>
    <w:rsid w:val="007F4418"/>
    <w:rsid w:val="007F4D5A"/>
    <w:rsid w:val="007F4E2F"/>
    <w:rsid w:val="007F4FB9"/>
    <w:rsid w:val="007F5560"/>
    <w:rsid w:val="008001C9"/>
    <w:rsid w:val="008017E5"/>
    <w:rsid w:val="008021D0"/>
    <w:rsid w:val="0080468C"/>
    <w:rsid w:val="00804A8F"/>
    <w:rsid w:val="00804C5A"/>
    <w:rsid w:val="00806DE7"/>
    <w:rsid w:val="00806FED"/>
    <w:rsid w:val="00807101"/>
    <w:rsid w:val="008074F2"/>
    <w:rsid w:val="00810F8E"/>
    <w:rsid w:val="00811AF9"/>
    <w:rsid w:val="00811C47"/>
    <w:rsid w:val="00813FEE"/>
    <w:rsid w:val="00816809"/>
    <w:rsid w:val="00816F0A"/>
    <w:rsid w:val="00817B12"/>
    <w:rsid w:val="0082049D"/>
    <w:rsid w:val="00820F85"/>
    <w:rsid w:val="0082166A"/>
    <w:rsid w:val="00822548"/>
    <w:rsid w:val="00824507"/>
    <w:rsid w:val="0082473F"/>
    <w:rsid w:val="008248D1"/>
    <w:rsid w:val="00824A0E"/>
    <w:rsid w:val="00824A8C"/>
    <w:rsid w:val="00825661"/>
    <w:rsid w:val="0082737B"/>
    <w:rsid w:val="00830630"/>
    <w:rsid w:val="00830BD5"/>
    <w:rsid w:val="00831E92"/>
    <w:rsid w:val="00832512"/>
    <w:rsid w:val="00832780"/>
    <w:rsid w:val="0083310B"/>
    <w:rsid w:val="0083433D"/>
    <w:rsid w:val="00834BD7"/>
    <w:rsid w:val="00834D4D"/>
    <w:rsid w:val="00834F3A"/>
    <w:rsid w:val="00835D1D"/>
    <w:rsid w:val="00836500"/>
    <w:rsid w:val="008401FD"/>
    <w:rsid w:val="0084059F"/>
    <w:rsid w:val="0084091C"/>
    <w:rsid w:val="008415F0"/>
    <w:rsid w:val="008422FA"/>
    <w:rsid w:val="008453E8"/>
    <w:rsid w:val="00845668"/>
    <w:rsid w:val="008459A7"/>
    <w:rsid w:val="00845E0F"/>
    <w:rsid w:val="008470EC"/>
    <w:rsid w:val="00850293"/>
    <w:rsid w:val="00850B6C"/>
    <w:rsid w:val="00851982"/>
    <w:rsid w:val="00851BC6"/>
    <w:rsid w:val="00851C9B"/>
    <w:rsid w:val="00852799"/>
    <w:rsid w:val="0085388C"/>
    <w:rsid w:val="008544F6"/>
    <w:rsid w:val="008558C4"/>
    <w:rsid w:val="00855FFC"/>
    <w:rsid w:val="00857422"/>
    <w:rsid w:val="0086013C"/>
    <w:rsid w:val="0086305E"/>
    <w:rsid w:val="00863188"/>
    <w:rsid w:val="00863C21"/>
    <w:rsid w:val="008640E7"/>
    <w:rsid w:val="00865B58"/>
    <w:rsid w:val="00866881"/>
    <w:rsid w:val="00866D90"/>
    <w:rsid w:val="00870122"/>
    <w:rsid w:val="00870B3D"/>
    <w:rsid w:val="00871917"/>
    <w:rsid w:val="00871B49"/>
    <w:rsid w:val="00871C18"/>
    <w:rsid w:val="00872F83"/>
    <w:rsid w:val="0087315B"/>
    <w:rsid w:val="0087380B"/>
    <w:rsid w:val="00873954"/>
    <w:rsid w:val="008739A1"/>
    <w:rsid w:val="00873A99"/>
    <w:rsid w:val="008744EB"/>
    <w:rsid w:val="00874502"/>
    <w:rsid w:val="00874688"/>
    <w:rsid w:val="008764CD"/>
    <w:rsid w:val="00880175"/>
    <w:rsid w:val="008806ED"/>
    <w:rsid w:val="00881698"/>
    <w:rsid w:val="008827A0"/>
    <w:rsid w:val="00882FA7"/>
    <w:rsid w:val="008839C4"/>
    <w:rsid w:val="0088410D"/>
    <w:rsid w:val="00884906"/>
    <w:rsid w:val="00884962"/>
    <w:rsid w:val="008850DD"/>
    <w:rsid w:val="00886239"/>
    <w:rsid w:val="00886F61"/>
    <w:rsid w:val="008903C4"/>
    <w:rsid w:val="00890523"/>
    <w:rsid w:val="00893CFE"/>
    <w:rsid w:val="00895075"/>
    <w:rsid w:val="00896C23"/>
    <w:rsid w:val="00896CBF"/>
    <w:rsid w:val="00896E8A"/>
    <w:rsid w:val="00896EA4"/>
    <w:rsid w:val="008A1ABE"/>
    <w:rsid w:val="008A1C98"/>
    <w:rsid w:val="008A1D65"/>
    <w:rsid w:val="008A222B"/>
    <w:rsid w:val="008A2422"/>
    <w:rsid w:val="008A2833"/>
    <w:rsid w:val="008A3282"/>
    <w:rsid w:val="008A3DF5"/>
    <w:rsid w:val="008A4E72"/>
    <w:rsid w:val="008A6CDD"/>
    <w:rsid w:val="008A6E4B"/>
    <w:rsid w:val="008B0750"/>
    <w:rsid w:val="008B1FC3"/>
    <w:rsid w:val="008B34B7"/>
    <w:rsid w:val="008B3C0E"/>
    <w:rsid w:val="008B4087"/>
    <w:rsid w:val="008B5F6B"/>
    <w:rsid w:val="008B62B5"/>
    <w:rsid w:val="008B7FC5"/>
    <w:rsid w:val="008C0D4C"/>
    <w:rsid w:val="008C34B4"/>
    <w:rsid w:val="008C38D7"/>
    <w:rsid w:val="008C59ED"/>
    <w:rsid w:val="008C660B"/>
    <w:rsid w:val="008C6B07"/>
    <w:rsid w:val="008C741B"/>
    <w:rsid w:val="008D33AE"/>
    <w:rsid w:val="008D39CB"/>
    <w:rsid w:val="008D3E05"/>
    <w:rsid w:val="008D3F33"/>
    <w:rsid w:val="008D4306"/>
    <w:rsid w:val="008D4472"/>
    <w:rsid w:val="008D44FC"/>
    <w:rsid w:val="008D4E65"/>
    <w:rsid w:val="008D54BD"/>
    <w:rsid w:val="008D5733"/>
    <w:rsid w:val="008D6384"/>
    <w:rsid w:val="008D6542"/>
    <w:rsid w:val="008D662D"/>
    <w:rsid w:val="008D6A83"/>
    <w:rsid w:val="008D7842"/>
    <w:rsid w:val="008E09D1"/>
    <w:rsid w:val="008E1213"/>
    <w:rsid w:val="008E147E"/>
    <w:rsid w:val="008E25CB"/>
    <w:rsid w:val="008E2E3C"/>
    <w:rsid w:val="008E487D"/>
    <w:rsid w:val="008E4C8F"/>
    <w:rsid w:val="008E5288"/>
    <w:rsid w:val="008E557D"/>
    <w:rsid w:val="008E5918"/>
    <w:rsid w:val="008E5B97"/>
    <w:rsid w:val="008E5BF1"/>
    <w:rsid w:val="008E633D"/>
    <w:rsid w:val="008E6864"/>
    <w:rsid w:val="008F03D1"/>
    <w:rsid w:val="008F06A5"/>
    <w:rsid w:val="008F0E53"/>
    <w:rsid w:val="008F13FF"/>
    <w:rsid w:val="008F1A72"/>
    <w:rsid w:val="008F2233"/>
    <w:rsid w:val="008F2ACE"/>
    <w:rsid w:val="008F55D9"/>
    <w:rsid w:val="008F64BB"/>
    <w:rsid w:val="008F7061"/>
    <w:rsid w:val="008F7D66"/>
    <w:rsid w:val="0090091F"/>
    <w:rsid w:val="009013A8"/>
    <w:rsid w:val="009017E2"/>
    <w:rsid w:val="00901B34"/>
    <w:rsid w:val="009024C7"/>
    <w:rsid w:val="0090255F"/>
    <w:rsid w:val="009026F3"/>
    <w:rsid w:val="009031ED"/>
    <w:rsid w:val="00903D87"/>
    <w:rsid w:val="00904491"/>
    <w:rsid w:val="009044DB"/>
    <w:rsid w:val="00904AE7"/>
    <w:rsid w:val="00904FCD"/>
    <w:rsid w:val="00906669"/>
    <w:rsid w:val="009075AE"/>
    <w:rsid w:val="00907B4D"/>
    <w:rsid w:val="009103EE"/>
    <w:rsid w:val="00912A5E"/>
    <w:rsid w:val="00913AA1"/>
    <w:rsid w:val="009145EB"/>
    <w:rsid w:val="00915EEC"/>
    <w:rsid w:val="00916B17"/>
    <w:rsid w:val="00916D37"/>
    <w:rsid w:val="0091700F"/>
    <w:rsid w:val="009177F0"/>
    <w:rsid w:val="00917805"/>
    <w:rsid w:val="009178BE"/>
    <w:rsid w:val="00917B8C"/>
    <w:rsid w:val="00917C42"/>
    <w:rsid w:val="00917D92"/>
    <w:rsid w:val="00917F48"/>
    <w:rsid w:val="0092192D"/>
    <w:rsid w:val="009219D9"/>
    <w:rsid w:val="00921BD8"/>
    <w:rsid w:val="009220B6"/>
    <w:rsid w:val="0092263B"/>
    <w:rsid w:val="00922974"/>
    <w:rsid w:val="009229EF"/>
    <w:rsid w:val="009230B1"/>
    <w:rsid w:val="00923970"/>
    <w:rsid w:val="00923AE1"/>
    <w:rsid w:val="00924AFA"/>
    <w:rsid w:val="00925712"/>
    <w:rsid w:val="00926574"/>
    <w:rsid w:val="00927361"/>
    <w:rsid w:val="00927BF9"/>
    <w:rsid w:val="00927FA2"/>
    <w:rsid w:val="00931150"/>
    <w:rsid w:val="0093130D"/>
    <w:rsid w:val="00931D86"/>
    <w:rsid w:val="00931DC0"/>
    <w:rsid w:val="009320A1"/>
    <w:rsid w:val="0093259F"/>
    <w:rsid w:val="009337D7"/>
    <w:rsid w:val="00933806"/>
    <w:rsid w:val="0093571A"/>
    <w:rsid w:val="00935901"/>
    <w:rsid w:val="00936E1D"/>
    <w:rsid w:val="00936E64"/>
    <w:rsid w:val="00940681"/>
    <w:rsid w:val="00941753"/>
    <w:rsid w:val="00942AB3"/>
    <w:rsid w:val="00943FD0"/>
    <w:rsid w:val="00944616"/>
    <w:rsid w:val="00944A81"/>
    <w:rsid w:val="009466A2"/>
    <w:rsid w:val="00946D55"/>
    <w:rsid w:val="0094700C"/>
    <w:rsid w:val="00947410"/>
    <w:rsid w:val="00950612"/>
    <w:rsid w:val="009506C7"/>
    <w:rsid w:val="00951C29"/>
    <w:rsid w:val="00952750"/>
    <w:rsid w:val="009529F8"/>
    <w:rsid w:val="00952B6D"/>
    <w:rsid w:val="0095322F"/>
    <w:rsid w:val="0095388E"/>
    <w:rsid w:val="00954553"/>
    <w:rsid w:val="0095663C"/>
    <w:rsid w:val="009571AE"/>
    <w:rsid w:val="009574BC"/>
    <w:rsid w:val="00960411"/>
    <w:rsid w:val="009609A8"/>
    <w:rsid w:val="00960A60"/>
    <w:rsid w:val="00960C1D"/>
    <w:rsid w:val="00960E7F"/>
    <w:rsid w:val="00961987"/>
    <w:rsid w:val="009620A2"/>
    <w:rsid w:val="00962E48"/>
    <w:rsid w:val="009630D6"/>
    <w:rsid w:val="00963DE3"/>
    <w:rsid w:val="00964631"/>
    <w:rsid w:val="00965033"/>
    <w:rsid w:val="00965AF5"/>
    <w:rsid w:val="0096664F"/>
    <w:rsid w:val="009672F4"/>
    <w:rsid w:val="009677C0"/>
    <w:rsid w:val="009677E0"/>
    <w:rsid w:val="00970455"/>
    <w:rsid w:val="00970521"/>
    <w:rsid w:val="009709D6"/>
    <w:rsid w:val="009721E2"/>
    <w:rsid w:val="00972715"/>
    <w:rsid w:val="00972B6A"/>
    <w:rsid w:val="009731B8"/>
    <w:rsid w:val="009732B8"/>
    <w:rsid w:val="009739C4"/>
    <w:rsid w:val="00974097"/>
    <w:rsid w:val="009743E6"/>
    <w:rsid w:val="009743F2"/>
    <w:rsid w:val="009748CF"/>
    <w:rsid w:val="00974B57"/>
    <w:rsid w:val="00975068"/>
    <w:rsid w:val="009759C8"/>
    <w:rsid w:val="00975B63"/>
    <w:rsid w:val="00975C77"/>
    <w:rsid w:val="009807A9"/>
    <w:rsid w:val="0098179D"/>
    <w:rsid w:val="009827A5"/>
    <w:rsid w:val="0098282C"/>
    <w:rsid w:val="00983387"/>
    <w:rsid w:val="00983AC5"/>
    <w:rsid w:val="00983EEF"/>
    <w:rsid w:val="009841AE"/>
    <w:rsid w:val="009842F5"/>
    <w:rsid w:val="00984A07"/>
    <w:rsid w:val="00984CD3"/>
    <w:rsid w:val="00984F6B"/>
    <w:rsid w:val="00985111"/>
    <w:rsid w:val="00985D6F"/>
    <w:rsid w:val="009907BD"/>
    <w:rsid w:val="00990C15"/>
    <w:rsid w:val="00991286"/>
    <w:rsid w:val="009923F4"/>
    <w:rsid w:val="00992623"/>
    <w:rsid w:val="00992A38"/>
    <w:rsid w:val="0099353D"/>
    <w:rsid w:val="00993B33"/>
    <w:rsid w:val="00994226"/>
    <w:rsid w:val="009944F4"/>
    <w:rsid w:val="00994914"/>
    <w:rsid w:val="009954E2"/>
    <w:rsid w:val="00996534"/>
    <w:rsid w:val="00996AD2"/>
    <w:rsid w:val="009978AB"/>
    <w:rsid w:val="00997E2D"/>
    <w:rsid w:val="009A01A0"/>
    <w:rsid w:val="009A0EC5"/>
    <w:rsid w:val="009A34F6"/>
    <w:rsid w:val="009A37D5"/>
    <w:rsid w:val="009A5D0D"/>
    <w:rsid w:val="009A6A93"/>
    <w:rsid w:val="009A6B60"/>
    <w:rsid w:val="009A7095"/>
    <w:rsid w:val="009A7E8B"/>
    <w:rsid w:val="009B05F6"/>
    <w:rsid w:val="009B0865"/>
    <w:rsid w:val="009B2EB4"/>
    <w:rsid w:val="009B32F1"/>
    <w:rsid w:val="009B3AE7"/>
    <w:rsid w:val="009B4304"/>
    <w:rsid w:val="009B432D"/>
    <w:rsid w:val="009B503F"/>
    <w:rsid w:val="009B6C77"/>
    <w:rsid w:val="009B6E88"/>
    <w:rsid w:val="009B7393"/>
    <w:rsid w:val="009B7DAD"/>
    <w:rsid w:val="009C0290"/>
    <w:rsid w:val="009C296D"/>
    <w:rsid w:val="009C29A8"/>
    <w:rsid w:val="009C2ECC"/>
    <w:rsid w:val="009C3630"/>
    <w:rsid w:val="009C3683"/>
    <w:rsid w:val="009C3977"/>
    <w:rsid w:val="009C4121"/>
    <w:rsid w:val="009C4D1B"/>
    <w:rsid w:val="009C5F57"/>
    <w:rsid w:val="009C6AA1"/>
    <w:rsid w:val="009C76F9"/>
    <w:rsid w:val="009D2019"/>
    <w:rsid w:val="009D234B"/>
    <w:rsid w:val="009D3878"/>
    <w:rsid w:val="009D4371"/>
    <w:rsid w:val="009D4C72"/>
    <w:rsid w:val="009D74BD"/>
    <w:rsid w:val="009E10A0"/>
    <w:rsid w:val="009E138C"/>
    <w:rsid w:val="009E18D6"/>
    <w:rsid w:val="009E20E2"/>
    <w:rsid w:val="009E2D2B"/>
    <w:rsid w:val="009E3193"/>
    <w:rsid w:val="009E4438"/>
    <w:rsid w:val="009E4439"/>
    <w:rsid w:val="009E4519"/>
    <w:rsid w:val="009E4D5D"/>
    <w:rsid w:val="009E4E91"/>
    <w:rsid w:val="009E5FBC"/>
    <w:rsid w:val="009E684B"/>
    <w:rsid w:val="009F1193"/>
    <w:rsid w:val="009F185E"/>
    <w:rsid w:val="009F2329"/>
    <w:rsid w:val="009F28C7"/>
    <w:rsid w:val="009F28DA"/>
    <w:rsid w:val="009F2C89"/>
    <w:rsid w:val="009F2DDA"/>
    <w:rsid w:val="009F570F"/>
    <w:rsid w:val="009F5EE8"/>
    <w:rsid w:val="009F5F5F"/>
    <w:rsid w:val="009F75F7"/>
    <w:rsid w:val="00A022A8"/>
    <w:rsid w:val="00A0550F"/>
    <w:rsid w:val="00A055C5"/>
    <w:rsid w:val="00A07200"/>
    <w:rsid w:val="00A07324"/>
    <w:rsid w:val="00A07A43"/>
    <w:rsid w:val="00A07F39"/>
    <w:rsid w:val="00A127B7"/>
    <w:rsid w:val="00A137A0"/>
    <w:rsid w:val="00A15BB1"/>
    <w:rsid w:val="00A16B4D"/>
    <w:rsid w:val="00A16C4F"/>
    <w:rsid w:val="00A176C4"/>
    <w:rsid w:val="00A1788C"/>
    <w:rsid w:val="00A21E9C"/>
    <w:rsid w:val="00A22834"/>
    <w:rsid w:val="00A233F2"/>
    <w:rsid w:val="00A23D9E"/>
    <w:rsid w:val="00A2417B"/>
    <w:rsid w:val="00A2454C"/>
    <w:rsid w:val="00A247E4"/>
    <w:rsid w:val="00A2532F"/>
    <w:rsid w:val="00A27DBF"/>
    <w:rsid w:val="00A27F59"/>
    <w:rsid w:val="00A302BB"/>
    <w:rsid w:val="00A3224A"/>
    <w:rsid w:val="00A32365"/>
    <w:rsid w:val="00A34E1E"/>
    <w:rsid w:val="00A351F3"/>
    <w:rsid w:val="00A35BBB"/>
    <w:rsid w:val="00A35D37"/>
    <w:rsid w:val="00A35FB5"/>
    <w:rsid w:val="00A36372"/>
    <w:rsid w:val="00A36975"/>
    <w:rsid w:val="00A379BA"/>
    <w:rsid w:val="00A4084E"/>
    <w:rsid w:val="00A40AFE"/>
    <w:rsid w:val="00A4116F"/>
    <w:rsid w:val="00A41526"/>
    <w:rsid w:val="00A42099"/>
    <w:rsid w:val="00A427E0"/>
    <w:rsid w:val="00A42D26"/>
    <w:rsid w:val="00A44ED5"/>
    <w:rsid w:val="00A452F1"/>
    <w:rsid w:val="00A453F2"/>
    <w:rsid w:val="00A45F24"/>
    <w:rsid w:val="00A46240"/>
    <w:rsid w:val="00A47317"/>
    <w:rsid w:val="00A47471"/>
    <w:rsid w:val="00A50E1C"/>
    <w:rsid w:val="00A50F73"/>
    <w:rsid w:val="00A50FF8"/>
    <w:rsid w:val="00A51215"/>
    <w:rsid w:val="00A51667"/>
    <w:rsid w:val="00A51B9E"/>
    <w:rsid w:val="00A52F3C"/>
    <w:rsid w:val="00A52F76"/>
    <w:rsid w:val="00A541CE"/>
    <w:rsid w:val="00A547C8"/>
    <w:rsid w:val="00A54A1D"/>
    <w:rsid w:val="00A600CD"/>
    <w:rsid w:val="00A607DC"/>
    <w:rsid w:val="00A60D78"/>
    <w:rsid w:val="00A610EB"/>
    <w:rsid w:val="00A62A7F"/>
    <w:rsid w:val="00A62C7F"/>
    <w:rsid w:val="00A62E5D"/>
    <w:rsid w:val="00A634F7"/>
    <w:rsid w:val="00A63B99"/>
    <w:rsid w:val="00A63DBC"/>
    <w:rsid w:val="00A640E9"/>
    <w:rsid w:val="00A6431B"/>
    <w:rsid w:val="00A65BE4"/>
    <w:rsid w:val="00A6605F"/>
    <w:rsid w:val="00A70251"/>
    <w:rsid w:val="00A70331"/>
    <w:rsid w:val="00A70E16"/>
    <w:rsid w:val="00A7167E"/>
    <w:rsid w:val="00A71E62"/>
    <w:rsid w:val="00A720ED"/>
    <w:rsid w:val="00A732D0"/>
    <w:rsid w:val="00A74BA1"/>
    <w:rsid w:val="00A768BB"/>
    <w:rsid w:val="00A769B6"/>
    <w:rsid w:val="00A7704A"/>
    <w:rsid w:val="00A77080"/>
    <w:rsid w:val="00A80E07"/>
    <w:rsid w:val="00A81272"/>
    <w:rsid w:val="00A81B3D"/>
    <w:rsid w:val="00A81EB1"/>
    <w:rsid w:val="00A82594"/>
    <w:rsid w:val="00A82AD1"/>
    <w:rsid w:val="00A82EC3"/>
    <w:rsid w:val="00A82FCF"/>
    <w:rsid w:val="00A86C62"/>
    <w:rsid w:val="00A86EB3"/>
    <w:rsid w:val="00A87036"/>
    <w:rsid w:val="00A901B5"/>
    <w:rsid w:val="00A91FD5"/>
    <w:rsid w:val="00A92267"/>
    <w:rsid w:val="00A92961"/>
    <w:rsid w:val="00A92FEF"/>
    <w:rsid w:val="00A9333B"/>
    <w:rsid w:val="00A954E4"/>
    <w:rsid w:val="00A960CC"/>
    <w:rsid w:val="00A96ABB"/>
    <w:rsid w:val="00A96FE0"/>
    <w:rsid w:val="00A972FE"/>
    <w:rsid w:val="00AA05CC"/>
    <w:rsid w:val="00AA0620"/>
    <w:rsid w:val="00AA0B47"/>
    <w:rsid w:val="00AA0F0B"/>
    <w:rsid w:val="00AA1102"/>
    <w:rsid w:val="00AA13E8"/>
    <w:rsid w:val="00AA1A17"/>
    <w:rsid w:val="00AA1D01"/>
    <w:rsid w:val="00AA1F6D"/>
    <w:rsid w:val="00AA22D4"/>
    <w:rsid w:val="00AA24C3"/>
    <w:rsid w:val="00AA314D"/>
    <w:rsid w:val="00AA3876"/>
    <w:rsid w:val="00AA3BC4"/>
    <w:rsid w:val="00AA3C9C"/>
    <w:rsid w:val="00AA45FE"/>
    <w:rsid w:val="00AA4A7D"/>
    <w:rsid w:val="00AA5B0C"/>
    <w:rsid w:val="00AA5DF1"/>
    <w:rsid w:val="00AA604D"/>
    <w:rsid w:val="00AA62A4"/>
    <w:rsid w:val="00AB061C"/>
    <w:rsid w:val="00AB066C"/>
    <w:rsid w:val="00AB0DDE"/>
    <w:rsid w:val="00AB1E33"/>
    <w:rsid w:val="00AB38C0"/>
    <w:rsid w:val="00AB49A4"/>
    <w:rsid w:val="00AB576A"/>
    <w:rsid w:val="00AB5CE2"/>
    <w:rsid w:val="00AB6308"/>
    <w:rsid w:val="00AB73EB"/>
    <w:rsid w:val="00AB7487"/>
    <w:rsid w:val="00AB7906"/>
    <w:rsid w:val="00AC0B1E"/>
    <w:rsid w:val="00AC1EFC"/>
    <w:rsid w:val="00AC4CA0"/>
    <w:rsid w:val="00AC4E27"/>
    <w:rsid w:val="00AC57DB"/>
    <w:rsid w:val="00AC58D6"/>
    <w:rsid w:val="00AC671C"/>
    <w:rsid w:val="00AC6A68"/>
    <w:rsid w:val="00AC6D7F"/>
    <w:rsid w:val="00AC7586"/>
    <w:rsid w:val="00AD12AE"/>
    <w:rsid w:val="00AD174C"/>
    <w:rsid w:val="00AD1B78"/>
    <w:rsid w:val="00AD2581"/>
    <w:rsid w:val="00AD260F"/>
    <w:rsid w:val="00AD4B91"/>
    <w:rsid w:val="00AD4F52"/>
    <w:rsid w:val="00AD5B81"/>
    <w:rsid w:val="00AD5E60"/>
    <w:rsid w:val="00AD664B"/>
    <w:rsid w:val="00AD770D"/>
    <w:rsid w:val="00AD785F"/>
    <w:rsid w:val="00AD7DDF"/>
    <w:rsid w:val="00AE01FD"/>
    <w:rsid w:val="00AE06FF"/>
    <w:rsid w:val="00AE096E"/>
    <w:rsid w:val="00AE0FEA"/>
    <w:rsid w:val="00AE18FC"/>
    <w:rsid w:val="00AE1AD3"/>
    <w:rsid w:val="00AE2FB5"/>
    <w:rsid w:val="00AE3C60"/>
    <w:rsid w:val="00AE5579"/>
    <w:rsid w:val="00AE5774"/>
    <w:rsid w:val="00AE5ED5"/>
    <w:rsid w:val="00AE5EF9"/>
    <w:rsid w:val="00AE687E"/>
    <w:rsid w:val="00AE78A7"/>
    <w:rsid w:val="00AE7929"/>
    <w:rsid w:val="00AF1731"/>
    <w:rsid w:val="00AF287A"/>
    <w:rsid w:val="00AF2A1E"/>
    <w:rsid w:val="00AF4754"/>
    <w:rsid w:val="00AF5676"/>
    <w:rsid w:val="00AF5901"/>
    <w:rsid w:val="00AF5978"/>
    <w:rsid w:val="00AF5D2C"/>
    <w:rsid w:val="00AF6026"/>
    <w:rsid w:val="00AF61A5"/>
    <w:rsid w:val="00AF65FB"/>
    <w:rsid w:val="00AF69A5"/>
    <w:rsid w:val="00AF7E39"/>
    <w:rsid w:val="00B01179"/>
    <w:rsid w:val="00B01266"/>
    <w:rsid w:val="00B01300"/>
    <w:rsid w:val="00B013BA"/>
    <w:rsid w:val="00B0348E"/>
    <w:rsid w:val="00B042A2"/>
    <w:rsid w:val="00B05C4C"/>
    <w:rsid w:val="00B060A3"/>
    <w:rsid w:val="00B06568"/>
    <w:rsid w:val="00B0767E"/>
    <w:rsid w:val="00B109DB"/>
    <w:rsid w:val="00B11021"/>
    <w:rsid w:val="00B112A3"/>
    <w:rsid w:val="00B12955"/>
    <w:rsid w:val="00B12A2C"/>
    <w:rsid w:val="00B1317F"/>
    <w:rsid w:val="00B131C0"/>
    <w:rsid w:val="00B137E6"/>
    <w:rsid w:val="00B13E97"/>
    <w:rsid w:val="00B142C7"/>
    <w:rsid w:val="00B14583"/>
    <w:rsid w:val="00B14ED4"/>
    <w:rsid w:val="00B1590D"/>
    <w:rsid w:val="00B15988"/>
    <w:rsid w:val="00B15A65"/>
    <w:rsid w:val="00B168C9"/>
    <w:rsid w:val="00B20C56"/>
    <w:rsid w:val="00B211EB"/>
    <w:rsid w:val="00B220B3"/>
    <w:rsid w:val="00B22733"/>
    <w:rsid w:val="00B22AF6"/>
    <w:rsid w:val="00B22B41"/>
    <w:rsid w:val="00B2309C"/>
    <w:rsid w:val="00B235A7"/>
    <w:rsid w:val="00B24D3B"/>
    <w:rsid w:val="00B24DF1"/>
    <w:rsid w:val="00B25700"/>
    <w:rsid w:val="00B25D3E"/>
    <w:rsid w:val="00B277A2"/>
    <w:rsid w:val="00B27893"/>
    <w:rsid w:val="00B330ED"/>
    <w:rsid w:val="00B33123"/>
    <w:rsid w:val="00B33802"/>
    <w:rsid w:val="00B34464"/>
    <w:rsid w:val="00B34E8F"/>
    <w:rsid w:val="00B360C0"/>
    <w:rsid w:val="00B3778A"/>
    <w:rsid w:val="00B37EE1"/>
    <w:rsid w:val="00B40205"/>
    <w:rsid w:val="00B40846"/>
    <w:rsid w:val="00B40D43"/>
    <w:rsid w:val="00B41023"/>
    <w:rsid w:val="00B41F03"/>
    <w:rsid w:val="00B4229B"/>
    <w:rsid w:val="00B42338"/>
    <w:rsid w:val="00B4330F"/>
    <w:rsid w:val="00B439C1"/>
    <w:rsid w:val="00B43A73"/>
    <w:rsid w:val="00B45638"/>
    <w:rsid w:val="00B4719A"/>
    <w:rsid w:val="00B474FE"/>
    <w:rsid w:val="00B50929"/>
    <w:rsid w:val="00B515F7"/>
    <w:rsid w:val="00B51A5F"/>
    <w:rsid w:val="00B52658"/>
    <w:rsid w:val="00B557FD"/>
    <w:rsid w:val="00B56AAC"/>
    <w:rsid w:val="00B5718C"/>
    <w:rsid w:val="00B572BB"/>
    <w:rsid w:val="00B57C6B"/>
    <w:rsid w:val="00B6031C"/>
    <w:rsid w:val="00B60906"/>
    <w:rsid w:val="00B60FF4"/>
    <w:rsid w:val="00B626C4"/>
    <w:rsid w:val="00B634D1"/>
    <w:rsid w:val="00B64D39"/>
    <w:rsid w:val="00B668EC"/>
    <w:rsid w:val="00B66D1D"/>
    <w:rsid w:val="00B70497"/>
    <w:rsid w:val="00B704CE"/>
    <w:rsid w:val="00B705C3"/>
    <w:rsid w:val="00B70CA1"/>
    <w:rsid w:val="00B7124B"/>
    <w:rsid w:val="00B7160D"/>
    <w:rsid w:val="00B7184C"/>
    <w:rsid w:val="00B72F67"/>
    <w:rsid w:val="00B75A57"/>
    <w:rsid w:val="00B76475"/>
    <w:rsid w:val="00B765C0"/>
    <w:rsid w:val="00B77BBE"/>
    <w:rsid w:val="00B80850"/>
    <w:rsid w:val="00B815DC"/>
    <w:rsid w:val="00B822B3"/>
    <w:rsid w:val="00B83BC7"/>
    <w:rsid w:val="00B84AC3"/>
    <w:rsid w:val="00B84D82"/>
    <w:rsid w:val="00B85E52"/>
    <w:rsid w:val="00B8786E"/>
    <w:rsid w:val="00B8791D"/>
    <w:rsid w:val="00B90647"/>
    <w:rsid w:val="00B90800"/>
    <w:rsid w:val="00B90921"/>
    <w:rsid w:val="00B91039"/>
    <w:rsid w:val="00B9134E"/>
    <w:rsid w:val="00B927C6"/>
    <w:rsid w:val="00B928A6"/>
    <w:rsid w:val="00B93668"/>
    <w:rsid w:val="00B93BF5"/>
    <w:rsid w:val="00B93C2E"/>
    <w:rsid w:val="00B9470D"/>
    <w:rsid w:val="00B950DD"/>
    <w:rsid w:val="00B952E9"/>
    <w:rsid w:val="00B95488"/>
    <w:rsid w:val="00BA0610"/>
    <w:rsid w:val="00BA26BC"/>
    <w:rsid w:val="00BA2A23"/>
    <w:rsid w:val="00BA31F2"/>
    <w:rsid w:val="00BA4481"/>
    <w:rsid w:val="00BA4558"/>
    <w:rsid w:val="00BA5C15"/>
    <w:rsid w:val="00BA6574"/>
    <w:rsid w:val="00BA68B4"/>
    <w:rsid w:val="00BB00C1"/>
    <w:rsid w:val="00BB0DB1"/>
    <w:rsid w:val="00BB18C2"/>
    <w:rsid w:val="00BB2E30"/>
    <w:rsid w:val="00BB3692"/>
    <w:rsid w:val="00BB403F"/>
    <w:rsid w:val="00BB46CB"/>
    <w:rsid w:val="00BB4B1B"/>
    <w:rsid w:val="00BB4B63"/>
    <w:rsid w:val="00BB4D29"/>
    <w:rsid w:val="00BB521C"/>
    <w:rsid w:val="00BB5351"/>
    <w:rsid w:val="00BB5368"/>
    <w:rsid w:val="00BB5F1B"/>
    <w:rsid w:val="00BB5F3C"/>
    <w:rsid w:val="00BB606F"/>
    <w:rsid w:val="00BB63BA"/>
    <w:rsid w:val="00BB6831"/>
    <w:rsid w:val="00BB6AF7"/>
    <w:rsid w:val="00BB6E7C"/>
    <w:rsid w:val="00BB7642"/>
    <w:rsid w:val="00BB7677"/>
    <w:rsid w:val="00BB796C"/>
    <w:rsid w:val="00BC066E"/>
    <w:rsid w:val="00BC0884"/>
    <w:rsid w:val="00BC1347"/>
    <w:rsid w:val="00BC1E01"/>
    <w:rsid w:val="00BC21D6"/>
    <w:rsid w:val="00BC2998"/>
    <w:rsid w:val="00BC31A7"/>
    <w:rsid w:val="00BC34A3"/>
    <w:rsid w:val="00BC361C"/>
    <w:rsid w:val="00BC5684"/>
    <w:rsid w:val="00BC5B0A"/>
    <w:rsid w:val="00BC5DB2"/>
    <w:rsid w:val="00BC6435"/>
    <w:rsid w:val="00BC6577"/>
    <w:rsid w:val="00BC684A"/>
    <w:rsid w:val="00BC7A14"/>
    <w:rsid w:val="00BD000E"/>
    <w:rsid w:val="00BD0B97"/>
    <w:rsid w:val="00BD0D2E"/>
    <w:rsid w:val="00BD101D"/>
    <w:rsid w:val="00BD1643"/>
    <w:rsid w:val="00BD1B3C"/>
    <w:rsid w:val="00BD1C2A"/>
    <w:rsid w:val="00BD2187"/>
    <w:rsid w:val="00BD21D9"/>
    <w:rsid w:val="00BD2D5D"/>
    <w:rsid w:val="00BD339B"/>
    <w:rsid w:val="00BD3897"/>
    <w:rsid w:val="00BD42F5"/>
    <w:rsid w:val="00BD4DC6"/>
    <w:rsid w:val="00BD5009"/>
    <w:rsid w:val="00BD5272"/>
    <w:rsid w:val="00BD5344"/>
    <w:rsid w:val="00BD5348"/>
    <w:rsid w:val="00BD6284"/>
    <w:rsid w:val="00BD692E"/>
    <w:rsid w:val="00BD750B"/>
    <w:rsid w:val="00BE02A8"/>
    <w:rsid w:val="00BE2D37"/>
    <w:rsid w:val="00BE339E"/>
    <w:rsid w:val="00BE3A25"/>
    <w:rsid w:val="00BE4F6E"/>
    <w:rsid w:val="00BE501D"/>
    <w:rsid w:val="00BE6DFD"/>
    <w:rsid w:val="00BE7678"/>
    <w:rsid w:val="00BF08DE"/>
    <w:rsid w:val="00BF1435"/>
    <w:rsid w:val="00BF17B8"/>
    <w:rsid w:val="00BF24A8"/>
    <w:rsid w:val="00BF2A3F"/>
    <w:rsid w:val="00BF4009"/>
    <w:rsid w:val="00BF4731"/>
    <w:rsid w:val="00BF5419"/>
    <w:rsid w:val="00BF59B8"/>
    <w:rsid w:val="00BF61CC"/>
    <w:rsid w:val="00BF6446"/>
    <w:rsid w:val="00BF7E24"/>
    <w:rsid w:val="00C00C56"/>
    <w:rsid w:val="00C01104"/>
    <w:rsid w:val="00C023C8"/>
    <w:rsid w:val="00C02A30"/>
    <w:rsid w:val="00C02DEF"/>
    <w:rsid w:val="00C03DA0"/>
    <w:rsid w:val="00C044E7"/>
    <w:rsid w:val="00C0504D"/>
    <w:rsid w:val="00C05BB0"/>
    <w:rsid w:val="00C071C2"/>
    <w:rsid w:val="00C079D2"/>
    <w:rsid w:val="00C07BC0"/>
    <w:rsid w:val="00C07C4A"/>
    <w:rsid w:val="00C07DED"/>
    <w:rsid w:val="00C12496"/>
    <w:rsid w:val="00C124FC"/>
    <w:rsid w:val="00C12911"/>
    <w:rsid w:val="00C12C47"/>
    <w:rsid w:val="00C134D0"/>
    <w:rsid w:val="00C1353C"/>
    <w:rsid w:val="00C14B68"/>
    <w:rsid w:val="00C16916"/>
    <w:rsid w:val="00C16C47"/>
    <w:rsid w:val="00C16FA4"/>
    <w:rsid w:val="00C1786B"/>
    <w:rsid w:val="00C17D49"/>
    <w:rsid w:val="00C209E7"/>
    <w:rsid w:val="00C20CD6"/>
    <w:rsid w:val="00C21667"/>
    <w:rsid w:val="00C226B3"/>
    <w:rsid w:val="00C2476A"/>
    <w:rsid w:val="00C25624"/>
    <w:rsid w:val="00C25DBE"/>
    <w:rsid w:val="00C260C6"/>
    <w:rsid w:val="00C26730"/>
    <w:rsid w:val="00C26F76"/>
    <w:rsid w:val="00C2705D"/>
    <w:rsid w:val="00C27280"/>
    <w:rsid w:val="00C27505"/>
    <w:rsid w:val="00C275B0"/>
    <w:rsid w:val="00C30EB7"/>
    <w:rsid w:val="00C31A4A"/>
    <w:rsid w:val="00C31FB2"/>
    <w:rsid w:val="00C33559"/>
    <w:rsid w:val="00C338F8"/>
    <w:rsid w:val="00C33CBC"/>
    <w:rsid w:val="00C33F8C"/>
    <w:rsid w:val="00C34020"/>
    <w:rsid w:val="00C34EB2"/>
    <w:rsid w:val="00C40605"/>
    <w:rsid w:val="00C42765"/>
    <w:rsid w:val="00C4325E"/>
    <w:rsid w:val="00C43A04"/>
    <w:rsid w:val="00C44361"/>
    <w:rsid w:val="00C446D6"/>
    <w:rsid w:val="00C45270"/>
    <w:rsid w:val="00C45E48"/>
    <w:rsid w:val="00C46277"/>
    <w:rsid w:val="00C46608"/>
    <w:rsid w:val="00C471CB"/>
    <w:rsid w:val="00C508B3"/>
    <w:rsid w:val="00C514F3"/>
    <w:rsid w:val="00C519F1"/>
    <w:rsid w:val="00C51E81"/>
    <w:rsid w:val="00C52549"/>
    <w:rsid w:val="00C52788"/>
    <w:rsid w:val="00C53127"/>
    <w:rsid w:val="00C53493"/>
    <w:rsid w:val="00C53996"/>
    <w:rsid w:val="00C53F80"/>
    <w:rsid w:val="00C5448C"/>
    <w:rsid w:val="00C5470A"/>
    <w:rsid w:val="00C54A5E"/>
    <w:rsid w:val="00C54CF4"/>
    <w:rsid w:val="00C54E4F"/>
    <w:rsid w:val="00C5510D"/>
    <w:rsid w:val="00C554F6"/>
    <w:rsid w:val="00C5604B"/>
    <w:rsid w:val="00C560F3"/>
    <w:rsid w:val="00C5629F"/>
    <w:rsid w:val="00C60CAE"/>
    <w:rsid w:val="00C61FD8"/>
    <w:rsid w:val="00C62BC1"/>
    <w:rsid w:val="00C6392B"/>
    <w:rsid w:val="00C63E94"/>
    <w:rsid w:val="00C64FC8"/>
    <w:rsid w:val="00C6559C"/>
    <w:rsid w:val="00C65854"/>
    <w:rsid w:val="00C66DA8"/>
    <w:rsid w:val="00C67435"/>
    <w:rsid w:val="00C67600"/>
    <w:rsid w:val="00C70CC6"/>
    <w:rsid w:val="00C70CE1"/>
    <w:rsid w:val="00C70F35"/>
    <w:rsid w:val="00C72F53"/>
    <w:rsid w:val="00C74F69"/>
    <w:rsid w:val="00C75473"/>
    <w:rsid w:val="00C76590"/>
    <w:rsid w:val="00C76A58"/>
    <w:rsid w:val="00C801A9"/>
    <w:rsid w:val="00C80415"/>
    <w:rsid w:val="00C80AAF"/>
    <w:rsid w:val="00C81706"/>
    <w:rsid w:val="00C84693"/>
    <w:rsid w:val="00C848EC"/>
    <w:rsid w:val="00C8526D"/>
    <w:rsid w:val="00C8542F"/>
    <w:rsid w:val="00C85821"/>
    <w:rsid w:val="00C85A88"/>
    <w:rsid w:val="00C8682F"/>
    <w:rsid w:val="00C878E1"/>
    <w:rsid w:val="00C902E7"/>
    <w:rsid w:val="00C91F4A"/>
    <w:rsid w:val="00C9216C"/>
    <w:rsid w:val="00C92376"/>
    <w:rsid w:val="00C92845"/>
    <w:rsid w:val="00C92AC4"/>
    <w:rsid w:val="00C9362D"/>
    <w:rsid w:val="00C93DC6"/>
    <w:rsid w:val="00C95573"/>
    <w:rsid w:val="00C95723"/>
    <w:rsid w:val="00C963E5"/>
    <w:rsid w:val="00C96541"/>
    <w:rsid w:val="00C973B5"/>
    <w:rsid w:val="00C973C7"/>
    <w:rsid w:val="00C978E4"/>
    <w:rsid w:val="00C97BFD"/>
    <w:rsid w:val="00CA04AD"/>
    <w:rsid w:val="00CA0DB5"/>
    <w:rsid w:val="00CA118F"/>
    <w:rsid w:val="00CA23B4"/>
    <w:rsid w:val="00CA24AC"/>
    <w:rsid w:val="00CA2688"/>
    <w:rsid w:val="00CA37A4"/>
    <w:rsid w:val="00CA3989"/>
    <w:rsid w:val="00CA3F1D"/>
    <w:rsid w:val="00CA50AB"/>
    <w:rsid w:val="00CA6646"/>
    <w:rsid w:val="00CA6755"/>
    <w:rsid w:val="00CA7F69"/>
    <w:rsid w:val="00CB07FE"/>
    <w:rsid w:val="00CB19BF"/>
    <w:rsid w:val="00CB1BA7"/>
    <w:rsid w:val="00CB2369"/>
    <w:rsid w:val="00CB4D1A"/>
    <w:rsid w:val="00CB50A9"/>
    <w:rsid w:val="00CB58EF"/>
    <w:rsid w:val="00CB5B14"/>
    <w:rsid w:val="00CB6BA1"/>
    <w:rsid w:val="00CB6F99"/>
    <w:rsid w:val="00CB719B"/>
    <w:rsid w:val="00CB71BF"/>
    <w:rsid w:val="00CB7597"/>
    <w:rsid w:val="00CC0092"/>
    <w:rsid w:val="00CC1ADF"/>
    <w:rsid w:val="00CC1F79"/>
    <w:rsid w:val="00CC2142"/>
    <w:rsid w:val="00CC24A2"/>
    <w:rsid w:val="00CC34DA"/>
    <w:rsid w:val="00CC39E1"/>
    <w:rsid w:val="00CC5606"/>
    <w:rsid w:val="00CC6D49"/>
    <w:rsid w:val="00CC7273"/>
    <w:rsid w:val="00CC7C5C"/>
    <w:rsid w:val="00CD03B9"/>
    <w:rsid w:val="00CD0E43"/>
    <w:rsid w:val="00CD285B"/>
    <w:rsid w:val="00CD2B54"/>
    <w:rsid w:val="00CD2F88"/>
    <w:rsid w:val="00CD3930"/>
    <w:rsid w:val="00CD39FF"/>
    <w:rsid w:val="00CD46AE"/>
    <w:rsid w:val="00CD4759"/>
    <w:rsid w:val="00CD4A41"/>
    <w:rsid w:val="00CD5B83"/>
    <w:rsid w:val="00CD5D46"/>
    <w:rsid w:val="00CD60C1"/>
    <w:rsid w:val="00CD60E5"/>
    <w:rsid w:val="00CD628B"/>
    <w:rsid w:val="00CD6435"/>
    <w:rsid w:val="00CD71E3"/>
    <w:rsid w:val="00CD7CD9"/>
    <w:rsid w:val="00CD7CFF"/>
    <w:rsid w:val="00CE0179"/>
    <w:rsid w:val="00CE066A"/>
    <w:rsid w:val="00CE0878"/>
    <w:rsid w:val="00CE0FA5"/>
    <w:rsid w:val="00CE1557"/>
    <w:rsid w:val="00CE1BFF"/>
    <w:rsid w:val="00CE2901"/>
    <w:rsid w:val="00CE2BAD"/>
    <w:rsid w:val="00CE3291"/>
    <w:rsid w:val="00CE555D"/>
    <w:rsid w:val="00CE58E6"/>
    <w:rsid w:val="00CE622D"/>
    <w:rsid w:val="00CF2134"/>
    <w:rsid w:val="00CF264C"/>
    <w:rsid w:val="00CF4CB2"/>
    <w:rsid w:val="00CF4CB5"/>
    <w:rsid w:val="00CF4FC0"/>
    <w:rsid w:val="00CF5841"/>
    <w:rsid w:val="00CF753F"/>
    <w:rsid w:val="00D0027A"/>
    <w:rsid w:val="00D00560"/>
    <w:rsid w:val="00D018ED"/>
    <w:rsid w:val="00D023F8"/>
    <w:rsid w:val="00D02564"/>
    <w:rsid w:val="00D0270A"/>
    <w:rsid w:val="00D04607"/>
    <w:rsid w:val="00D048C2"/>
    <w:rsid w:val="00D053BC"/>
    <w:rsid w:val="00D0774E"/>
    <w:rsid w:val="00D1016B"/>
    <w:rsid w:val="00D10A21"/>
    <w:rsid w:val="00D11117"/>
    <w:rsid w:val="00D13844"/>
    <w:rsid w:val="00D14B47"/>
    <w:rsid w:val="00D14F6F"/>
    <w:rsid w:val="00D1564C"/>
    <w:rsid w:val="00D1585D"/>
    <w:rsid w:val="00D16125"/>
    <w:rsid w:val="00D1673B"/>
    <w:rsid w:val="00D16C23"/>
    <w:rsid w:val="00D17256"/>
    <w:rsid w:val="00D20074"/>
    <w:rsid w:val="00D20DB7"/>
    <w:rsid w:val="00D20F87"/>
    <w:rsid w:val="00D210CA"/>
    <w:rsid w:val="00D2176D"/>
    <w:rsid w:val="00D22BDB"/>
    <w:rsid w:val="00D24B9D"/>
    <w:rsid w:val="00D25100"/>
    <w:rsid w:val="00D26367"/>
    <w:rsid w:val="00D26C18"/>
    <w:rsid w:val="00D331F7"/>
    <w:rsid w:val="00D33CE7"/>
    <w:rsid w:val="00D33D8A"/>
    <w:rsid w:val="00D34BBA"/>
    <w:rsid w:val="00D35132"/>
    <w:rsid w:val="00D35998"/>
    <w:rsid w:val="00D361C4"/>
    <w:rsid w:val="00D36634"/>
    <w:rsid w:val="00D3741C"/>
    <w:rsid w:val="00D37AEF"/>
    <w:rsid w:val="00D37C24"/>
    <w:rsid w:val="00D403AA"/>
    <w:rsid w:val="00D40DEE"/>
    <w:rsid w:val="00D41B80"/>
    <w:rsid w:val="00D41D2D"/>
    <w:rsid w:val="00D429B6"/>
    <w:rsid w:val="00D43DED"/>
    <w:rsid w:val="00D4505D"/>
    <w:rsid w:val="00D4507B"/>
    <w:rsid w:val="00D45100"/>
    <w:rsid w:val="00D4511D"/>
    <w:rsid w:val="00D45619"/>
    <w:rsid w:val="00D4583A"/>
    <w:rsid w:val="00D45923"/>
    <w:rsid w:val="00D45AC3"/>
    <w:rsid w:val="00D46191"/>
    <w:rsid w:val="00D46773"/>
    <w:rsid w:val="00D46886"/>
    <w:rsid w:val="00D46BDC"/>
    <w:rsid w:val="00D4780A"/>
    <w:rsid w:val="00D509AB"/>
    <w:rsid w:val="00D50B01"/>
    <w:rsid w:val="00D50E51"/>
    <w:rsid w:val="00D517A3"/>
    <w:rsid w:val="00D52D3E"/>
    <w:rsid w:val="00D5307F"/>
    <w:rsid w:val="00D5328B"/>
    <w:rsid w:val="00D543F6"/>
    <w:rsid w:val="00D568E0"/>
    <w:rsid w:val="00D570B6"/>
    <w:rsid w:val="00D5721B"/>
    <w:rsid w:val="00D57AA5"/>
    <w:rsid w:val="00D60AD8"/>
    <w:rsid w:val="00D614EA"/>
    <w:rsid w:val="00D61A82"/>
    <w:rsid w:val="00D644A8"/>
    <w:rsid w:val="00D65A66"/>
    <w:rsid w:val="00D66298"/>
    <w:rsid w:val="00D665AD"/>
    <w:rsid w:val="00D66853"/>
    <w:rsid w:val="00D6716F"/>
    <w:rsid w:val="00D67AEA"/>
    <w:rsid w:val="00D708A2"/>
    <w:rsid w:val="00D70E1B"/>
    <w:rsid w:val="00D72A00"/>
    <w:rsid w:val="00D72A4D"/>
    <w:rsid w:val="00D72D2C"/>
    <w:rsid w:val="00D73330"/>
    <w:rsid w:val="00D737C5"/>
    <w:rsid w:val="00D73F9B"/>
    <w:rsid w:val="00D748F9"/>
    <w:rsid w:val="00D75320"/>
    <w:rsid w:val="00D76DB3"/>
    <w:rsid w:val="00D80ADB"/>
    <w:rsid w:val="00D81198"/>
    <w:rsid w:val="00D811C7"/>
    <w:rsid w:val="00D82595"/>
    <w:rsid w:val="00D82BB7"/>
    <w:rsid w:val="00D84307"/>
    <w:rsid w:val="00D84A20"/>
    <w:rsid w:val="00D85C16"/>
    <w:rsid w:val="00D86D8E"/>
    <w:rsid w:val="00D876CE"/>
    <w:rsid w:val="00D90958"/>
    <w:rsid w:val="00D9204C"/>
    <w:rsid w:val="00D922AA"/>
    <w:rsid w:val="00D94084"/>
    <w:rsid w:val="00D94609"/>
    <w:rsid w:val="00D94B0F"/>
    <w:rsid w:val="00D969B9"/>
    <w:rsid w:val="00D97986"/>
    <w:rsid w:val="00D97F02"/>
    <w:rsid w:val="00DA2F1C"/>
    <w:rsid w:val="00DA42AE"/>
    <w:rsid w:val="00DA517D"/>
    <w:rsid w:val="00DA6933"/>
    <w:rsid w:val="00DA6E28"/>
    <w:rsid w:val="00DA748B"/>
    <w:rsid w:val="00DA75BA"/>
    <w:rsid w:val="00DB17EA"/>
    <w:rsid w:val="00DB1973"/>
    <w:rsid w:val="00DB1DDB"/>
    <w:rsid w:val="00DB2386"/>
    <w:rsid w:val="00DB2654"/>
    <w:rsid w:val="00DB338D"/>
    <w:rsid w:val="00DB3641"/>
    <w:rsid w:val="00DB3886"/>
    <w:rsid w:val="00DB6018"/>
    <w:rsid w:val="00DB6713"/>
    <w:rsid w:val="00DB6C6B"/>
    <w:rsid w:val="00DB761F"/>
    <w:rsid w:val="00DB7F79"/>
    <w:rsid w:val="00DC05D7"/>
    <w:rsid w:val="00DC110D"/>
    <w:rsid w:val="00DC1237"/>
    <w:rsid w:val="00DC20CE"/>
    <w:rsid w:val="00DC22C7"/>
    <w:rsid w:val="00DC2504"/>
    <w:rsid w:val="00DC2E9F"/>
    <w:rsid w:val="00DC3BE2"/>
    <w:rsid w:val="00DC487B"/>
    <w:rsid w:val="00DC496B"/>
    <w:rsid w:val="00DC5DFF"/>
    <w:rsid w:val="00DC6655"/>
    <w:rsid w:val="00DC7220"/>
    <w:rsid w:val="00DC76CA"/>
    <w:rsid w:val="00DD0C3C"/>
    <w:rsid w:val="00DD1202"/>
    <w:rsid w:val="00DD1C33"/>
    <w:rsid w:val="00DD2CA6"/>
    <w:rsid w:val="00DD31C1"/>
    <w:rsid w:val="00DD33AE"/>
    <w:rsid w:val="00DD3DED"/>
    <w:rsid w:val="00DD3E93"/>
    <w:rsid w:val="00DD3FE6"/>
    <w:rsid w:val="00DD447B"/>
    <w:rsid w:val="00DD4686"/>
    <w:rsid w:val="00DD4B72"/>
    <w:rsid w:val="00DD510A"/>
    <w:rsid w:val="00DD5850"/>
    <w:rsid w:val="00DD599E"/>
    <w:rsid w:val="00DD5E14"/>
    <w:rsid w:val="00DD636C"/>
    <w:rsid w:val="00DD656F"/>
    <w:rsid w:val="00DD68FC"/>
    <w:rsid w:val="00DD6ECE"/>
    <w:rsid w:val="00DD6EDF"/>
    <w:rsid w:val="00DD6EF2"/>
    <w:rsid w:val="00DD7057"/>
    <w:rsid w:val="00DE08DB"/>
    <w:rsid w:val="00DE0A76"/>
    <w:rsid w:val="00DE0BED"/>
    <w:rsid w:val="00DE11F3"/>
    <w:rsid w:val="00DE1223"/>
    <w:rsid w:val="00DE1298"/>
    <w:rsid w:val="00DE1AB8"/>
    <w:rsid w:val="00DE30BE"/>
    <w:rsid w:val="00DE3972"/>
    <w:rsid w:val="00DE4156"/>
    <w:rsid w:val="00DE434E"/>
    <w:rsid w:val="00DE533A"/>
    <w:rsid w:val="00DE59C7"/>
    <w:rsid w:val="00DE5C36"/>
    <w:rsid w:val="00DE5D0B"/>
    <w:rsid w:val="00DE6A2E"/>
    <w:rsid w:val="00DE6EE2"/>
    <w:rsid w:val="00DE74A6"/>
    <w:rsid w:val="00DF26A1"/>
    <w:rsid w:val="00DF7C05"/>
    <w:rsid w:val="00DF7DB5"/>
    <w:rsid w:val="00E004B3"/>
    <w:rsid w:val="00E00622"/>
    <w:rsid w:val="00E01297"/>
    <w:rsid w:val="00E02207"/>
    <w:rsid w:val="00E0236B"/>
    <w:rsid w:val="00E02721"/>
    <w:rsid w:val="00E03300"/>
    <w:rsid w:val="00E049AF"/>
    <w:rsid w:val="00E04D0D"/>
    <w:rsid w:val="00E05E06"/>
    <w:rsid w:val="00E061D2"/>
    <w:rsid w:val="00E06C5B"/>
    <w:rsid w:val="00E07883"/>
    <w:rsid w:val="00E1115D"/>
    <w:rsid w:val="00E111C1"/>
    <w:rsid w:val="00E118A6"/>
    <w:rsid w:val="00E11ACB"/>
    <w:rsid w:val="00E12E26"/>
    <w:rsid w:val="00E13D91"/>
    <w:rsid w:val="00E1463E"/>
    <w:rsid w:val="00E15461"/>
    <w:rsid w:val="00E15ED5"/>
    <w:rsid w:val="00E15FB5"/>
    <w:rsid w:val="00E16F6F"/>
    <w:rsid w:val="00E171C1"/>
    <w:rsid w:val="00E20990"/>
    <w:rsid w:val="00E20AF7"/>
    <w:rsid w:val="00E21020"/>
    <w:rsid w:val="00E2176F"/>
    <w:rsid w:val="00E217C6"/>
    <w:rsid w:val="00E21E48"/>
    <w:rsid w:val="00E22A0B"/>
    <w:rsid w:val="00E23814"/>
    <w:rsid w:val="00E23B2B"/>
    <w:rsid w:val="00E244D1"/>
    <w:rsid w:val="00E24CA7"/>
    <w:rsid w:val="00E24F44"/>
    <w:rsid w:val="00E266FA"/>
    <w:rsid w:val="00E27107"/>
    <w:rsid w:val="00E301F7"/>
    <w:rsid w:val="00E312A5"/>
    <w:rsid w:val="00E31ADD"/>
    <w:rsid w:val="00E332FB"/>
    <w:rsid w:val="00E339BF"/>
    <w:rsid w:val="00E34DC3"/>
    <w:rsid w:val="00E353A8"/>
    <w:rsid w:val="00E3588F"/>
    <w:rsid w:val="00E35BCF"/>
    <w:rsid w:val="00E35BD3"/>
    <w:rsid w:val="00E361C3"/>
    <w:rsid w:val="00E3712D"/>
    <w:rsid w:val="00E37EBD"/>
    <w:rsid w:val="00E4007D"/>
    <w:rsid w:val="00E41D5B"/>
    <w:rsid w:val="00E42BD9"/>
    <w:rsid w:val="00E431F6"/>
    <w:rsid w:val="00E43664"/>
    <w:rsid w:val="00E43D56"/>
    <w:rsid w:val="00E45DBB"/>
    <w:rsid w:val="00E45DC4"/>
    <w:rsid w:val="00E45F2E"/>
    <w:rsid w:val="00E50C26"/>
    <w:rsid w:val="00E545CB"/>
    <w:rsid w:val="00E54BFE"/>
    <w:rsid w:val="00E554F6"/>
    <w:rsid w:val="00E55A2F"/>
    <w:rsid w:val="00E55B52"/>
    <w:rsid w:val="00E55E19"/>
    <w:rsid w:val="00E56696"/>
    <w:rsid w:val="00E60C51"/>
    <w:rsid w:val="00E61772"/>
    <w:rsid w:val="00E61B87"/>
    <w:rsid w:val="00E61F0B"/>
    <w:rsid w:val="00E63429"/>
    <w:rsid w:val="00E64232"/>
    <w:rsid w:val="00E64F66"/>
    <w:rsid w:val="00E6521A"/>
    <w:rsid w:val="00E656A1"/>
    <w:rsid w:val="00E65BF6"/>
    <w:rsid w:val="00E66A0B"/>
    <w:rsid w:val="00E66B0F"/>
    <w:rsid w:val="00E66DE5"/>
    <w:rsid w:val="00E67C2A"/>
    <w:rsid w:val="00E708BC"/>
    <w:rsid w:val="00E70D21"/>
    <w:rsid w:val="00E70F30"/>
    <w:rsid w:val="00E717F6"/>
    <w:rsid w:val="00E718D5"/>
    <w:rsid w:val="00E73075"/>
    <w:rsid w:val="00E73CCA"/>
    <w:rsid w:val="00E74129"/>
    <w:rsid w:val="00E759CA"/>
    <w:rsid w:val="00E75E5D"/>
    <w:rsid w:val="00E76C94"/>
    <w:rsid w:val="00E77130"/>
    <w:rsid w:val="00E7719B"/>
    <w:rsid w:val="00E80058"/>
    <w:rsid w:val="00E8134C"/>
    <w:rsid w:val="00E81EE7"/>
    <w:rsid w:val="00E82A78"/>
    <w:rsid w:val="00E841AB"/>
    <w:rsid w:val="00E84883"/>
    <w:rsid w:val="00E8491D"/>
    <w:rsid w:val="00E84EF2"/>
    <w:rsid w:val="00E84FD5"/>
    <w:rsid w:val="00E85864"/>
    <w:rsid w:val="00E85887"/>
    <w:rsid w:val="00E85DCC"/>
    <w:rsid w:val="00E86A43"/>
    <w:rsid w:val="00E87D85"/>
    <w:rsid w:val="00E9026A"/>
    <w:rsid w:val="00E916CF"/>
    <w:rsid w:val="00E958E1"/>
    <w:rsid w:val="00E9616A"/>
    <w:rsid w:val="00E97445"/>
    <w:rsid w:val="00E97802"/>
    <w:rsid w:val="00EA0E82"/>
    <w:rsid w:val="00EA1A1D"/>
    <w:rsid w:val="00EA250B"/>
    <w:rsid w:val="00EA25AA"/>
    <w:rsid w:val="00EA2612"/>
    <w:rsid w:val="00EA352F"/>
    <w:rsid w:val="00EA3575"/>
    <w:rsid w:val="00EA740C"/>
    <w:rsid w:val="00EA7462"/>
    <w:rsid w:val="00EB07C3"/>
    <w:rsid w:val="00EB1C20"/>
    <w:rsid w:val="00EB234E"/>
    <w:rsid w:val="00EB26ED"/>
    <w:rsid w:val="00EB2FCB"/>
    <w:rsid w:val="00EB32F5"/>
    <w:rsid w:val="00EB3853"/>
    <w:rsid w:val="00EB3F5C"/>
    <w:rsid w:val="00EB54EF"/>
    <w:rsid w:val="00EB5DB5"/>
    <w:rsid w:val="00EB6D0D"/>
    <w:rsid w:val="00EB6F12"/>
    <w:rsid w:val="00EC0EB1"/>
    <w:rsid w:val="00EC11B9"/>
    <w:rsid w:val="00EC2137"/>
    <w:rsid w:val="00EC2786"/>
    <w:rsid w:val="00EC2AFD"/>
    <w:rsid w:val="00EC34A4"/>
    <w:rsid w:val="00EC434E"/>
    <w:rsid w:val="00EC4B89"/>
    <w:rsid w:val="00EC5D98"/>
    <w:rsid w:val="00EC6D6E"/>
    <w:rsid w:val="00EC7367"/>
    <w:rsid w:val="00ED0CC8"/>
    <w:rsid w:val="00ED2C38"/>
    <w:rsid w:val="00ED40BC"/>
    <w:rsid w:val="00ED57E0"/>
    <w:rsid w:val="00ED6521"/>
    <w:rsid w:val="00ED660D"/>
    <w:rsid w:val="00ED6E6A"/>
    <w:rsid w:val="00ED7A54"/>
    <w:rsid w:val="00ED7ECA"/>
    <w:rsid w:val="00EE014A"/>
    <w:rsid w:val="00EE1514"/>
    <w:rsid w:val="00EE28A2"/>
    <w:rsid w:val="00EE3B5C"/>
    <w:rsid w:val="00EE3E04"/>
    <w:rsid w:val="00EE5547"/>
    <w:rsid w:val="00EE5749"/>
    <w:rsid w:val="00EE5799"/>
    <w:rsid w:val="00EE6532"/>
    <w:rsid w:val="00EE6D37"/>
    <w:rsid w:val="00EE6F3A"/>
    <w:rsid w:val="00EE7A71"/>
    <w:rsid w:val="00EF0111"/>
    <w:rsid w:val="00EF0653"/>
    <w:rsid w:val="00EF076D"/>
    <w:rsid w:val="00EF095A"/>
    <w:rsid w:val="00EF0F43"/>
    <w:rsid w:val="00EF3D4A"/>
    <w:rsid w:val="00EF46FB"/>
    <w:rsid w:val="00EF4952"/>
    <w:rsid w:val="00EF49FD"/>
    <w:rsid w:val="00EF5419"/>
    <w:rsid w:val="00EF57F0"/>
    <w:rsid w:val="00EF6E78"/>
    <w:rsid w:val="00EF7873"/>
    <w:rsid w:val="00F00702"/>
    <w:rsid w:val="00F00D50"/>
    <w:rsid w:val="00F01BC3"/>
    <w:rsid w:val="00F01C59"/>
    <w:rsid w:val="00F01D47"/>
    <w:rsid w:val="00F01FDD"/>
    <w:rsid w:val="00F02E08"/>
    <w:rsid w:val="00F034E4"/>
    <w:rsid w:val="00F036B2"/>
    <w:rsid w:val="00F03E96"/>
    <w:rsid w:val="00F04E64"/>
    <w:rsid w:val="00F06C3F"/>
    <w:rsid w:val="00F06CAD"/>
    <w:rsid w:val="00F07BCA"/>
    <w:rsid w:val="00F10684"/>
    <w:rsid w:val="00F108C9"/>
    <w:rsid w:val="00F10EC2"/>
    <w:rsid w:val="00F11CC6"/>
    <w:rsid w:val="00F124BD"/>
    <w:rsid w:val="00F12D12"/>
    <w:rsid w:val="00F13571"/>
    <w:rsid w:val="00F13C80"/>
    <w:rsid w:val="00F14285"/>
    <w:rsid w:val="00F166AE"/>
    <w:rsid w:val="00F16954"/>
    <w:rsid w:val="00F16F44"/>
    <w:rsid w:val="00F17FA3"/>
    <w:rsid w:val="00F20730"/>
    <w:rsid w:val="00F21177"/>
    <w:rsid w:val="00F216BF"/>
    <w:rsid w:val="00F21EBE"/>
    <w:rsid w:val="00F22282"/>
    <w:rsid w:val="00F22386"/>
    <w:rsid w:val="00F22ED7"/>
    <w:rsid w:val="00F23BEA"/>
    <w:rsid w:val="00F23F50"/>
    <w:rsid w:val="00F24017"/>
    <w:rsid w:val="00F26157"/>
    <w:rsid w:val="00F26FD7"/>
    <w:rsid w:val="00F30013"/>
    <w:rsid w:val="00F300DC"/>
    <w:rsid w:val="00F3054D"/>
    <w:rsid w:val="00F30F75"/>
    <w:rsid w:val="00F31EF9"/>
    <w:rsid w:val="00F31FFA"/>
    <w:rsid w:val="00F344E4"/>
    <w:rsid w:val="00F348EB"/>
    <w:rsid w:val="00F35577"/>
    <w:rsid w:val="00F37457"/>
    <w:rsid w:val="00F40835"/>
    <w:rsid w:val="00F40E29"/>
    <w:rsid w:val="00F41833"/>
    <w:rsid w:val="00F41AB9"/>
    <w:rsid w:val="00F427C6"/>
    <w:rsid w:val="00F42FEB"/>
    <w:rsid w:val="00F43430"/>
    <w:rsid w:val="00F44D55"/>
    <w:rsid w:val="00F45315"/>
    <w:rsid w:val="00F473B5"/>
    <w:rsid w:val="00F50163"/>
    <w:rsid w:val="00F51489"/>
    <w:rsid w:val="00F51DF3"/>
    <w:rsid w:val="00F51FF2"/>
    <w:rsid w:val="00F529B1"/>
    <w:rsid w:val="00F54942"/>
    <w:rsid w:val="00F56408"/>
    <w:rsid w:val="00F565C6"/>
    <w:rsid w:val="00F56B0C"/>
    <w:rsid w:val="00F56FDE"/>
    <w:rsid w:val="00F57468"/>
    <w:rsid w:val="00F577EF"/>
    <w:rsid w:val="00F579AA"/>
    <w:rsid w:val="00F57D6B"/>
    <w:rsid w:val="00F57D85"/>
    <w:rsid w:val="00F61508"/>
    <w:rsid w:val="00F61FCB"/>
    <w:rsid w:val="00F62391"/>
    <w:rsid w:val="00F62874"/>
    <w:rsid w:val="00F62C53"/>
    <w:rsid w:val="00F6407C"/>
    <w:rsid w:val="00F6426F"/>
    <w:rsid w:val="00F66128"/>
    <w:rsid w:val="00F67021"/>
    <w:rsid w:val="00F67521"/>
    <w:rsid w:val="00F7040A"/>
    <w:rsid w:val="00F731BA"/>
    <w:rsid w:val="00F73633"/>
    <w:rsid w:val="00F745DF"/>
    <w:rsid w:val="00F7543C"/>
    <w:rsid w:val="00F755E1"/>
    <w:rsid w:val="00F76A08"/>
    <w:rsid w:val="00F77E87"/>
    <w:rsid w:val="00F8032E"/>
    <w:rsid w:val="00F81887"/>
    <w:rsid w:val="00F8218B"/>
    <w:rsid w:val="00F823AF"/>
    <w:rsid w:val="00F834C7"/>
    <w:rsid w:val="00F83ECC"/>
    <w:rsid w:val="00F84B03"/>
    <w:rsid w:val="00F850D9"/>
    <w:rsid w:val="00F85E50"/>
    <w:rsid w:val="00F863DC"/>
    <w:rsid w:val="00F864D2"/>
    <w:rsid w:val="00F86CC9"/>
    <w:rsid w:val="00F86ECF"/>
    <w:rsid w:val="00F8730E"/>
    <w:rsid w:val="00F87409"/>
    <w:rsid w:val="00F9132E"/>
    <w:rsid w:val="00F917D2"/>
    <w:rsid w:val="00F9182D"/>
    <w:rsid w:val="00F922A1"/>
    <w:rsid w:val="00F93FC2"/>
    <w:rsid w:val="00F95915"/>
    <w:rsid w:val="00F95EAC"/>
    <w:rsid w:val="00F968D8"/>
    <w:rsid w:val="00F96D84"/>
    <w:rsid w:val="00F9733D"/>
    <w:rsid w:val="00F97745"/>
    <w:rsid w:val="00F97C52"/>
    <w:rsid w:val="00FA14F6"/>
    <w:rsid w:val="00FA17DC"/>
    <w:rsid w:val="00FA2EBC"/>
    <w:rsid w:val="00FA3C8C"/>
    <w:rsid w:val="00FA5798"/>
    <w:rsid w:val="00FA6803"/>
    <w:rsid w:val="00FA6806"/>
    <w:rsid w:val="00FA7FE1"/>
    <w:rsid w:val="00FB0FFC"/>
    <w:rsid w:val="00FB1296"/>
    <w:rsid w:val="00FB215F"/>
    <w:rsid w:val="00FB284B"/>
    <w:rsid w:val="00FB391E"/>
    <w:rsid w:val="00FB3FAA"/>
    <w:rsid w:val="00FB41DA"/>
    <w:rsid w:val="00FB4704"/>
    <w:rsid w:val="00FB4B2D"/>
    <w:rsid w:val="00FB54F6"/>
    <w:rsid w:val="00FB670B"/>
    <w:rsid w:val="00FB7000"/>
    <w:rsid w:val="00FC162D"/>
    <w:rsid w:val="00FC1CCF"/>
    <w:rsid w:val="00FC254D"/>
    <w:rsid w:val="00FC2D40"/>
    <w:rsid w:val="00FC3A6C"/>
    <w:rsid w:val="00FC3F37"/>
    <w:rsid w:val="00FC592D"/>
    <w:rsid w:val="00FC62DE"/>
    <w:rsid w:val="00FC7F7F"/>
    <w:rsid w:val="00FD17D3"/>
    <w:rsid w:val="00FD2B07"/>
    <w:rsid w:val="00FD347C"/>
    <w:rsid w:val="00FD3705"/>
    <w:rsid w:val="00FD3943"/>
    <w:rsid w:val="00FD54FA"/>
    <w:rsid w:val="00FD662C"/>
    <w:rsid w:val="00FD687B"/>
    <w:rsid w:val="00FD69BA"/>
    <w:rsid w:val="00FD7DF7"/>
    <w:rsid w:val="00FE0E40"/>
    <w:rsid w:val="00FE1109"/>
    <w:rsid w:val="00FE116B"/>
    <w:rsid w:val="00FE2FA0"/>
    <w:rsid w:val="00FE33AF"/>
    <w:rsid w:val="00FE36D0"/>
    <w:rsid w:val="00FE3B21"/>
    <w:rsid w:val="00FE4B9E"/>
    <w:rsid w:val="00FE5A77"/>
    <w:rsid w:val="00FE5AED"/>
    <w:rsid w:val="00FE6318"/>
    <w:rsid w:val="00FE657B"/>
    <w:rsid w:val="00FE6878"/>
    <w:rsid w:val="00FE7347"/>
    <w:rsid w:val="00FE7718"/>
    <w:rsid w:val="00FF01E3"/>
    <w:rsid w:val="00FF05EE"/>
    <w:rsid w:val="00FF08EF"/>
    <w:rsid w:val="00FF0A8A"/>
    <w:rsid w:val="00FF1B83"/>
    <w:rsid w:val="00FF2873"/>
    <w:rsid w:val="00FF3304"/>
    <w:rsid w:val="00FF5189"/>
    <w:rsid w:val="00FF74EF"/>
    <w:rsid w:val="00FF760B"/>
    <w:rsid w:val="00FF7B82"/>
    <w:rsid w:val="01155F38"/>
    <w:rsid w:val="011E5727"/>
    <w:rsid w:val="012B46FC"/>
    <w:rsid w:val="013D4FF7"/>
    <w:rsid w:val="014029FC"/>
    <w:rsid w:val="01631127"/>
    <w:rsid w:val="017130C2"/>
    <w:rsid w:val="018A3707"/>
    <w:rsid w:val="0195691D"/>
    <w:rsid w:val="01990776"/>
    <w:rsid w:val="019C21D7"/>
    <w:rsid w:val="01A927B2"/>
    <w:rsid w:val="01AB10A0"/>
    <w:rsid w:val="01AF7232"/>
    <w:rsid w:val="01BE5397"/>
    <w:rsid w:val="01D0002E"/>
    <w:rsid w:val="01D01826"/>
    <w:rsid w:val="01D4162E"/>
    <w:rsid w:val="01E16A08"/>
    <w:rsid w:val="024C4754"/>
    <w:rsid w:val="025A152C"/>
    <w:rsid w:val="02812C40"/>
    <w:rsid w:val="02A60447"/>
    <w:rsid w:val="02A7282D"/>
    <w:rsid w:val="02AB5526"/>
    <w:rsid w:val="02B462AB"/>
    <w:rsid w:val="02DB78ED"/>
    <w:rsid w:val="03017A08"/>
    <w:rsid w:val="032676DF"/>
    <w:rsid w:val="033B0BCE"/>
    <w:rsid w:val="034B690A"/>
    <w:rsid w:val="037E2EBA"/>
    <w:rsid w:val="038A6E36"/>
    <w:rsid w:val="038F3212"/>
    <w:rsid w:val="03A72422"/>
    <w:rsid w:val="03B648F4"/>
    <w:rsid w:val="03CB52E0"/>
    <w:rsid w:val="03DA19B2"/>
    <w:rsid w:val="03F074A9"/>
    <w:rsid w:val="03F81F60"/>
    <w:rsid w:val="040F1F05"/>
    <w:rsid w:val="043B44AF"/>
    <w:rsid w:val="04462C71"/>
    <w:rsid w:val="044D24B6"/>
    <w:rsid w:val="04771A5C"/>
    <w:rsid w:val="049079A0"/>
    <w:rsid w:val="04936C5B"/>
    <w:rsid w:val="04B322DF"/>
    <w:rsid w:val="04B37502"/>
    <w:rsid w:val="04BC5D0A"/>
    <w:rsid w:val="04C55D86"/>
    <w:rsid w:val="04C72213"/>
    <w:rsid w:val="04E5055C"/>
    <w:rsid w:val="04EA1EA8"/>
    <w:rsid w:val="04EC3E49"/>
    <w:rsid w:val="04F2435D"/>
    <w:rsid w:val="04FD0B20"/>
    <w:rsid w:val="05032F8F"/>
    <w:rsid w:val="0503578A"/>
    <w:rsid w:val="050532EC"/>
    <w:rsid w:val="05146D04"/>
    <w:rsid w:val="053C29C7"/>
    <w:rsid w:val="05795946"/>
    <w:rsid w:val="058E5B26"/>
    <w:rsid w:val="0590285F"/>
    <w:rsid w:val="05B24B9E"/>
    <w:rsid w:val="05C06E82"/>
    <w:rsid w:val="05C867FC"/>
    <w:rsid w:val="05CE5226"/>
    <w:rsid w:val="05E31C10"/>
    <w:rsid w:val="06006BA7"/>
    <w:rsid w:val="06074EB0"/>
    <w:rsid w:val="06275C96"/>
    <w:rsid w:val="062D1AC8"/>
    <w:rsid w:val="063107F7"/>
    <w:rsid w:val="06446034"/>
    <w:rsid w:val="06835973"/>
    <w:rsid w:val="0686730A"/>
    <w:rsid w:val="06AC264D"/>
    <w:rsid w:val="06E56662"/>
    <w:rsid w:val="06F43A54"/>
    <w:rsid w:val="070E4682"/>
    <w:rsid w:val="072F2536"/>
    <w:rsid w:val="07517911"/>
    <w:rsid w:val="075E1FB5"/>
    <w:rsid w:val="07667FC3"/>
    <w:rsid w:val="077A4DDE"/>
    <w:rsid w:val="0788447E"/>
    <w:rsid w:val="07C67938"/>
    <w:rsid w:val="07C9427D"/>
    <w:rsid w:val="07CF7489"/>
    <w:rsid w:val="07E029CD"/>
    <w:rsid w:val="07E74AB3"/>
    <w:rsid w:val="07EF6851"/>
    <w:rsid w:val="07F53A62"/>
    <w:rsid w:val="07F8638A"/>
    <w:rsid w:val="080E667E"/>
    <w:rsid w:val="080F38C4"/>
    <w:rsid w:val="08212878"/>
    <w:rsid w:val="082B7DEE"/>
    <w:rsid w:val="08335330"/>
    <w:rsid w:val="08533EE6"/>
    <w:rsid w:val="08535DA1"/>
    <w:rsid w:val="0878767F"/>
    <w:rsid w:val="08801E97"/>
    <w:rsid w:val="08861E7B"/>
    <w:rsid w:val="088B6AE3"/>
    <w:rsid w:val="08B61F54"/>
    <w:rsid w:val="08C05A9D"/>
    <w:rsid w:val="08C21D9A"/>
    <w:rsid w:val="08D560D5"/>
    <w:rsid w:val="08DF2FFA"/>
    <w:rsid w:val="08E66C96"/>
    <w:rsid w:val="09043A7F"/>
    <w:rsid w:val="09382C89"/>
    <w:rsid w:val="09474C6D"/>
    <w:rsid w:val="09576287"/>
    <w:rsid w:val="097C1550"/>
    <w:rsid w:val="099634FC"/>
    <w:rsid w:val="09B802C3"/>
    <w:rsid w:val="09C06C9A"/>
    <w:rsid w:val="09C22BCC"/>
    <w:rsid w:val="09C40988"/>
    <w:rsid w:val="09D340D0"/>
    <w:rsid w:val="09D62FC4"/>
    <w:rsid w:val="09D837D7"/>
    <w:rsid w:val="09E87C1A"/>
    <w:rsid w:val="0A186406"/>
    <w:rsid w:val="0A240F6C"/>
    <w:rsid w:val="0A3403A6"/>
    <w:rsid w:val="0A543871"/>
    <w:rsid w:val="0A6673C1"/>
    <w:rsid w:val="0A677DC4"/>
    <w:rsid w:val="0A8016E1"/>
    <w:rsid w:val="0AB179FE"/>
    <w:rsid w:val="0AB62C17"/>
    <w:rsid w:val="0AD846FE"/>
    <w:rsid w:val="0ADD0A00"/>
    <w:rsid w:val="0AE42A74"/>
    <w:rsid w:val="0AF76FD7"/>
    <w:rsid w:val="0B0526A9"/>
    <w:rsid w:val="0B075EE9"/>
    <w:rsid w:val="0B0C4008"/>
    <w:rsid w:val="0B223B77"/>
    <w:rsid w:val="0B2A64ED"/>
    <w:rsid w:val="0B47764D"/>
    <w:rsid w:val="0B487B8E"/>
    <w:rsid w:val="0B4C340D"/>
    <w:rsid w:val="0B600731"/>
    <w:rsid w:val="0B9B1C95"/>
    <w:rsid w:val="0BAE17A6"/>
    <w:rsid w:val="0BAF2285"/>
    <w:rsid w:val="0BB072D9"/>
    <w:rsid w:val="0BBF07B2"/>
    <w:rsid w:val="0BC5483C"/>
    <w:rsid w:val="0BD04F7F"/>
    <w:rsid w:val="0C0E5C5B"/>
    <w:rsid w:val="0C114193"/>
    <w:rsid w:val="0C31687D"/>
    <w:rsid w:val="0C6A17C9"/>
    <w:rsid w:val="0C6B3D1D"/>
    <w:rsid w:val="0C7E530F"/>
    <w:rsid w:val="0C953422"/>
    <w:rsid w:val="0C9E0E71"/>
    <w:rsid w:val="0CA00160"/>
    <w:rsid w:val="0CAB2C10"/>
    <w:rsid w:val="0CB24CFD"/>
    <w:rsid w:val="0CB87629"/>
    <w:rsid w:val="0CB92652"/>
    <w:rsid w:val="0CCE213D"/>
    <w:rsid w:val="0CD46E7A"/>
    <w:rsid w:val="0CE164D1"/>
    <w:rsid w:val="0CE179FE"/>
    <w:rsid w:val="0CE94607"/>
    <w:rsid w:val="0CED0853"/>
    <w:rsid w:val="0CF23CC3"/>
    <w:rsid w:val="0D0176EB"/>
    <w:rsid w:val="0D0C1474"/>
    <w:rsid w:val="0D0E2AAF"/>
    <w:rsid w:val="0D1206EE"/>
    <w:rsid w:val="0D2115F4"/>
    <w:rsid w:val="0D2926D5"/>
    <w:rsid w:val="0D326E22"/>
    <w:rsid w:val="0D397302"/>
    <w:rsid w:val="0D3B5E8F"/>
    <w:rsid w:val="0D3D0A30"/>
    <w:rsid w:val="0D3F32BB"/>
    <w:rsid w:val="0D405FC9"/>
    <w:rsid w:val="0D633C5F"/>
    <w:rsid w:val="0D652964"/>
    <w:rsid w:val="0D68186E"/>
    <w:rsid w:val="0D974AB7"/>
    <w:rsid w:val="0DAD42B1"/>
    <w:rsid w:val="0DBB05D2"/>
    <w:rsid w:val="0DC1443D"/>
    <w:rsid w:val="0DCA5D28"/>
    <w:rsid w:val="0E447C72"/>
    <w:rsid w:val="0E4A55FF"/>
    <w:rsid w:val="0E5227F0"/>
    <w:rsid w:val="0E594D90"/>
    <w:rsid w:val="0E5B5C93"/>
    <w:rsid w:val="0E855B65"/>
    <w:rsid w:val="0E8F0C2C"/>
    <w:rsid w:val="0E973755"/>
    <w:rsid w:val="0E996C2D"/>
    <w:rsid w:val="0EC32929"/>
    <w:rsid w:val="0ED1250F"/>
    <w:rsid w:val="0EE744A0"/>
    <w:rsid w:val="0EF1699D"/>
    <w:rsid w:val="0EF47E86"/>
    <w:rsid w:val="0EFA4003"/>
    <w:rsid w:val="0F094745"/>
    <w:rsid w:val="0F215C40"/>
    <w:rsid w:val="0F2C7492"/>
    <w:rsid w:val="0F2E1476"/>
    <w:rsid w:val="0F30702F"/>
    <w:rsid w:val="0F460D9B"/>
    <w:rsid w:val="0F4E2843"/>
    <w:rsid w:val="0F586660"/>
    <w:rsid w:val="0F7E30FC"/>
    <w:rsid w:val="0F824439"/>
    <w:rsid w:val="0F8A54CD"/>
    <w:rsid w:val="0F9120D6"/>
    <w:rsid w:val="0FB14C51"/>
    <w:rsid w:val="0FB45B0E"/>
    <w:rsid w:val="0FC21F91"/>
    <w:rsid w:val="0FE7591A"/>
    <w:rsid w:val="0FEE4EF0"/>
    <w:rsid w:val="101B23C0"/>
    <w:rsid w:val="102D24B9"/>
    <w:rsid w:val="103476D8"/>
    <w:rsid w:val="103919D1"/>
    <w:rsid w:val="1048024E"/>
    <w:rsid w:val="104D0158"/>
    <w:rsid w:val="10534836"/>
    <w:rsid w:val="106042BE"/>
    <w:rsid w:val="106D5B1D"/>
    <w:rsid w:val="107F5940"/>
    <w:rsid w:val="108A2A8D"/>
    <w:rsid w:val="10B531D8"/>
    <w:rsid w:val="10B83429"/>
    <w:rsid w:val="10C10037"/>
    <w:rsid w:val="10C10665"/>
    <w:rsid w:val="10C9621C"/>
    <w:rsid w:val="10D85EC7"/>
    <w:rsid w:val="10DC79F2"/>
    <w:rsid w:val="10DF19B8"/>
    <w:rsid w:val="10EF6E72"/>
    <w:rsid w:val="10FC7F90"/>
    <w:rsid w:val="111B0A66"/>
    <w:rsid w:val="112E004A"/>
    <w:rsid w:val="113B3F9A"/>
    <w:rsid w:val="114706A4"/>
    <w:rsid w:val="114C40EA"/>
    <w:rsid w:val="114E06B2"/>
    <w:rsid w:val="114E23C6"/>
    <w:rsid w:val="115E5B39"/>
    <w:rsid w:val="117079F6"/>
    <w:rsid w:val="11753C30"/>
    <w:rsid w:val="117F26E2"/>
    <w:rsid w:val="11815F27"/>
    <w:rsid w:val="1215385D"/>
    <w:rsid w:val="12196E45"/>
    <w:rsid w:val="122677F1"/>
    <w:rsid w:val="123404BF"/>
    <w:rsid w:val="1235626F"/>
    <w:rsid w:val="1246292C"/>
    <w:rsid w:val="12482DD9"/>
    <w:rsid w:val="12514FC0"/>
    <w:rsid w:val="126236F8"/>
    <w:rsid w:val="12696DDE"/>
    <w:rsid w:val="126A784E"/>
    <w:rsid w:val="1287602B"/>
    <w:rsid w:val="12901B9D"/>
    <w:rsid w:val="12AA1AC1"/>
    <w:rsid w:val="12B347BE"/>
    <w:rsid w:val="12BB6140"/>
    <w:rsid w:val="13067DCA"/>
    <w:rsid w:val="13086DDE"/>
    <w:rsid w:val="13165804"/>
    <w:rsid w:val="131C5777"/>
    <w:rsid w:val="132D36C9"/>
    <w:rsid w:val="13300346"/>
    <w:rsid w:val="13333522"/>
    <w:rsid w:val="133F275C"/>
    <w:rsid w:val="13712840"/>
    <w:rsid w:val="137610FC"/>
    <w:rsid w:val="13765B8B"/>
    <w:rsid w:val="13781984"/>
    <w:rsid w:val="13784228"/>
    <w:rsid w:val="139422EC"/>
    <w:rsid w:val="139E7595"/>
    <w:rsid w:val="13A165AD"/>
    <w:rsid w:val="13A70B10"/>
    <w:rsid w:val="13AA7631"/>
    <w:rsid w:val="13B04DDB"/>
    <w:rsid w:val="13BF4F97"/>
    <w:rsid w:val="13C65652"/>
    <w:rsid w:val="13E9328B"/>
    <w:rsid w:val="13EC17CB"/>
    <w:rsid w:val="13FB332F"/>
    <w:rsid w:val="14030717"/>
    <w:rsid w:val="140E3AB5"/>
    <w:rsid w:val="14334110"/>
    <w:rsid w:val="144226DC"/>
    <w:rsid w:val="14486DE7"/>
    <w:rsid w:val="145052DB"/>
    <w:rsid w:val="1458372C"/>
    <w:rsid w:val="14585B36"/>
    <w:rsid w:val="14625C06"/>
    <w:rsid w:val="14C06F63"/>
    <w:rsid w:val="14D90AC8"/>
    <w:rsid w:val="14E174D5"/>
    <w:rsid w:val="14E603F9"/>
    <w:rsid w:val="14E722C2"/>
    <w:rsid w:val="14EB14C6"/>
    <w:rsid w:val="150D53DB"/>
    <w:rsid w:val="15280FDB"/>
    <w:rsid w:val="152E009C"/>
    <w:rsid w:val="15352935"/>
    <w:rsid w:val="153A04A2"/>
    <w:rsid w:val="1564133F"/>
    <w:rsid w:val="15B47D2F"/>
    <w:rsid w:val="15BA464A"/>
    <w:rsid w:val="15C75C32"/>
    <w:rsid w:val="15C834AA"/>
    <w:rsid w:val="15D87C4B"/>
    <w:rsid w:val="15E34C54"/>
    <w:rsid w:val="15F0590B"/>
    <w:rsid w:val="15F1542B"/>
    <w:rsid w:val="16017DF9"/>
    <w:rsid w:val="16037756"/>
    <w:rsid w:val="16160391"/>
    <w:rsid w:val="162C1278"/>
    <w:rsid w:val="16483752"/>
    <w:rsid w:val="164F7581"/>
    <w:rsid w:val="1653434F"/>
    <w:rsid w:val="16737EB7"/>
    <w:rsid w:val="16750D7E"/>
    <w:rsid w:val="16771684"/>
    <w:rsid w:val="16932CF0"/>
    <w:rsid w:val="16A13212"/>
    <w:rsid w:val="16AC45EB"/>
    <w:rsid w:val="16BC3A68"/>
    <w:rsid w:val="16D52037"/>
    <w:rsid w:val="16DE73D2"/>
    <w:rsid w:val="16E547BA"/>
    <w:rsid w:val="170F7480"/>
    <w:rsid w:val="17214F41"/>
    <w:rsid w:val="174119F0"/>
    <w:rsid w:val="17460AD2"/>
    <w:rsid w:val="1749196B"/>
    <w:rsid w:val="175C0720"/>
    <w:rsid w:val="175D2BC4"/>
    <w:rsid w:val="176002CA"/>
    <w:rsid w:val="17835EE5"/>
    <w:rsid w:val="178D53E2"/>
    <w:rsid w:val="178F0A8A"/>
    <w:rsid w:val="17957CDA"/>
    <w:rsid w:val="17A22EEC"/>
    <w:rsid w:val="17AC5D8A"/>
    <w:rsid w:val="17C866DD"/>
    <w:rsid w:val="17CE3D09"/>
    <w:rsid w:val="17CE6AFE"/>
    <w:rsid w:val="17E06BF5"/>
    <w:rsid w:val="17F84861"/>
    <w:rsid w:val="18046FE3"/>
    <w:rsid w:val="18123466"/>
    <w:rsid w:val="181A371C"/>
    <w:rsid w:val="186C5C36"/>
    <w:rsid w:val="1878795C"/>
    <w:rsid w:val="188623EF"/>
    <w:rsid w:val="18923C2B"/>
    <w:rsid w:val="18A30722"/>
    <w:rsid w:val="18AB4833"/>
    <w:rsid w:val="18B07724"/>
    <w:rsid w:val="18D14AC5"/>
    <w:rsid w:val="18EF2F46"/>
    <w:rsid w:val="190235C1"/>
    <w:rsid w:val="191D7C5A"/>
    <w:rsid w:val="19303D51"/>
    <w:rsid w:val="194371B3"/>
    <w:rsid w:val="194D5779"/>
    <w:rsid w:val="19A9317F"/>
    <w:rsid w:val="19AC3D16"/>
    <w:rsid w:val="19C61D10"/>
    <w:rsid w:val="19D9610D"/>
    <w:rsid w:val="19DB602A"/>
    <w:rsid w:val="19DC431F"/>
    <w:rsid w:val="1A1775D3"/>
    <w:rsid w:val="1A197F0A"/>
    <w:rsid w:val="1A1D0B9C"/>
    <w:rsid w:val="1A306124"/>
    <w:rsid w:val="1A3B2777"/>
    <w:rsid w:val="1A52716A"/>
    <w:rsid w:val="1A5B4050"/>
    <w:rsid w:val="1A5B6614"/>
    <w:rsid w:val="1A734B0B"/>
    <w:rsid w:val="1A750003"/>
    <w:rsid w:val="1A7D11D5"/>
    <w:rsid w:val="1A917B74"/>
    <w:rsid w:val="1AB168E0"/>
    <w:rsid w:val="1B072BB2"/>
    <w:rsid w:val="1B082496"/>
    <w:rsid w:val="1B112B8E"/>
    <w:rsid w:val="1B130A55"/>
    <w:rsid w:val="1B197E66"/>
    <w:rsid w:val="1B1E08BC"/>
    <w:rsid w:val="1B2D5ECD"/>
    <w:rsid w:val="1B3700DA"/>
    <w:rsid w:val="1B3E4569"/>
    <w:rsid w:val="1B4F7D16"/>
    <w:rsid w:val="1B6C4624"/>
    <w:rsid w:val="1B920EB3"/>
    <w:rsid w:val="1B947521"/>
    <w:rsid w:val="1B95381F"/>
    <w:rsid w:val="1BA22F26"/>
    <w:rsid w:val="1BEC005F"/>
    <w:rsid w:val="1C177092"/>
    <w:rsid w:val="1C1774EF"/>
    <w:rsid w:val="1C230452"/>
    <w:rsid w:val="1C305DBC"/>
    <w:rsid w:val="1C59041C"/>
    <w:rsid w:val="1C59465B"/>
    <w:rsid w:val="1C6954E0"/>
    <w:rsid w:val="1C883CB1"/>
    <w:rsid w:val="1C8B0398"/>
    <w:rsid w:val="1C8B768E"/>
    <w:rsid w:val="1C8C2669"/>
    <w:rsid w:val="1C921F07"/>
    <w:rsid w:val="1CA21C7B"/>
    <w:rsid w:val="1CCC4DF2"/>
    <w:rsid w:val="1CD76168"/>
    <w:rsid w:val="1CDF6410"/>
    <w:rsid w:val="1CF052BB"/>
    <w:rsid w:val="1CF242DB"/>
    <w:rsid w:val="1D16137A"/>
    <w:rsid w:val="1D164FF2"/>
    <w:rsid w:val="1D1D64B3"/>
    <w:rsid w:val="1D44421A"/>
    <w:rsid w:val="1D471D32"/>
    <w:rsid w:val="1D7F4B4A"/>
    <w:rsid w:val="1D8421C1"/>
    <w:rsid w:val="1D9E47FC"/>
    <w:rsid w:val="1DCB2764"/>
    <w:rsid w:val="1DCF6DF6"/>
    <w:rsid w:val="1DD56785"/>
    <w:rsid w:val="1DDF3B37"/>
    <w:rsid w:val="1DE04A0F"/>
    <w:rsid w:val="1DE63AB1"/>
    <w:rsid w:val="1DED141B"/>
    <w:rsid w:val="1DFC2839"/>
    <w:rsid w:val="1E006938"/>
    <w:rsid w:val="1E3D778E"/>
    <w:rsid w:val="1E482BAD"/>
    <w:rsid w:val="1E49512E"/>
    <w:rsid w:val="1E516CD7"/>
    <w:rsid w:val="1E543FD0"/>
    <w:rsid w:val="1E5A6D71"/>
    <w:rsid w:val="1E630910"/>
    <w:rsid w:val="1E800BD7"/>
    <w:rsid w:val="1E8F7238"/>
    <w:rsid w:val="1EA12818"/>
    <w:rsid w:val="1EA82D15"/>
    <w:rsid w:val="1EAC0EF0"/>
    <w:rsid w:val="1EF62A4D"/>
    <w:rsid w:val="1F0E4F91"/>
    <w:rsid w:val="1F1D62B1"/>
    <w:rsid w:val="1F486583"/>
    <w:rsid w:val="1F522626"/>
    <w:rsid w:val="1F542886"/>
    <w:rsid w:val="1F593C34"/>
    <w:rsid w:val="1F5B3047"/>
    <w:rsid w:val="1F5E0DFD"/>
    <w:rsid w:val="1F754A85"/>
    <w:rsid w:val="1F767D38"/>
    <w:rsid w:val="1F7D5F94"/>
    <w:rsid w:val="1FC152AA"/>
    <w:rsid w:val="1FC3434C"/>
    <w:rsid w:val="1FC874B7"/>
    <w:rsid w:val="1FC92484"/>
    <w:rsid w:val="20283BFE"/>
    <w:rsid w:val="20322CAF"/>
    <w:rsid w:val="203F2DDB"/>
    <w:rsid w:val="20492CB4"/>
    <w:rsid w:val="204E7455"/>
    <w:rsid w:val="207448C1"/>
    <w:rsid w:val="20776132"/>
    <w:rsid w:val="20776224"/>
    <w:rsid w:val="20A23ACD"/>
    <w:rsid w:val="20A24EEC"/>
    <w:rsid w:val="20A9493E"/>
    <w:rsid w:val="20B94BBA"/>
    <w:rsid w:val="20C92601"/>
    <w:rsid w:val="20CB1F1C"/>
    <w:rsid w:val="20D12E5F"/>
    <w:rsid w:val="20E17A72"/>
    <w:rsid w:val="20F30A57"/>
    <w:rsid w:val="21357DE1"/>
    <w:rsid w:val="21546AD9"/>
    <w:rsid w:val="219D68F6"/>
    <w:rsid w:val="21B876E3"/>
    <w:rsid w:val="21BE71BF"/>
    <w:rsid w:val="21E611A6"/>
    <w:rsid w:val="221022B8"/>
    <w:rsid w:val="22120162"/>
    <w:rsid w:val="22120D14"/>
    <w:rsid w:val="221676CE"/>
    <w:rsid w:val="22307FE6"/>
    <w:rsid w:val="223470A3"/>
    <w:rsid w:val="224255FB"/>
    <w:rsid w:val="22564FBE"/>
    <w:rsid w:val="2264470F"/>
    <w:rsid w:val="22706F04"/>
    <w:rsid w:val="22780DBF"/>
    <w:rsid w:val="227F07C0"/>
    <w:rsid w:val="22817335"/>
    <w:rsid w:val="228E7351"/>
    <w:rsid w:val="229570B3"/>
    <w:rsid w:val="22A011B6"/>
    <w:rsid w:val="22A8592E"/>
    <w:rsid w:val="22B33630"/>
    <w:rsid w:val="22BC6A81"/>
    <w:rsid w:val="22D41884"/>
    <w:rsid w:val="22D61B16"/>
    <w:rsid w:val="22DE3766"/>
    <w:rsid w:val="22E35CA8"/>
    <w:rsid w:val="22E820F6"/>
    <w:rsid w:val="22FD1670"/>
    <w:rsid w:val="234367D0"/>
    <w:rsid w:val="2363218C"/>
    <w:rsid w:val="236457C0"/>
    <w:rsid w:val="23661994"/>
    <w:rsid w:val="2376330E"/>
    <w:rsid w:val="238226CE"/>
    <w:rsid w:val="23904B9E"/>
    <w:rsid w:val="23A31194"/>
    <w:rsid w:val="23B16DF4"/>
    <w:rsid w:val="23F5362A"/>
    <w:rsid w:val="23FB49B4"/>
    <w:rsid w:val="24285144"/>
    <w:rsid w:val="244372BA"/>
    <w:rsid w:val="246638AA"/>
    <w:rsid w:val="246B4BD3"/>
    <w:rsid w:val="248A0941"/>
    <w:rsid w:val="24A30BA6"/>
    <w:rsid w:val="24A75BFD"/>
    <w:rsid w:val="24A852A3"/>
    <w:rsid w:val="24AB3C9C"/>
    <w:rsid w:val="24CF41B2"/>
    <w:rsid w:val="24FE1FB0"/>
    <w:rsid w:val="250D1497"/>
    <w:rsid w:val="251076F5"/>
    <w:rsid w:val="251C6A34"/>
    <w:rsid w:val="25260655"/>
    <w:rsid w:val="252D55C2"/>
    <w:rsid w:val="25384494"/>
    <w:rsid w:val="257F00ED"/>
    <w:rsid w:val="258341FA"/>
    <w:rsid w:val="259C1B0C"/>
    <w:rsid w:val="25A728FD"/>
    <w:rsid w:val="25C672F4"/>
    <w:rsid w:val="25E005EB"/>
    <w:rsid w:val="26087135"/>
    <w:rsid w:val="26126FD6"/>
    <w:rsid w:val="262950A6"/>
    <w:rsid w:val="26317743"/>
    <w:rsid w:val="263F0FFD"/>
    <w:rsid w:val="264707F0"/>
    <w:rsid w:val="264A0C27"/>
    <w:rsid w:val="269837DB"/>
    <w:rsid w:val="26B2243C"/>
    <w:rsid w:val="26B666FF"/>
    <w:rsid w:val="26DE7AC6"/>
    <w:rsid w:val="26F13A5D"/>
    <w:rsid w:val="26F80B9D"/>
    <w:rsid w:val="272A10A7"/>
    <w:rsid w:val="27310DD6"/>
    <w:rsid w:val="274B1BA9"/>
    <w:rsid w:val="276532B6"/>
    <w:rsid w:val="277C5151"/>
    <w:rsid w:val="278717CD"/>
    <w:rsid w:val="278E1FBB"/>
    <w:rsid w:val="279113B3"/>
    <w:rsid w:val="27B663DB"/>
    <w:rsid w:val="27CD1252"/>
    <w:rsid w:val="27E26A1A"/>
    <w:rsid w:val="28217904"/>
    <w:rsid w:val="28243164"/>
    <w:rsid w:val="28336516"/>
    <w:rsid w:val="283456F2"/>
    <w:rsid w:val="284E4C8D"/>
    <w:rsid w:val="284F4522"/>
    <w:rsid w:val="28591911"/>
    <w:rsid w:val="285A715B"/>
    <w:rsid w:val="285D7439"/>
    <w:rsid w:val="28871C38"/>
    <w:rsid w:val="2888247C"/>
    <w:rsid w:val="28925CAF"/>
    <w:rsid w:val="28A27072"/>
    <w:rsid w:val="28AC7558"/>
    <w:rsid w:val="28BC290E"/>
    <w:rsid w:val="28C748BF"/>
    <w:rsid w:val="28C97253"/>
    <w:rsid w:val="28E80A89"/>
    <w:rsid w:val="293F19A5"/>
    <w:rsid w:val="294270A4"/>
    <w:rsid w:val="29515D9F"/>
    <w:rsid w:val="2970338B"/>
    <w:rsid w:val="29736403"/>
    <w:rsid w:val="29755646"/>
    <w:rsid w:val="29763C14"/>
    <w:rsid w:val="297A6991"/>
    <w:rsid w:val="298E1CE1"/>
    <w:rsid w:val="29920A20"/>
    <w:rsid w:val="29AC69A9"/>
    <w:rsid w:val="29AE40E4"/>
    <w:rsid w:val="29C61114"/>
    <w:rsid w:val="29C729F3"/>
    <w:rsid w:val="29CC7380"/>
    <w:rsid w:val="29CD34C3"/>
    <w:rsid w:val="29DE2AEF"/>
    <w:rsid w:val="2A146833"/>
    <w:rsid w:val="2A373F3A"/>
    <w:rsid w:val="2A4075C2"/>
    <w:rsid w:val="2A5C3D05"/>
    <w:rsid w:val="2A6F0DD0"/>
    <w:rsid w:val="2A7506B9"/>
    <w:rsid w:val="2A7830C1"/>
    <w:rsid w:val="2A80580C"/>
    <w:rsid w:val="2A944AD6"/>
    <w:rsid w:val="2AA046C9"/>
    <w:rsid w:val="2AA13A13"/>
    <w:rsid w:val="2AA9767C"/>
    <w:rsid w:val="2AD117F4"/>
    <w:rsid w:val="2AD6602A"/>
    <w:rsid w:val="2AF7213C"/>
    <w:rsid w:val="2B2B1731"/>
    <w:rsid w:val="2B375366"/>
    <w:rsid w:val="2B3802B1"/>
    <w:rsid w:val="2B556ADC"/>
    <w:rsid w:val="2B814D40"/>
    <w:rsid w:val="2B874FB7"/>
    <w:rsid w:val="2B8D5F95"/>
    <w:rsid w:val="2B9D5495"/>
    <w:rsid w:val="2BA51B51"/>
    <w:rsid w:val="2BC56B02"/>
    <w:rsid w:val="2BCD41B7"/>
    <w:rsid w:val="2BDC2417"/>
    <w:rsid w:val="2C0D03D0"/>
    <w:rsid w:val="2C254360"/>
    <w:rsid w:val="2C2D6CB0"/>
    <w:rsid w:val="2C31308C"/>
    <w:rsid w:val="2C372955"/>
    <w:rsid w:val="2C387569"/>
    <w:rsid w:val="2C411FE0"/>
    <w:rsid w:val="2C666A38"/>
    <w:rsid w:val="2C7C6901"/>
    <w:rsid w:val="2C801B9A"/>
    <w:rsid w:val="2C84143D"/>
    <w:rsid w:val="2C886F8A"/>
    <w:rsid w:val="2C905BE2"/>
    <w:rsid w:val="2C9D0F9A"/>
    <w:rsid w:val="2CA12E18"/>
    <w:rsid w:val="2CA43837"/>
    <w:rsid w:val="2CB27E77"/>
    <w:rsid w:val="2CB45741"/>
    <w:rsid w:val="2CD25948"/>
    <w:rsid w:val="2CD45093"/>
    <w:rsid w:val="2CD96CCF"/>
    <w:rsid w:val="2CE03BE7"/>
    <w:rsid w:val="2CF53695"/>
    <w:rsid w:val="2D006154"/>
    <w:rsid w:val="2D013D32"/>
    <w:rsid w:val="2D0C54C5"/>
    <w:rsid w:val="2D1770FD"/>
    <w:rsid w:val="2D3C4ED0"/>
    <w:rsid w:val="2D431ADA"/>
    <w:rsid w:val="2D583BF6"/>
    <w:rsid w:val="2D711349"/>
    <w:rsid w:val="2D9C3380"/>
    <w:rsid w:val="2DA12DAB"/>
    <w:rsid w:val="2DC32556"/>
    <w:rsid w:val="2DCB5144"/>
    <w:rsid w:val="2DCF0DBC"/>
    <w:rsid w:val="2DDE6CFE"/>
    <w:rsid w:val="2DE25C15"/>
    <w:rsid w:val="2DF263B3"/>
    <w:rsid w:val="2DF95D4B"/>
    <w:rsid w:val="2DFD2B30"/>
    <w:rsid w:val="2E02212A"/>
    <w:rsid w:val="2E075D7C"/>
    <w:rsid w:val="2E197876"/>
    <w:rsid w:val="2E290431"/>
    <w:rsid w:val="2E392B94"/>
    <w:rsid w:val="2E392D41"/>
    <w:rsid w:val="2E473D74"/>
    <w:rsid w:val="2E704045"/>
    <w:rsid w:val="2E993143"/>
    <w:rsid w:val="2EAC0D15"/>
    <w:rsid w:val="2EC672E4"/>
    <w:rsid w:val="2ED20C7A"/>
    <w:rsid w:val="2EFD1A01"/>
    <w:rsid w:val="2F084AA0"/>
    <w:rsid w:val="2F217240"/>
    <w:rsid w:val="2F2A3985"/>
    <w:rsid w:val="2F3B1AC5"/>
    <w:rsid w:val="2F3B3089"/>
    <w:rsid w:val="2F706E81"/>
    <w:rsid w:val="2F9A3429"/>
    <w:rsid w:val="2FAE45AC"/>
    <w:rsid w:val="2FB222FF"/>
    <w:rsid w:val="2FD07CE1"/>
    <w:rsid w:val="2FD211BA"/>
    <w:rsid w:val="2FFE5354"/>
    <w:rsid w:val="30096713"/>
    <w:rsid w:val="30276618"/>
    <w:rsid w:val="30385A66"/>
    <w:rsid w:val="306837AC"/>
    <w:rsid w:val="308D77A1"/>
    <w:rsid w:val="30A32A3D"/>
    <w:rsid w:val="30A43898"/>
    <w:rsid w:val="30B16E52"/>
    <w:rsid w:val="30BE3E6D"/>
    <w:rsid w:val="30D01343"/>
    <w:rsid w:val="30D20B4E"/>
    <w:rsid w:val="311664EB"/>
    <w:rsid w:val="313E328B"/>
    <w:rsid w:val="31427C45"/>
    <w:rsid w:val="314B6528"/>
    <w:rsid w:val="3156690E"/>
    <w:rsid w:val="31606EF0"/>
    <w:rsid w:val="316900B8"/>
    <w:rsid w:val="316D0DE0"/>
    <w:rsid w:val="317D5725"/>
    <w:rsid w:val="317F5293"/>
    <w:rsid w:val="3185170E"/>
    <w:rsid w:val="31947F0F"/>
    <w:rsid w:val="31A1067C"/>
    <w:rsid w:val="31A51F55"/>
    <w:rsid w:val="31AB7A8A"/>
    <w:rsid w:val="31AD6AD6"/>
    <w:rsid w:val="31C66341"/>
    <w:rsid w:val="31FC67A1"/>
    <w:rsid w:val="320906A4"/>
    <w:rsid w:val="321833CC"/>
    <w:rsid w:val="321C1CF8"/>
    <w:rsid w:val="322547B3"/>
    <w:rsid w:val="32275333"/>
    <w:rsid w:val="323D75EB"/>
    <w:rsid w:val="32527078"/>
    <w:rsid w:val="32605861"/>
    <w:rsid w:val="32655287"/>
    <w:rsid w:val="326C7171"/>
    <w:rsid w:val="32990BA9"/>
    <w:rsid w:val="32AB534E"/>
    <w:rsid w:val="32AF6F77"/>
    <w:rsid w:val="32B41122"/>
    <w:rsid w:val="32D82ACC"/>
    <w:rsid w:val="32EB4245"/>
    <w:rsid w:val="33045E5A"/>
    <w:rsid w:val="33146091"/>
    <w:rsid w:val="331F035E"/>
    <w:rsid w:val="33254A79"/>
    <w:rsid w:val="3327137C"/>
    <w:rsid w:val="3353419F"/>
    <w:rsid w:val="3358331F"/>
    <w:rsid w:val="337109DB"/>
    <w:rsid w:val="337905D0"/>
    <w:rsid w:val="337E6749"/>
    <w:rsid w:val="3399203E"/>
    <w:rsid w:val="33A51544"/>
    <w:rsid w:val="33C52D96"/>
    <w:rsid w:val="33E701C9"/>
    <w:rsid w:val="34254DBF"/>
    <w:rsid w:val="343F1801"/>
    <w:rsid w:val="3445693D"/>
    <w:rsid w:val="345E145A"/>
    <w:rsid w:val="346011E5"/>
    <w:rsid w:val="34801EB3"/>
    <w:rsid w:val="3484123C"/>
    <w:rsid w:val="34954816"/>
    <w:rsid w:val="349764CE"/>
    <w:rsid w:val="349C59A7"/>
    <w:rsid w:val="349D5033"/>
    <w:rsid w:val="34A4739D"/>
    <w:rsid w:val="34B76BEC"/>
    <w:rsid w:val="34C723DC"/>
    <w:rsid w:val="34D85375"/>
    <w:rsid w:val="34EA000E"/>
    <w:rsid w:val="350E7333"/>
    <w:rsid w:val="350F464C"/>
    <w:rsid w:val="351473D9"/>
    <w:rsid w:val="35221EC5"/>
    <w:rsid w:val="35354922"/>
    <w:rsid w:val="35497563"/>
    <w:rsid w:val="354C6FC7"/>
    <w:rsid w:val="35503CF6"/>
    <w:rsid w:val="35627195"/>
    <w:rsid w:val="3567249E"/>
    <w:rsid w:val="356A7B6E"/>
    <w:rsid w:val="3573341E"/>
    <w:rsid w:val="35753A0D"/>
    <w:rsid w:val="35762CAF"/>
    <w:rsid w:val="35994B72"/>
    <w:rsid w:val="359F614A"/>
    <w:rsid w:val="35CA5637"/>
    <w:rsid w:val="35CF181A"/>
    <w:rsid w:val="35E122AD"/>
    <w:rsid w:val="35E502C1"/>
    <w:rsid w:val="360E5565"/>
    <w:rsid w:val="361509AD"/>
    <w:rsid w:val="362600EC"/>
    <w:rsid w:val="362C3A76"/>
    <w:rsid w:val="36373763"/>
    <w:rsid w:val="36450A08"/>
    <w:rsid w:val="36464FAF"/>
    <w:rsid w:val="3647276F"/>
    <w:rsid w:val="366C72F9"/>
    <w:rsid w:val="36744D05"/>
    <w:rsid w:val="36745E0D"/>
    <w:rsid w:val="367B4DCE"/>
    <w:rsid w:val="36851E8E"/>
    <w:rsid w:val="368B6F75"/>
    <w:rsid w:val="36A55670"/>
    <w:rsid w:val="36AA6109"/>
    <w:rsid w:val="36AD5EFB"/>
    <w:rsid w:val="36B260C9"/>
    <w:rsid w:val="36B75016"/>
    <w:rsid w:val="36E1496C"/>
    <w:rsid w:val="372467B5"/>
    <w:rsid w:val="37726DDB"/>
    <w:rsid w:val="37824115"/>
    <w:rsid w:val="378B4DC7"/>
    <w:rsid w:val="37A35D40"/>
    <w:rsid w:val="37D1672F"/>
    <w:rsid w:val="37E27EFB"/>
    <w:rsid w:val="37EA14AA"/>
    <w:rsid w:val="37EF74F1"/>
    <w:rsid w:val="37F51BF0"/>
    <w:rsid w:val="3803773A"/>
    <w:rsid w:val="382D09A4"/>
    <w:rsid w:val="38576792"/>
    <w:rsid w:val="385E6591"/>
    <w:rsid w:val="38722A42"/>
    <w:rsid w:val="388555DA"/>
    <w:rsid w:val="388B15CC"/>
    <w:rsid w:val="38B76E43"/>
    <w:rsid w:val="38F70576"/>
    <w:rsid w:val="39023F55"/>
    <w:rsid w:val="39041A07"/>
    <w:rsid w:val="391F1238"/>
    <w:rsid w:val="39237236"/>
    <w:rsid w:val="397D643A"/>
    <w:rsid w:val="3984034C"/>
    <w:rsid w:val="39AA0983"/>
    <w:rsid w:val="3A0E6E9C"/>
    <w:rsid w:val="3A105C7B"/>
    <w:rsid w:val="3A3E1FF7"/>
    <w:rsid w:val="3A605462"/>
    <w:rsid w:val="3A8051AD"/>
    <w:rsid w:val="3AA108B8"/>
    <w:rsid w:val="3AAC14A9"/>
    <w:rsid w:val="3ABF72A0"/>
    <w:rsid w:val="3AC118BB"/>
    <w:rsid w:val="3AC65BB8"/>
    <w:rsid w:val="3AD130AB"/>
    <w:rsid w:val="3B241FDE"/>
    <w:rsid w:val="3B4E725C"/>
    <w:rsid w:val="3B5B7A55"/>
    <w:rsid w:val="3B740719"/>
    <w:rsid w:val="3B74716B"/>
    <w:rsid w:val="3B7C7CE0"/>
    <w:rsid w:val="3B857FF7"/>
    <w:rsid w:val="3B9F07C1"/>
    <w:rsid w:val="3B9F4B50"/>
    <w:rsid w:val="3BAB2514"/>
    <w:rsid w:val="3BB54A0E"/>
    <w:rsid w:val="3BB843D5"/>
    <w:rsid w:val="3BBE39B4"/>
    <w:rsid w:val="3BD25549"/>
    <w:rsid w:val="3BDC67DF"/>
    <w:rsid w:val="3C033C8C"/>
    <w:rsid w:val="3C097C31"/>
    <w:rsid w:val="3C10688E"/>
    <w:rsid w:val="3C113553"/>
    <w:rsid w:val="3C59130C"/>
    <w:rsid w:val="3C7D2DC3"/>
    <w:rsid w:val="3C822914"/>
    <w:rsid w:val="3C86499C"/>
    <w:rsid w:val="3CD10940"/>
    <w:rsid w:val="3CE205E4"/>
    <w:rsid w:val="3CF031AE"/>
    <w:rsid w:val="3CF92AAC"/>
    <w:rsid w:val="3D012FD5"/>
    <w:rsid w:val="3D0E2E07"/>
    <w:rsid w:val="3D183BC8"/>
    <w:rsid w:val="3D196F79"/>
    <w:rsid w:val="3D1C4C7D"/>
    <w:rsid w:val="3D330E9A"/>
    <w:rsid w:val="3D3A7623"/>
    <w:rsid w:val="3D4A0C8B"/>
    <w:rsid w:val="3D4B16B3"/>
    <w:rsid w:val="3D4C42C9"/>
    <w:rsid w:val="3D612DE2"/>
    <w:rsid w:val="3D8802F9"/>
    <w:rsid w:val="3D910165"/>
    <w:rsid w:val="3DC04F20"/>
    <w:rsid w:val="3DC345C7"/>
    <w:rsid w:val="3DDF142B"/>
    <w:rsid w:val="3DF76DB4"/>
    <w:rsid w:val="3E03524F"/>
    <w:rsid w:val="3E126F1C"/>
    <w:rsid w:val="3E4F677C"/>
    <w:rsid w:val="3E556E96"/>
    <w:rsid w:val="3E63290B"/>
    <w:rsid w:val="3E6356B0"/>
    <w:rsid w:val="3E8862B3"/>
    <w:rsid w:val="3E8947A2"/>
    <w:rsid w:val="3EB23E85"/>
    <w:rsid w:val="3EBD6567"/>
    <w:rsid w:val="3EC963BB"/>
    <w:rsid w:val="3ED73913"/>
    <w:rsid w:val="3EEE703A"/>
    <w:rsid w:val="3EF31A58"/>
    <w:rsid w:val="3F0042A3"/>
    <w:rsid w:val="3F0055B5"/>
    <w:rsid w:val="3F2778E8"/>
    <w:rsid w:val="3F3067B3"/>
    <w:rsid w:val="3F480414"/>
    <w:rsid w:val="3F4B5E13"/>
    <w:rsid w:val="3F527ED8"/>
    <w:rsid w:val="3F5D3126"/>
    <w:rsid w:val="3F726B1E"/>
    <w:rsid w:val="3F7458E1"/>
    <w:rsid w:val="3F892170"/>
    <w:rsid w:val="3F8B2E92"/>
    <w:rsid w:val="3F97181D"/>
    <w:rsid w:val="3FC37BEF"/>
    <w:rsid w:val="3FC63654"/>
    <w:rsid w:val="3FD14B87"/>
    <w:rsid w:val="3FD83FE1"/>
    <w:rsid w:val="3FF043E5"/>
    <w:rsid w:val="40263B82"/>
    <w:rsid w:val="403810A5"/>
    <w:rsid w:val="403A0FF7"/>
    <w:rsid w:val="40442DD5"/>
    <w:rsid w:val="404C40C7"/>
    <w:rsid w:val="40744139"/>
    <w:rsid w:val="40805E83"/>
    <w:rsid w:val="408808DD"/>
    <w:rsid w:val="408B272F"/>
    <w:rsid w:val="4091546A"/>
    <w:rsid w:val="40917FE5"/>
    <w:rsid w:val="4095736D"/>
    <w:rsid w:val="40A041F0"/>
    <w:rsid w:val="40A332E2"/>
    <w:rsid w:val="40C16E2A"/>
    <w:rsid w:val="40D319BF"/>
    <w:rsid w:val="40D3705B"/>
    <w:rsid w:val="40D5539C"/>
    <w:rsid w:val="40F2108B"/>
    <w:rsid w:val="40F86552"/>
    <w:rsid w:val="41090989"/>
    <w:rsid w:val="410F546B"/>
    <w:rsid w:val="4125717C"/>
    <w:rsid w:val="412732D0"/>
    <w:rsid w:val="4137392E"/>
    <w:rsid w:val="41430AD7"/>
    <w:rsid w:val="415858B6"/>
    <w:rsid w:val="41655FD6"/>
    <w:rsid w:val="41687EF0"/>
    <w:rsid w:val="416A73E3"/>
    <w:rsid w:val="41CC4BF2"/>
    <w:rsid w:val="41CF79B8"/>
    <w:rsid w:val="41D2507B"/>
    <w:rsid w:val="41F5076D"/>
    <w:rsid w:val="41FB68FA"/>
    <w:rsid w:val="42024EFA"/>
    <w:rsid w:val="4221428B"/>
    <w:rsid w:val="422C573F"/>
    <w:rsid w:val="42383E4B"/>
    <w:rsid w:val="42390345"/>
    <w:rsid w:val="424A6EB6"/>
    <w:rsid w:val="4259643B"/>
    <w:rsid w:val="42946243"/>
    <w:rsid w:val="429A3B9E"/>
    <w:rsid w:val="429C4565"/>
    <w:rsid w:val="42D15553"/>
    <w:rsid w:val="42D9010C"/>
    <w:rsid w:val="42E45303"/>
    <w:rsid w:val="42EC5EA1"/>
    <w:rsid w:val="42FB5190"/>
    <w:rsid w:val="43131BC9"/>
    <w:rsid w:val="431933F2"/>
    <w:rsid w:val="431D4DD6"/>
    <w:rsid w:val="4321076A"/>
    <w:rsid w:val="434B394E"/>
    <w:rsid w:val="43591B88"/>
    <w:rsid w:val="43605EAE"/>
    <w:rsid w:val="436B664D"/>
    <w:rsid w:val="43700D30"/>
    <w:rsid w:val="43714022"/>
    <w:rsid w:val="43767CC2"/>
    <w:rsid w:val="43815BCA"/>
    <w:rsid w:val="43860996"/>
    <w:rsid w:val="438756B4"/>
    <w:rsid w:val="43AD5B5F"/>
    <w:rsid w:val="43E7169A"/>
    <w:rsid w:val="440B2E8F"/>
    <w:rsid w:val="44185C0E"/>
    <w:rsid w:val="44356FB1"/>
    <w:rsid w:val="443824B6"/>
    <w:rsid w:val="44715CA5"/>
    <w:rsid w:val="4484594B"/>
    <w:rsid w:val="448834E8"/>
    <w:rsid w:val="448F5407"/>
    <w:rsid w:val="449570E5"/>
    <w:rsid w:val="44957341"/>
    <w:rsid w:val="449F7195"/>
    <w:rsid w:val="44ED6A34"/>
    <w:rsid w:val="4508373F"/>
    <w:rsid w:val="45184B46"/>
    <w:rsid w:val="45205FCA"/>
    <w:rsid w:val="4525618A"/>
    <w:rsid w:val="45454E63"/>
    <w:rsid w:val="455A3DEA"/>
    <w:rsid w:val="45651678"/>
    <w:rsid w:val="456A222E"/>
    <w:rsid w:val="45716CC0"/>
    <w:rsid w:val="45772615"/>
    <w:rsid w:val="458062DA"/>
    <w:rsid w:val="45816676"/>
    <w:rsid w:val="4598679F"/>
    <w:rsid w:val="45BA7C82"/>
    <w:rsid w:val="45BF59BA"/>
    <w:rsid w:val="45C01969"/>
    <w:rsid w:val="45C45A79"/>
    <w:rsid w:val="45CD0AE5"/>
    <w:rsid w:val="45D17637"/>
    <w:rsid w:val="45DB6047"/>
    <w:rsid w:val="46680858"/>
    <w:rsid w:val="466C1D1B"/>
    <w:rsid w:val="466E7185"/>
    <w:rsid w:val="46702CFD"/>
    <w:rsid w:val="46782DEA"/>
    <w:rsid w:val="468844DF"/>
    <w:rsid w:val="46915581"/>
    <w:rsid w:val="46963646"/>
    <w:rsid w:val="46A33C73"/>
    <w:rsid w:val="46B2044E"/>
    <w:rsid w:val="46CB5EB5"/>
    <w:rsid w:val="46F76539"/>
    <w:rsid w:val="46FF7089"/>
    <w:rsid w:val="47104975"/>
    <w:rsid w:val="471356CA"/>
    <w:rsid w:val="471F51BB"/>
    <w:rsid w:val="474B3EF4"/>
    <w:rsid w:val="475C2675"/>
    <w:rsid w:val="47814BA0"/>
    <w:rsid w:val="47832CBE"/>
    <w:rsid w:val="47BA2A8E"/>
    <w:rsid w:val="47EC0249"/>
    <w:rsid w:val="47F57B99"/>
    <w:rsid w:val="481D61CE"/>
    <w:rsid w:val="482812F6"/>
    <w:rsid w:val="483D3A7C"/>
    <w:rsid w:val="484B0BBA"/>
    <w:rsid w:val="48501A0A"/>
    <w:rsid w:val="48670A65"/>
    <w:rsid w:val="486B11B3"/>
    <w:rsid w:val="48790AC7"/>
    <w:rsid w:val="48B01C7A"/>
    <w:rsid w:val="48C013B6"/>
    <w:rsid w:val="48CC1CAD"/>
    <w:rsid w:val="48FB1B94"/>
    <w:rsid w:val="48FE6255"/>
    <w:rsid w:val="490D6EEC"/>
    <w:rsid w:val="492154FB"/>
    <w:rsid w:val="49254089"/>
    <w:rsid w:val="492A3A96"/>
    <w:rsid w:val="4939407E"/>
    <w:rsid w:val="495C750E"/>
    <w:rsid w:val="49761959"/>
    <w:rsid w:val="49791B52"/>
    <w:rsid w:val="497D7662"/>
    <w:rsid w:val="4989093F"/>
    <w:rsid w:val="49893B2A"/>
    <w:rsid w:val="498F1E7A"/>
    <w:rsid w:val="49997AE0"/>
    <w:rsid w:val="499C39E1"/>
    <w:rsid w:val="49A76706"/>
    <w:rsid w:val="49A96AFC"/>
    <w:rsid w:val="49B21D89"/>
    <w:rsid w:val="49C6610A"/>
    <w:rsid w:val="49C71361"/>
    <w:rsid w:val="49D577F5"/>
    <w:rsid w:val="49DD3FE8"/>
    <w:rsid w:val="49DF705A"/>
    <w:rsid w:val="49FF3561"/>
    <w:rsid w:val="4A0B6251"/>
    <w:rsid w:val="4A172EBA"/>
    <w:rsid w:val="4A1C6E05"/>
    <w:rsid w:val="4A272894"/>
    <w:rsid w:val="4A462681"/>
    <w:rsid w:val="4A573AE2"/>
    <w:rsid w:val="4A677AEB"/>
    <w:rsid w:val="4A6C72D9"/>
    <w:rsid w:val="4A9B67FF"/>
    <w:rsid w:val="4AA660E7"/>
    <w:rsid w:val="4ACC7627"/>
    <w:rsid w:val="4AD916CD"/>
    <w:rsid w:val="4AF75867"/>
    <w:rsid w:val="4AF919CD"/>
    <w:rsid w:val="4B0511C1"/>
    <w:rsid w:val="4B0F3075"/>
    <w:rsid w:val="4B2962C7"/>
    <w:rsid w:val="4B3C0C75"/>
    <w:rsid w:val="4B7F0598"/>
    <w:rsid w:val="4B814E41"/>
    <w:rsid w:val="4BE94E60"/>
    <w:rsid w:val="4BED4DCD"/>
    <w:rsid w:val="4C0F3235"/>
    <w:rsid w:val="4C101473"/>
    <w:rsid w:val="4C1B3613"/>
    <w:rsid w:val="4C3320FD"/>
    <w:rsid w:val="4C342CBB"/>
    <w:rsid w:val="4C4D7914"/>
    <w:rsid w:val="4C5628FC"/>
    <w:rsid w:val="4C627FE3"/>
    <w:rsid w:val="4C677B95"/>
    <w:rsid w:val="4C7D513F"/>
    <w:rsid w:val="4C9B2EE3"/>
    <w:rsid w:val="4CA15325"/>
    <w:rsid w:val="4CA44916"/>
    <w:rsid w:val="4CAC78FD"/>
    <w:rsid w:val="4CC14C1D"/>
    <w:rsid w:val="4CC73B96"/>
    <w:rsid w:val="4CF51404"/>
    <w:rsid w:val="4CFE5730"/>
    <w:rsid w:val="4D0F6D98"/>
    <w:rsid w:val="4D260B9E"/>
    <w:rsid w:val="4D380C70"/>
    <w:rsid w:val="4D3B6CD8"/>
    <w:rsid w:val="4D4A09BE"/>
    <w:rsid w:val="4D54559D"/>
    <w:rsid w:val="4D5605BE"/>
    <w:rsid w:val="4D650C15"/>
    <w:rsid w:val="4D6E2A7E"/>
    <w:rsid w:val="4D756A4D"/>
    <w:rsid w:val="4D7D7151"/>
    <w:rsid w:val="4D7F076E"/>
    <w:rsid w:val="4D852CE0"/>
    <w:rsid w:val="4D8A6D63"/>
    <w:rsid w:val="4D9564DC"/>
    <w:rsid w:val="4DAF757B"/>
    <w:rsid w:val="4DB2308D"/>
    <w:rsid w:val="4DCD5A80"/>
    <w:rsid w:val="4DD247E9"/>
    <w:rsid w:val="4DD50704"/>
    <w:rsid w:val="4DD96219"/>
    <w:rsid w:val="4DDA1347"/>
    <w:rsid w:val="4DF3707A"/>
    <w:rsid w:val="4DF744FE"/>
    <w:rsid w:val="4DF8445E"/>
    <w:rsid w:val="4DFE5297"/>
    <w:rsid w:val="4E1208BC"/>
    <w:rsid w:val="4E471952"/>
    <w:rsid w:val="4E560130"/>
    <w:rsid w:val="4E5E14BC"/>
    <w:rsid w:val="4E5F4541"/>
    <w:rsid w:val="4E7C0BEA"/>
    <w:rsid w:val="4E8763CA"/>
    <w:rsid w:val="4EA36905"/>
    <w:rsid w:val="4EA769F6"/>
    <w:rsid w:val="4EC920A8"/>
    <w:rsid w:val="4EE94AD6"/>
    <w:rsid w:val="4F1F57DF"/>
    <w:rsid w:val="4F22282B"/>
    <w:rsid w:val="4F37592C"/>
    <w:rsid w:val="4F3B74E5"/>
    <w:rsid w:val="4F5A12AA"/>
    <w:rsid w:val="4F6179BC"/>
    <w:rsid w:val="4F63723D"/>
    <w:rsid w:val="4F7777B3"/>
    <w:rsid w:val="4F9C54B8"/>
    <w:rsid w:val="4F9E7DC7"/>
    <w:rsid w:val="4FC62964"/>
    <w:rsid w:val="4FC82638"/>
    <w:rsid w:val="4FE6385F"/>
    <w:rsid w:val="50233620"/>
    <w:rsid w:val="504E7B14"/>
    <w:rsid w:val="50523B8E"/>
    <w:rsid w:val="505F35EC"/>
    <w:rsid w:val="507B58F8"/>
    <w:rsid w:val="50A17351"/>
    <w:rsid w:val="50B02C4E"/>
    <w:rsid w:val="50B02E66"/>
    <w:rsid w:val="50B74F84"/>
    <w:rsid w:val="50CF2C52"/>
    <w:rsid w:val="5109252F"/>
    <w:rsid w:val="515227DF"/>
    <w:rsid w:val="515346E1"/>
    <w:rsid w:val="516E23B7"/>
    <w:rsid w:val="518165D3"/>
    <w:rsid w:val="518A082F"/>
    <w:rsid w:val="519D00A6"/>
    <w:rsid w:val="51C0339E"/>
    <w:rsid w:val="51C92EAF"/>
    <w:rsid w:val="51D853FB"/>
    <w:rsid w:val="51F91A37"/>
    <w:rsid w:val="523E7ADD"/>
    <w:rsid w:val="526E0DF3"/>
    <w:rsid w:val="52712FF2"/>
    <w:rsid w:val="52760E6B"/>
    <w:rsid w:val="52765F0B"/>
    <w:rsid w:val="52922EBB"/>
    <w:rsid w:val="52964AC5"/>
    <w:rsid w:val="529759F5"/>
    <w:rsid w:val="52B05059"/>
    <w:rsid w:val="52B64CF5"/>
    <w:rsid w:val="52CF62B1"/>
    <w:rsid w:val="52D656A1"/>
    <w:rsid w:val="52DB1C5F"/>
    <w:rsid w:val="52E12A93"/>
    <w:rsid w:val="52F450A9"/>
    <w:rsid w:val="53036958"/>
    <w:rsid w:val="53123015"/>
    <w:rsid w:val="53125180"/>
    <w:rsid w:val="53173007"/>
    <w:rsid w:val="53173188"/>
    <w:rsid w:val="532154A0"/>
    <w:rsid w:val="53357476"/>
    <w:rsid w:val="53373966"/>
    <w:rsid w:val="533C2661"/>
    <w:rsid w:val="533C6889"/>
    <w:rsid w:val="534B4538"/>
    <w:rsid w:val="53761F75"/>
    <w:rsid w:val="53772550"/>
    <w:rsid w:val="53810CBC"/>
    <w:rsid w:val="538F219C"/>
    <w:rsid w:val="53A408B4"/>
    <w:rsid w:val="53F56315"/>
    <w:rsid w:val="53FC4BE6"/>
    <w:rsid w:val="53FD4691"/>
    <w:rsid w:val="54437A41"/>
    <w:rsid w:val="54477BF1"/>
    <w:rsid w:val="545E7AD7"/>
    <w:rsid w:val="54605F8E"/>
    <w:rsid w:val="54613872"/>
    <w:rsid w:val="54655303"/>
    <w:rsid w:val="549D1872"/>
    <w:rsid w:val="54C31C77"/>
    <w:rsid w:val="54C336DA"/>
    <w:rsid w:val="54C80639"/>
    <w:rsid w:val="54E9700F"/>
    <w:rsid w:val="54F115B0"/>
    <w:rsid w:val="54F6464B"/>
    <w:rsid w:val="54F66F1D"/>
    <w:rsid w:val="54F76795"/>
    <w:rsid w:val="55092473"/>
    <w:rsid w:val="55180ED0"/>
    <w:rsid w:val="55192C3C"/>
    <w:rsid w:val="551B7968"/>
    <w:rsid w:val="553E0464"/>
    <w:rsid w:val="55411B49"/>
    <w:rsid w:val="55442971"/>
    <w:rsid w:val="5546586B"/>
    <w:rsid w:val="559A6993"/>
    <w:rsid w:val="559B08DC"/>
    <w:rsid w:val="559C0E43"/>
    <w:rsid w:val="55A664BF"/>
    <w:rsid w:val="55AD3F26"/>
    <w:rsid w:val="55C54098"/>
    <w:rsid w:val="55F04BA1"/>
    <w:rsid w:val="55F32ED3"/>
    <w:rsid w:val="560C50EB"/>
    <w:rsid w:val="5616472D"/>
    <w:rsid w:val="56165AB6"/>
    <w:rsid w:val="56224C64"/>
    <w:rsid w:val="56427B02"/>
    <w:rsid w:val="56557909"/>
    <w:rsid w:val="567C17AC"/>
    <w:rsid w:val="567F235D"/>
    <w:rsid w:val="568806D4"/>
    <w:rsid w:val="568D4E74"/>
    <w:rsid w:val="56975D16"/>
    <w:rsid w:val="5698486B"/>
    <w:rsid w:val="569F3F7F"/>
    <w:rsid w:val="56AB067D"/>
    <w:rsid w:val="56B2070D"/>
    <w:rsid w:val="56BB052E"/>
    <w:rsid w:val="56C25EE7"/>
    <w:rsid w:val="56C975DD"/>
    <w:rsid w:val="56E208DB"/>
    <w:rsid w:val="5711697D"/>
    <w:rsid w:val="574327EE"/>
    <w:rsid w:val="575B3578"/>
    <w:rsid w:val="576207F2"/>
    <w:rsid w:val="57795BBA"/>
    <w:rsid w:val="577A2A99"/>
    <w:rsid w:val="57895C23"/>
    <w:rsid w:val="579E3CDF"/>
    <w:rsid w:val="57B578CE"/>
    <w:rsid w:val="57E43FD4"/>
    <w:rsid w:val="57E53EC8"/>
    <w:rsid w:val="580C6722"/>
    <w:rsid w:val="58116290"/>
    <w:rsid w:val="581602D9"/>
    <w:rsid w:val="581B6991"/>
    <w:rsid w:val="5824565D"/>
    <w:rsid w:val="58316048"/>
    <w:rsid w:val="58370A4F"/>
    <w:rsid w:val="58402B1A"/>
    <w:rsid w:val="587A316E"/>
    <w:rsid w:val="587C152F"/>
    <w:rsid w:val="587F7A5F"/>
    <w:rsid w:val="588B3DB1"/>
    <w:rsid w:val="58997CFF"/>
    <w:rsid w:val="589F0760"/>
    <w:rsid w:val="589F6BB9"/>
    <w:rsid w:val="58B52144"/>
    <w:rsid w:val="58B52F74"/>
    <w:rsid w:val="58C22C80"/>
    <w:rsid w:val="58C311CB"/>
    <w:rsid w:val="58C4786B"/>
    <w:rsid w:val="58DD39E5"/>
    <w:rsid w:val="59143D9E"/>
    <w:rsid w:val="591A733B"/>
    <w:rsid w:val="594F6462"/>
    <w:rsid w:val="595D0B84"/>
    <w:rsid w:val="59664821"/>
    <w:rsid w:val="597014EE"/>
    <w:rsid w:val="598E47D6"/>
    <w:rsid w:val="599624FF"/>
    <w:rsid w:val="59A75D2A"/>
    <w:rsid w:val="59B648BE"/>
    <w:rsid w:val="59B74C80"/>
    <w:rsid w:val="59D95CCB"/>
    <w:rsid w:val="59DF4078"/>
    <w:rsid w:val="5A0D3F51"/>
    <w:rsid w:val="5A0D73EB"/>
    <w:rsid w:val="5A293818"/>
    <w:rsid w:val="5A3B6845"/>
    <w:rsid w:val="5A421314"/>
    <w:rsid w:val="5A521255"/>
    <w:rsid w:val="5A5A01CD"/>
    <w:rsid w:val="5A5F5DFB"/>
    <w:rsid w:val="5A641B86"/>
    <w:rsid w:val="5A972DD7"/>
    <w:rsid w:val="5A9E61B3"/>
    <w:rsid w:val="5AA86577"/>
    <w:rsid w:val="5AB05016"/>
    <w:rsid w:val="5ADD429A"/>
    <w:rsid w:val="5AF0292A"/>
    <w:rsid w:val="5AFF7F5E"/>
    <w:rsid w:val="5B183B40"/>
    <w:rsid w:val="5B1A458D"/>
    <w:rsid w:val="5B1E4203"/>
    <w:rsid w:val="5B2E656B"/>
    <w:rsid w:val="5B303CF4"/>
    <w:rsid w:val="5B377D8B"/>
    <w:rsid w:val="5B3C47D3"/>
    <w:rsid w:val="5B3E5EB3"/>
    <w:rsid w:val="5B40296B"/>
    <w:rsid w:val="5B420A72"/>
    <w:rsid w:val="5B480517"/>
    <w:rsid w:val="5B580926"/>
    <w:rsid w:val="5B601F24"/>
    <w:rsid w:val="5B666FF2"/>
    <w:rsid w:val="5B6A75C3"/>
    <w:rsid w:val="5B8F250C"/>
    <w:rsid w:val="5B9A1251"/>
    <w:rsid w:val="5B9F4D89"/>
    <w:rsid w:val="5BCA1A14"/>
    <w:rsid w:val="5BD22656"/>
    <w:rsid w:val="5BE72193"/>
    <w:rsid w:val="5BFA2C1E"/>
    <w:rsid w:val="5C327BB4"/>
    <w:rsid w:val="5C3C6A70"/>
    <w:rsid w:val="5C3D6ED8"/>
    <w:rsid w:val="5C6160D3"/>
    <w:rsid w:val="5C717957"/>
    <w:rsid w:val="5C832BE1"/>
    <w:rsid w:val="5C8B6998"/>
    <w:rsid w:val="5CA673BB"/>
    <w:rsid w:val="5CB4707C"/>
    <w:rsid w:val="5CBC25A1"/>
    <w:rsid w:val="5CCE6073"/>
    <w:rsid w:val="5CF670E9"/>
    <w:rsid w:val="5D0323CA"/>
    <w:rsid w:val="5D0C0A08"/>
    <w:rsid w:val="5D1756AA"/>
    <w:rsid w:val="5D285854"/>
    <w:rsid w:val="5D391700"/>
    <w:rsid w:val="5D4240FA"/>
    <w:rsid w:val="5D45677B"/>
    <w:rsid w:val="5D544780"/>
    <w:rsid w:val="5D714E7F"/>
    <w:rsid w:val="5D83510B"/>
    <w:rsid w:val="5D8953CC"/>
    <w:rsid w:val="5DA12141"/>
    <w:rsid w:val="5DA32353"/>
    <w:rsid w:val="5DAD599B"/>
    <w:rsid w:val="5DFD51C6"/>
    <w:rsid w:val="5E051570"/>
    <w:rsid w:val="5E1D7950"/>
    <w:rsid w:val="5E2025BB"/>
    <w:rsid w:val="5E4A60F6"/>
    <w:rsid w:val="5E4B5CEC"/>
    <w:rsid w:val="5E570D49"/>
    <w:rsid w:val="5E74022C"/>
    <w:rsid w:val="5E83549A"/>
    <w:rsid w:val="5E887C0B"/>
    <w:rsid w:val="5E8E785E"/>
    <w:rsid w:val="5E9A6CF8"/>
    <w:rsid w:val="5E9C7172"/>
    <w:rsid w:val="5EC8392A"/>
    <w:rsid w:val="5ED20091"/>
    <w:rsid w:val="5EE91CAA"/>
    <w:rsid w:val="5EF9068E"/>
    <w:rsid w:val="5F036C8E"/>
    <w:rsid w:val="5F135636"/>
    <w:rsid w:val="5F262E2A"/>
    <w:rsid w:val="5F36056F"/>
    <w:rsid w:val="5F367D55"/>
    <w:rsid w:val="5F4B4BD6"/>
    <w:rsid w:val="5F611E67"/>
    <w:rsid w:val="5F8C3C1F"/>
    <w:rsid w:val="5FA4585C"/>
    <w:rsid w:val="5FB44471"/>
    <w:rsid w:val="5FC146ED"/>
    <w:rsid w:val="5FD52B93"/>
    <w:rsid w:val="5FFA7FF7"/>
    <w:rsid w:val="601A4B29"/>
    <w:rsid w:val="60311576"/>
    <w:rsid w:val="604931D8"/>
    <w:rsid w:val="6065783C"/>
    <w:rsid w:val="606E6CB0"/>
    <w:rsid w:val="607834BC"/>
    <w:rsid w:val="60976287"/>
    <w:rsid w:val="60A74743"/>
    <w:rsid w:val="60B97009"/>
    <w:rsid w:val="60DE1D98"/>
    <w:rsid w:val="60EC08AD"/>
    <w:rsid w:val="611833FF"/>
    <w:rsid w:val="6125100D"/>
    <w:rsid w:val="612904BB"/>
    <w:rsid w:val="613E56A0"/>
    <w:rsid w:val="615844FC"/>
    <w:rsid w:val="617C4CE5"/>
    <w:rsid w:val="617F763A"/>
    <w:rsid w:val="61820442"/>
    <w:rsid w:val="61836956"/>
    <w:rsid w:val="61893FD8"/>
    <w:rsid w:val="618B0669"/>
    <w:rsid w:val="61911FB2"/>
    <w:rsid w:val="61A573F9"/>
    <w:rsid w:val="61AD12B2"/>
    <w:rsid w:val="61C7116A"/>
    <w:rsid w:val="61CB3B3E"/>
    <w:rsid w:val="62024991"/>
    <w:rsid w:val="620D65AB"/>
    <w:rsid w:val="62124F5D"/>
    <w:rsid w:val="62141BD3"/>
    <w:rsid w:val="62260510"/>
    <w:rsid w:val="624C4CB1"/>
    <w:rsid w:val="628B3B5C"/>
    <w:rsid w:val="629C43B9"/>
    <w:rsid w:val="62AC2BD3"/>
    <w:rsid w:val="62D503BD"/>
    <w:rsid w:val="62D93CB2"/>
    <w:rsid w:val="62DB3055"/>
    <w:rsid w:val="62E5456E"/>
    <w:rsid w:val="62FD46AE"/>
    <w:rsid w:val="63083DFB"/>
    <w:rsid w:val="631940FF"/>
    <w:rsid w:val="63296955"/>
    <w:rsid w:val="632D5D1E"/>
    <w:rsid w:val="63382BB3"/>
    <w:rsid w:val="63417E1F"/>
    <w:rsid w:val="634B2262"/>
    <w:rsid w:val="63501EFC"/>
    <w:rsid w:val="635353DB"/>
    <w:rsid w:val="635D0A30"/>
    <w:rsid w:val="63674162"/>
    <w:rsid w:val="637C4D1E"/>
    <w:rsid w:val="638B044F"/>
    <w:rsid w:val="639B4EFC"/>
    <w:rsid w:val="63B13B81"/>
    <w:rsid w:val="63B515DC"/>
    <w:rsid w:val="63D762AB"/>
    <w:rsid w:val="63D835D5"/>
    <w:rsid w:val="63DA5B52"/>
    <w:rsid w:val="63FB3341"/>
    <w:rsid w:val="6404270D"/>
    <w:rsid w:val="641433AB"/>
    <w:rsid w:val="641B532F"/>
    <w:rsid w:val="643412EA"/>
    <w:rsid w:val="644117FD"/>
    <w:rsid w:val="64455162"/>
    <w:rsid w:val="645D5791"/>
    <w:rsid w:val="64727072"/>
    <w:rsid w:val="647F2C2F"/>
    <w:rsid w:val="648D2A27"/>
    <w:rsid w:val="64944576"/>
    <w:rsid w:val="649C76E6"/>
    <w:rsid w:val="64A30459"/>
    <w:rsid w:val="64A74066"/>
    <w:rsid w:val="64B75632"/>
    <w:rsid w:val="64B76576"/>
    <w:rsid w:val="64BA1A1F"/>
    <w:rsid w:val="64D34D97"/>
    <w:rsid w:val="64E2668F"/>
    <w:rsid w:val="64E739FC"/>
    <w:rsid w:val="64EC14A1"/>
    <w:rsid w:val="65055CF6"/>
    <w:rsid w:val="65323A83"/>
    <w:rsid w:val="654E0CD6"/>
    <w:rsid w:val="655008AA"/>
    <w:rsid w:val="65613193"/>
    <w:rsid w:val="65713E03"/>
    <w:rsid w:val="65725B9B"/>
    <w:rsid w:val="657F130A"/>
    <w:rsid w:val="65924229"/>
    <w:rsid w:val="659D50CD"/>
    <w:rsid w:val="65A655A5"/>
    <w:rsid w:val="65AB0427"/>
    <w:rsid w:val="65BF722A"/>
    <w:rsid w:val="65CC46E8"/>
    <w:rsid w:val="65D2098B"/>
    <w:rsid w:val="65D35477"/>
    <w:rsid w:val="65E555EA"/>
    <w:rsid w:val="65E64961"/>
    <w:rsid w:val="65E91EE9"/>
    <w:rsid w:val="65EB40CD"/>
    <w:rsid w:val="65EC66DF"/>
    <w:rsid w:val="65F2108F"/>
    <w:rsid w:val="65F410EB"/>
    <w:rsid w:val="66084542"/>
    <w:rsid w:val="661B171A"/>
    <w:rsid w:val="661F5826"/>
    <w:rsid w:val="66272F16"/>
    <w:rsid w:val="66285E7F"/>
    <w:rsid w:val="662F0830"/>
    <w:rsid w:val="663668A6"/>
    <w:rsid w:val="663D74DE"/>
    <w:rsid w:val="663E1BEF"/>
    <w:rsid w:val="66491F9F"/>
    <w:rsid w:val="664D7FE3"/>
    <w:rsid w:val="665C0B8C"/>
    <w:rsid w:val="66925B60"/>
    <w:rsid w:val="669811C1"/>
    <w:rsid w:val="66A458C8"/>
    <w:rsid w:val="66CA27CA"/>
    <w:rsid w:val="66E878F1"/>
    <w:rsid w:val="66E97DDC"/>
    <w:rsid w:val="66FE199D"/>
    <w:rsid w:val="671F6525"/>
    <w:rsid w:val="671F776C"/>
    <w:rsid w:val="67383BB3"/>
    <w:rsid w:val="673B6742"/>
    <w:rsid w:val="677D5821"/>
    <w:rsid w:val="678E5790"/>
    <w:rsid w:val="679630CE"/>
    <w:rsid w:val="67982696"/>
    <w:rsid w:val="679D7AD4"/>
    <w:rsid w:val="67A61CFB"/>
    <w:rsid w:val="67B67F64"/>
    <w:rsid w:val="67BF3CF6"/>
    <w:rsid w:val="67C2225E"/>
    <w:rsid w:val="67CE4AF2"/>
    <w:rsid w:val="67D02ACA"/>
    <w:rsid w:val="67DD1B8B"/>
    <w:rsid w:val="68046409"/>
    <w:rsid w:val="680B1C78"/>
    <w:rsid w:val="680F5DF5"/>
    <w:rsid w:val="68127EEE"/>
    <w:rsid w:val="682A3DBA"/>
    <w:rsid w:val="682E527E"/>
    <w:rsid w:val="683D3FA9"/>
    <w:rsid w:val="685A7A4D"/>
    <w:rsid w:val="686615BD"/>
    <w:rsid w:val="686B27DC"/>
    <w:rsid w:val="6874663A"/>
    <w:rsid w:val="68852D2B"/>
    <w:rsid w:val="68926403"/>
    <w:rsid w:val="689A3451"/>
    <w:rsid w:val="68AE2036"/>
    <w:rsid w:val="68BE35ED"/>
    <w:rsid w:val="68F46A1F"/>
    <w:rsid w:val="69084F4E"/>
    <w:rsid w:val="690977E4"/>
    <w:rsid w:val="691967D9"/>
    <w:rsid w:val="69331BB8"/>
    <w:rsid w:val="694D29F4"/>
    <w:rsid w:val="694E1C11"/>
    <w:rsid w:val="696B234B"/>
    <w:rsid w:val="698F6490"/>
    <w:rsid w:val="69973176"/>
    <w:rsid w:val="69973444"/>
    <w:rsid w:val="69A00B41"/>
    <w:rsid w:val="69B605D0"/>
    <w:rsid w:val="69E4336B"/>
    <w:rsid w:val="69EB7EE4"/>
    <w:rsid w:val="69F3707D"/>
    <w:rsid w:val="69FC7CB6"/>
    <w:rsid w:val="6A005293"/>
    <w:rsid w:val="6A0057DF"/>
    <w:rsid w:val="6A0105DF"/>
    <w:rsid w:val="6A0141AD"/>
    <w:rsid w:val="6A252059"/>
    <w:rsid w:val="6A4B6A86"/>
    <w:rsid w:val="6A5E7A24"/>
    <w:rsid w:val="6A5F4234"/>
    <w:rsid w:val="6AA2701D"/>
    <w:rsid w:val="6AA27EA8"/>
    <w:rsid w:val="6AA52BDE"/>
    <w:rsid w:val="6AB76196"/>
    <w:rsid w:val="6AC36BD9"/>
    <w:rsid w:val="6AC81A60"/>
    <w:rsid w:val="6AD32C64"/>
    <w:rsid w:val="6AD90C88"/>
    <w:rsid w:val="6B0C0423"/>
    <w:rsid w:val="6B1C6C24"/>
    <w:rsid w:val="6B1D081F"/>
    <w:rsid w:val="6B3E188D"/>
    <w:rsid w:val="6B591B51"/>
    <w:rsid w:val="6B6275E8"/>
    <w:rsid w:val="6B690C10"/>
    <w:rsid w:val="6B6A39CE"/>
    <w:rsid w:val="6B6F3F3D"/>
    <w:rsid w:val="6B7911F7"/>
    <w:rsid w:val="6B7E5E04"/>
    <w:rsid w:val="6B8B798D"/>
    <w:rsid w:val="6B9A65E4"/>
    <w:rsid w:val="6BA66610"/>
    <w:rsid w:val="6BC1482B"/>
    <w:rsid w:val="6BCC3AAE"/>
    <w:rsid w:val="6BD8672D"/>
    <w:rsid w:val="6BDB701B"/>
    <w:rsid w:val="6C181704"/>
    <w:rsid w:val="6C1C2F8C"/>
    <w:rsid w:val="6C23193C"/>
    <w:rsid w:val="6C2339E8"/>
    <w:rsid w:val="6C29685C"/>
    <w:rsid w:val="6C3A01E0"/>
    <w:rsid w:val="6C476D99"/>
    <w:rsid w:val="6C495A7E"/>
    <w:rsid w:val="6C5C660A"/>
    <w:rsid w:val="6C886366"/>
    <w:rsid w:val="6C935749"/>
    <w:rsid w:val="6CC0323D"/>
    <w:rsid w:val="6CCA04E7"/>
    <w:rsid w:val="6CD77ECB"/>
    <w:rsid w:val="6CE14CE3"/>
    <w:rsid w:val="6CE2334D"/>
    <w:rsid w:val="6CEC228D"/>
    <w:rsid w:val="6CF80296"/>
    <w:rsid w:val="6D0F26CB"/>
    <w:rsid w:val="6D140A49"/>
    <w:rsid w:val="6D2312B4"/>
    <w:rsid w:val="6D3465B8"/>
    <w:rsid w:val="6D6B6BF8"/>
    <w:rsid w:val="6D783D83"/>
    <w:rsid w:val="6D802C80"/>
    <w:rsid w:val="6D9A7650"/>
    <w:rsid w:val="6DA06051"/>
    <w:rsid w:val="6DA606FE"/>
    <w:rsid w:val="6DD1405E"/>
    <w:rsid w:val="6DF12165"/>
    <w:rsid w:val="6DFD0B0A"/>
    <w:rsid w:val="6E3437CB"/>
    <w:rsid w:val="6E3B50E8"/>
    <w:rsid w:val="6E425249"/>
    <w:rsid w:val="6E566E29"/>
    <w:rsid w:val="6E594608"/>
    <w:rsid w:val="6E6324BA"/>
    <w:rsid w:val="6E7172D3"/>
    <w:rsid w:val="6E934362"/>
    <w:rsid w:val="6E982064"/>
    <w:rsid w:val="6EB34425"/>
    <w:rsid w:val="6EC80FC4"/>
    <w:rsid w:val="6EE74DEC"/>
    <w:rsid w:val="6EEB71D5"/>
    <w:rsid w:val="6F0C5A07"/>
    <w:rsid w:val="6F182D73"/>
    <w:rsid w:val="6F275E3E"/>
    <w:rsid w:val="6F4D6B91"/>
    <w:rsid w:val="6F691662"/>
    <w:rsid w:val="6F6D7CF0"/>
    <w:rsid w:val="6F951BFA"/>
    <w:rsid w:val="6FAE588D"/>
    <w:rsid w:val="6FCA5146"/>
    <w:rsid w:val="6FDF3B27"/>
    <w:rsid w:val="70086890"/>
    <w:rsid w:val="70273275"/>
    <w:rsid w:val="70295A02"/>
    <w:rsid w:val="702D738F"/>
    <w:rsid w:val="7045368C"/>
    <w:rsid w:val="704C1D80"/>
    <w:rsid w:val="7061233E"/>
    <w:rsid w:val="706452F1"/>
    <w:rsid w:val="7079572B"/>
    <w:rsid w:val="707A2DC7"/>
    <w:rsid w:val="707E492C"/>
    <w:rsid w:val="70980155"/>
    <w:rsid w:val="70A91ABF"/>
    <w:rsid w:val="70BB5203"/>
    <w:rsid w:val="70BB53DB"/>
    <w:rsid w:val="70C51769"/>
    <w:rsid w:val="70C72EB9"/>
    <w:rsid w:val="70CC2683"/>
    <w:rsid w:val="70E85E85"/>
    <w:rsid w:val="70EC1C0F"/>
    <w:rsid w:val="70F81345"/>
    <w:rsid w:val="71004F58"/>
    <w:rsid w:val="711F75C4"/>
    <w:rsid w:val="712C616B"/>
    <w:rsid w:val="716623D8"/>
    <w:rsid w:val="717853D2"/>
    <w:rsid w:val="7181564E"/>
    <w:rsid w:val="71986926"/>
    <w:rsid w:val="71D30420"/>
    <w:rsid w:val="71DF2D76"/>
    <w:rsid w:val="71EB618A"/>
    <w:rsid w:val="720274C7"/>
    <w:rsid w:val="723B1C25"/>
    <w:rsid w:val="72494B7E"/>
    <w:rsid w:val="724A6C40"/>
    <w:rsid w:val="72680649"/>
    <w:rsid w:val="7270439A"/>
    <w:rsid w:val="72A44E25"/>
    <w:rsid w:val="72AD3C3E"/>
    <w:rsid w:val="72B17886"/>
    <w:rsid w:val="72F6728F"/>
    <w:rsid w:val="72F93214"/>
    <w:rsid w:val="72F951CB"/>
    <w:rsid w:val="731E5A4F"/>
    <w:rsid w:val="734058F2"/>
    <w:rsid w:val="73405D20"/>
    <w:rsid w:val="73450B48"/>
    <w:rsid w:val="73533405"/>
    <w:rsid w:val="735864CD"/>
    <w:rsid w:val="735D00A2"/>
    <w:rsid w:val="738C1A7E"/>
    <w:rsid w:val="739738F2"/>
    <w:rsid w:val="7398240A"/>
    <w:rsid w:val="73A43514"/>
    <w:rsid w:val="73A62324"/>
    <w:rsid w:val="73B03F2F"/>
    <w:rsid w:val="73B06CA3"/>
    <w:rsid w:val="73EA6A1E"/>
    <w:rsid w:val="740E502E"/>
    <w:rsid w:val="740F6049"/>
    <w:rsid w:val="74181687"/>
    <w:rsid w:val="7419119E"/>
    <w:rsid w:val="74206AF2"/>
    <w:rsid w:val="74222953"/>
    <w:rsid w:val="742611BB"/>
    <w:rsid w:val="7435286E"/>
    <w:rsid w:val="7435536C"/>
    <w:rsid w:val="744103A2"/>
    <w:rsid w:val="744557DB"/>
    <w:rsid w:val="74490138"/>
    <w:rsid w:val="745C6B80"/>
    <w:rsid w:val="7474057A"/>
    <w:rsid w:val="748B64ED"/>
    <w:rsid w:val="749A2BC0"/>
    <w:rsid w:val="74B96C22"/>
    <w:rsid w:val="74BE1CCE"/>
    <w:rsid w:val="74C81897"/>
    <w:rsid w:val="74C9428C"/>
    <w:rsid w:val="74D64153"/>
    <w:rsid w:val="74EC7749"/>
    <w:rsid w:val="750713FD"/>
    <w:rsid w:val="750E398F"/>
    <w:rsid w:val="751403C5"/>
    <w:rsid w:val="75144D2E"/>
    <w:rsid w:val="75201BB9"/>
    <w:rsid w:val="75205ADF"/>
    <w:rsid w:val="75380B6A"/>
    <w:rsid w:val="753E4383"/>
    <w:rsid w:val="753F42BB"/>
    <w:rsid w:val="754E2957"/>
    <w:rsid w:val="756263A8"/>
    <w:rsid w:val="75851C3E"/>
    <w:rsid w:val="75B16CE6"/>
    <w:rsid w:val="75B93F05"/>
    <w:rsid w:val="75C00F7B"/>
    <w:rsid w:val="75D37E0B"/>
    <w:rsid w:val="75E95C2A"/>
    <w:rsid w:val="76087579"/>
    <w:rsid w:val="760A1879"/>
    <w:rsid w:val="76122D2E"/>
    <w:rsid w:val="761E33EC"/>
    <w:rsid w:val="762410ED"/>
    <w:rsid w:val="762862FF"/>
    <w:rsid w:val="762E33FE"/>
    <w:rsid w:val="76371FD9"/>
    <w:rsid w:val="763E2F90"/>
    <w:rsid w:val="76506E84"/>
    <w:rsid w:val="765A17A5"/>
    <w:rsid w:val="765D56BE"/>
    <w:rsid w:val="767F4BC3"/>
    <w:rsid w:val="767F5024"/>
    <w:rsid w:val="7693293C"/>
    <w:rsid w:val="769651FE"/>
    <w:rsid w:val="769A46E3"/>
    <w:rsid w:val="769B2B54"/>
    <w:rsid w:val="76AE2C2B"/>
    <w:rsid w:val="76C86BD6"/>
    <w:rsid w:val="76CD0AAD"/>
    <w:rsid w:val="76D241B0"/>
    <w:rsid w:val="76D56D1E"/>
    <w:rsid w:val="76D60E0E"/>
    <w:rsid w:val="772606FA"/>
    <w:rsid w:val="772A48C4"/>
    <w:rsid w:val="776774C1"/>
    <w:rsid w:val="776E2DE6"/>
    <w:rsid w:val="777B0EA0"/>
    <w:rsid w:val="777D784F"/>
    <w:rsid w:val="77832E6C"/>
    <w:rsid w:val="77862161"/>
    <w:rsid w:val="779561C4"/>
    <w:rsid w:val="77A34BA1"/>
    <w:rsid w:val="77B72299"/>
    <w:rsid w:val="77CF229D"/>
    <w:rsid w:val="77D147C1"/>
    <w:rsid w:val="77D63F86"/>
    <w:rsid w:val="77DA62FB"/>
    <w:rsid w:val="77F765AB"/>
    <w:rsid w:val="77F8250D"/>
    <w:rsid w:val="77F83B17"/>
    <w:rsid w:val="78151CFF"/>
    <w:rsid w:val="781D2623"/>
    <w:rsid w:val="7826505B"/>
    <w:rsid w:val="78352167"/>
    <w:rsid w:val="7836745F"/>
    <w:rsid w:val="783908FA"/>
    <w:rsid w:val="783B7552"/>
    <w:rsid w:val="785D0922"/>
    <w:rsid w:val="785D53B1"/>
    <w:rsid w:val="785D761B"/>
    <w:rsid w:val="78641908"/>
    <w:rsid w:val="7882171C"/>
    <w:rsid w:val="78857E97"/>
    <w:rsid w:val="788B2C37"/>
    <w:rsid w:val="78984B5F"/>
    <w:rsid w:val="78B45F20"/>
    <w:rsid w:val="78B46356"/>
    <w:rsid w:val="78C63962"/>
    <w:rsid w:val="78C90B25"/>
    <w:rsid w:val="78D155A1"/>
    <w:rsid w:val="790E77C2"/>
    <w:rsid w:val="79177D88"/>
    <w:rsid w:val="79205BEA"/>
    <w:rsid w:val="79255340"/>
    <w:rsid w:val="792747AE"/>
    <w:rsid w:val="79337AB2"/>
    <w:rsid w:val="79420E94"/>
    <w:rsid w:val="7979210C"/>
    <w:rsid w:val="79846016"/>
    <w:rsid w:val="799F1E50"/>
    <w:rsid w:val="79A82C8C"/>
    <w:rsid w:val="79B15C6C"/>
    <w:rsid w:val="79C15FB8"/>
    <w:rsid w:val="79CB7825"/>
    <w:rsid w:val="79DD0B69"/>
    <w:rsid w:val="79EC6EBC"/>
    <w:rsid w:val="7A035519"/>
    <w:rsid w:val="7A0B1706"/>
    <w:rsid w:val="7A0C2CB7"/>
    <w:rsid w:val="7A0E0595"/>
    <w:rsid w:val="7A2D3656"/>
    <w:rsid w:val="7A4430A5"/>
    <w:rsid w:val="7A4E2EB9"/>
    <w:rsid w:val="7A500D5D"/>
    <w:rsid w:val="7A535196"/>
    <w:rsid w:val="7A6303F6"/>
    <w:rsid w:val="7A6606D2"/>
    <w:rsid w:val="7A6D0463"/>
    <w:rsid w:val="7A9205B6"/>
    <w:rsid w:val="7AB30165"/>
    <w:rsid w:val="7AB67F3F"/>
    <w:rsid w:val="7ADB5C4A"/>
    <w:rsid w:val="7AED4393"/>
    <w:rsid w:val="7AF76220"/>
    <w:rsid w:val="7AFE0FA8"/>
    <w:rsid w:val="7B0B237D"/>
    <w:rsid w:val="7B255631"/>
    <w:rsid w:val="7B3466A4"/>
    <w:rsid w:val="7B5F34F8"/>
    <w:rsid w:val="7B615082"/>
    <w:rsid w:val="7B745865"/>
    <w:rsid w:val="7B7A25CC"/>
    <w:rsid w:val="7B8240A0"/>
    <w:rsid w:val="7B86620B"/>
    <w:rsid w:val="7BAD5E27"/>
    <w:rsid w:val="7BAE570F"/>
    <w:rsid w:val="7BB40324"/>
    <w:rsid w:val="7BC36D99"/>
    <w:rsid w:val="7BCE6A3D"/>
    <w:rsid w:val="7BEA12F0"/>
    <w:rsid w:val="7C0206CC"/>
    <w:rsid w:val="7C104F90"/>
    <w:rsid w:val="7C2373F5"/>
    <w:rsid w:val="7C366A9D"/>
    <w:rsid w:val="7C3C3698"/>
    <w:rsid w:val="7C5117E7"/>
    <w:rsid w:val="7C5D0B74"/>
    <w:rsid w:val="7C67094B"/>
    <w:rsid w:val="7C6A776F"/>
    <w:rsid w:val="7C776C17"/>
    <w:rsid w:val="7C7F3C60"/>
    <w:rsid w:val="7C8D2ED8"/>
    <w:rsid w:val="7C9F5034"/>
    <w:rsid w:val="7CA0257C"/>
    <w:rsid w:val="7CC14581"/>
    <w:rsid w:val="7CF8230A"/>
    <w:rsid w:val="7CFB26DA"/>
    <w:rsid w:val="7D0E28FD"/>
    <w:rsid w:val="7D1919E1"/>
    <w:rsid w:val="7D1B2715"/>
    <w:rsid w:val="7D2009F0"/>
    <w:rsid w:val="7D292996"/>
    <w:rsid w:val="7D3E403A"/>
    <w:rsid w:val="7D4130E1"/>
    <w:rsid w:val="7D530CCC"/>
    <w:rsid w:val="7D722BF5"/>
    <w:rsid w:val="7D8204E9"/>
    <w:rsid w:val="7DA21EFA"/>
    <w:rsid w:val="7DAA4D53"/>
    <w:rsid w:val="7DAA7827"/>
    <w:rsid w:val="7DCE33A1"/>
    <w:rsid w:val="7DD41A68"/>
    <w:rsid w:val="7DDA1356"/>
    <w:rsid w:val="7DDA1D0F"/>
    <w:rsid w:val="7DE74179"/>
    <w:rsid w:val="7DF872E8"/>
    <w:rsid w:val="7DFB5C24"/>
    <w:rsid w:val="7E016257"/>
    <w:rsid w:val="7E0C5D46"/>
    <w:rsid w:val="7E361CAD"/>
    <w:rsid w:val="7E3F45F5"/>
    <w:rsid w:val="7E405B9C"/>
    <w:rsid w:val="7E4C5DA0"/>
    <w:rsid w:val="7E585EA8"/>
    <w:rsid w:val="7E5A5FB4"/>
    <w:rsid w:val="7E9C71A5"/>
    <w:rsid w:val="7EA73D78"/>
    <w:rsid w:val="7EBB1E77"/>
    <w:rsid w:val="7EC03938"/>
    <w:rsid w:val="7EC655F3"/>
    <w:rsid w:val="7F1A680D"/>
    <w:rsid w:val="7F223B10"/>
    <w:rsid w:val="7F232C90"/>
    <w:rsid w:val="7F271D96"/>
    <w:rsid w:val="7F426A7F"/>
    <w:rsid w:val="7F6D1868"/>
    <w:rsid w:val="7F751B38"/>
    <w:rsid w:val="7F873E8D"/>
    <w:rsid w:val="7F881135"/>
    <w:rsid w:val="7F900EB1"/>
    <w:rsid w:val="7F9D64BD"/>
    <w:rsid w:val="7FA36FC0"/>
    <w:rsid w:val="7FAF4C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FFFFFF"/>
    </o:shapedefaults>
    <o:shapelayout v:ext="edit">
      <o:idmap v:ext="edit" data="1"/>
      <o:rules v:ext="edit">
        <o:r id="V:Rule1" type="connector" idref="#_x0000_s1046"/>
        <o:r id="V:Rule2" type="connector" idref="#_x0000_s104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8"/>
      <w:szCs w:val="22"/>
      <w:lang w:val="en-US" w:eastAsia="zh-CN" w:bidi="ar-SA"/>
    </w:rPr>
  </w:style>
  <w:style w:type="paragraph" w:styleId="4">
    <w:name w:val="heading 1"/>
    <w:basedOn w:val="1"/>
    <w:next w:val="1"/>
    <w:link w:val="101"/>
    <w:qFormat/>
    <w:uiPriority w:val="0"/>
    <w:pPr>
      <w:keepNext/>
      <w:keepLines/>
      <w:tabs>
        <w:tab w:val="left" w:pos="1230"/>
      </w:tabs>
      <w:spacing w:before="240" w:after="120"/>
      <w:ind w:left="1230" w:hanging="1230"/>
      <w:jc w:val="center"/>
      <w:outlineLvl w:val="0"/>
    </w:pPr>
    <w:rPr>
      <w:rFonts w:eastAsia="Cambria"/>
      <w:b/>
      <w:bCs/>
      <w:kern w:val="44"/>
      <w:sz w:val="42"/>
    </w:rPr>
  </w:style>
  <w:style w:type="paragraph" w:styleId="5">
    <w:name w:val="heading 2"/>
    <w:basedOn w:val="1"/>
    <w:next w:val="6"/>
    <w:link w:val="55"/>
    <w:qFormat/>
    <w:uiPriority w:val="0"/>
    <w:pPr>
      <w:keepNext/>
      <w:keepLines/>
      <w:spacing w:before="260" w:after="260" w:line="416" w:lineRule="auto"/>
      <w:outlineLvl w:val="1"/>
    </w:pPr>
    <w:rPr>
      <w:rFonts w:ascii="Courier New" w:hAnsi="Courier New" w:eastAsia="Calibri Light" w:cs="Times New Roman"/>
      <w:b/>
      <w:bCs/>
      <w:sz w:val="32"/>
      <w:szCs w:val="32"/>
      <w:lang w:eastAsia="en-US"/>
    </w:rPr>
  </w:style>
  <w:style w:type="paragraph" w:styleId="7">
    <w:name w:val="heading 3"/>
    <w:basedOn w:val="1"/>
    <w:next w:val="1"/>
    <w:link w:val="59"/>
    <w:qFormat/>
    <w:uiPriority w:val="0"/>
    <w:pPr>
      <w:keepNext/>
      <w:keepLines/>
      <w:spacing w:before="120" w:after="120" w:line="460" w:lineRule="exact"/>
      <w:outlineLvl w:val="2"/>
    </w:pPr>
    <w:rPr>
      <w:rFonts w:eastAsia="Calibri" w:cs="Times New Roman"/>
      <w:b/>
      <w:color w:val="000000"/>
      <w:sz w:val="26"/>
      <w:szCs w:val="24"/>
      <w:lang w:eastAsia="en-US"/>
    </w:rPr>
  </w:style>
  <w:style w:type="paragraph" w:styleId="8">
    <w:name w:val="heading 4"/>
    <w:basedOn w:val="1"/>
    <w:next w:val="1"/>
    <w:link w:val="94"/>
    <w:unhideWhenUsed/>
    <w:qFormat/>
    <w:uiPriority w:val="0"/>
    <w:pPr>
      <w:keepNext/>
      <w:keepLines/>
      <w:spacing w:before="280" w:after="290" w:line="376" w:lineRule="auto"/>
      <w:outlineLvl w:val="3"/>
    </w:pPr>
    <w:rPr>
      <w:rFonts w:ascii="Cambria" w:hAnsi="Cambria" w:cs="Times New Roman"/>
      <w:b/>
      <w:bCs/>
      <w:szCs w:val="28"/>
    </w:rPr>
  </w:style>
  <w:style w:type="paragraph" w:styleId="9">
    <w:name w:val="heading 6"/>
    <w:basedOn w:val="1"/>
    <w:next w:val="1"/>
    <w:link w:val="45"/>
    <w:qFormat/>
    <w:uiPriority w:val="0"/>
    <w:pPr>
      <w:keepNext/>
      <w:keepLines/>
      <w:spacing w:before="240" w:after="64" w:line="320" w:lineRule="auto"/>
      <w:outlineLvl w:val="5"/>
    </w:pPr>
    <w:rPr>
      <w:rFonts w:ascii="仿宋_GB2312" w:hAnsi="仿宋_GB2312" w:eastAsia="Calibri Light" w:cs="Times New Roman"/>
      <w:b/>
      <w:bCs/>
      <w:sz w:val="24"/>
      <w:szCs w:val="24"/>
      <w:lang w:eastAsia="en-US"/>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89"/>
    <w:qFormat/>
    <w:uiPriority w:val="0"/>
    <w:pPr>
      <w:spacing w:line="360" w:lineRule="auto"/>
      <w:ind w:firstLine="465"/>
    </w:pPr>
    <w:rPr>
      <w:spacing w:val="6"/>
      <w:sz w:val="24"/>
    </w:rPr>
  </w:style>
  <w:style w:type="paragraph" w:styleId="3">
    <w:name w:val="Body Text"/>
    <w:basedOn w:val="1"/>
    <w:link w:val="53"/>
    <w:qFormat/>
    <w:uiPriority w:val="0"/>
    <w:pPr>
      <w:spacing w:line="360" w:lineRule="auto"/>
      <w:jc w:val="left"/>
    </w:pPr>
    <w:rPr>
      <w:rFonts w:eastAsia="Calibri" w:cs="Times New Roman"/>
      <w:b/>
      <w:sz w:val="24"/>
      <w:lang w:eastAsia="en-US"/>
    </w:rPr>
  </w:style>
  <w:style w:type="paragraph" w:styleId="6">
    <w:name w:val="Body Text First Indent"/>
    <w:basedOn w:val="3"/>
    <w:qFormat/>
    <w:uiPriority w:val="0"/>
    <w:pPr>
      <w:snapToGrid w:val="0"/>
      <w:ind w:firstLine="200" w:firstLineChars="200"/>
      <w:jc w:val="both"/>
    </w:pPr>
    <w:rPr>
      <w:szCs w:val="24"/>
      <w:lang w:eastAsia="zh-CN"/>
    </w:rPr>
  </w:style>
  <w:style w:type="paragraph" w:styleId="10">
    <w:name w:val="Note Heading"/>
    <w:basedOn w:val="1"/>
    <w:next w:val="1"/>
    <w:qFormat/>
    <w:uiPriority w:val="0"/>
    <w:pPr>
      <w:jc w:val="center"/>
    </w:pPr>
    <w:rPr>
      <w:sz w:val="21"/>
    </w:rPr>
  </w:style>
  <w:style w:type="paragraph" w:styleId="11">
    <w:name w:val="Normal Indent"/>
    <w:basedOn w:val="1"/>
    <w:link w:val="43"/>
    <w:qFormat/>
    <w:uiPriority w:val="0"/>
    <w:rPr>
      <w:rFonts w:ascii="Arial Narrow" w:hAnsi="Arial Narrow" w:eastAsia="Calibri" w:cs="Times New Roman"/>
      <w:b/>
      <w:szCs w:val="20"/>
      <w:lang w:eastAsia="en-US"/>
    </w:rPr>
  </w:style>
  <w:style w:type="paragraph" w:styleId="12">
    <w:name w:val="caption"/>
    <w:basedOn w:val="1"/>
    <w:next w:val="1"/>
    <w:qFormat/>
    <w:uiPriority w:val="0"/>
    <w:rPr>
      <w:rFonts w:ascii="Arial Narrow" w:hAnsi="Arial Narrow" w:eastAsia="Cambria" w:cs="Arial Narrow"/>
      <w:sz w:val="20"/>
      <w:szCs w:val="20"/>
    </w:rPr>
  </w:style>
  <w:style w:type="paragraph" w:styleId="13">
    <w:name w:val="toa heading"/>
    <w:basedOn w:val="1"/>
    <w:next w:val="1"/>
    <w:qFormat/>
    <w:uiPriority w:val="0"/>
    <w:pPr>
      <w:adjustRightInd w:val="0"/>
      <w:snapToGrid w:val="0"/>
      <w:spacing w:before="120" w:line="312" w:lineRule="auto"/>
    </w:pPr>
    <w:rPr>
      <w:rFonts w:ascii="Arial Narrow" w:hAnsi="Arial Narrow" w:cs="Arial Narrow"/>
      <w:sz w:val="24"/>
    </w:rPr>
  </w:style>
  <w:style w:type="paragraph" w:styleId="14">
    <w:name w:val="annotation text"/>
    <w:basedOn w:val="1"/>
    <w:link w:val="46"/>
    <w:qFormat/>
    <w:uiPriority w:val="0"/>
    <w:pPr>
      <w:jc w:val="left"/>
    </w:pPr>
    <w:rPr>
      <w:rFonts w:eastAsia="Calibri" w:cs="Times New Roman"/>
      <w:b/>
      <w:lang w:eastAsia="en-US"/>
    </w:rPr>
  </w:style>
  <w:style w:type="paragraph" w:styleId="15">
    <w:name w:val="Block Text"/>
    <w:basedOn w:val="1"/>
    <w:qFormat/>
    <w:uiPriority w:val="0"/>
    <w:pPr>
      <w:spacing w:line="460" w:lineRule="atLeast"/>
      <w:ind w:left="108" w:right="170" w:firstLine="499"/>
    </w:pPr>
    <w:rPr>
      <w:sz w:val="24"/>
    </w:rPr>
  </w:style>
  <w:style w:type="paragraph" w:styleId="16">
    <w:name w:val="Plain Text"/>
    <w:basedOn w:val="1"/>
    <w:link w:val="36"/>
    <w:qFormat/>
    <w:uiPriority w:val="0"/>
    <w:rPr>
      <w:rFonts w:hint="eastAsia" w:ascii="Calibri Light" w:hAnsi="Cambria Math" w:eastAsia="Calibri Light" w:cs="Times New Roman"/>
      <w:b/>
      <w:sz w:val="21"/>
      <w:lang w:eastAsia="en-US"/>
    </w:rPr>
  </w:style>
  <w:style w:type="paragraph" w:styleId="17">
    <w:name w:val="Body Text Indent 2"/>
    <w:basedOn w:val="1"/>
    <w:qFormat/>
    <w:uiPriority w:val="0"/>
    <w:pPr>
      <w:spacing w:line="360" w:lineRule="auto"/>
      <w:ind w:firstLine="457" w:firstLineChars="200"/>
    </w:pPr>
    <w:rPr>
      <w:b/>
      <w:bCs/>
      <w:sz w:val="24"/>
    </w:rPr>
  </w:style>
  <w:style w:type="paragraph" w:styleId="18">
    <w:name w:val="Balloon Text"/>
    <w:basedOn w:val="1"/>
    <w:link w:val="63"/>
    <w:qFormat/>
    <w:uiPriority w:val="0"/>
    <w:rPr>
      <w:rFonts w:cs="Times New Roman"/>
      <w:sz w:val="18"/>
      <w:szCs w:val="18"/>
    </w:rPr>
  </w:style>
  <w:style w:type="paragraph" w:styleId="19">
    <w:name w:val="footer"/>
    <w:basedOn w:val="1"/>
    <w:link w:val="93"/>
    <w:qFormat/>
    <w:uiPriority w:val="99"/>
    <w:pPr>
      <w:tabs>
        <w:tab w:val="center" w:pos="4153"/>
        <w:tab w:val="right" w:pos="8306"/>
      </w:tabs>
      <w:snapToGrid w:val="0"/>
      <w:jc w:val="left"/>
    </w:pPr>
    <w:rPr>
      <w:rFonts w:ascii="Calibri" w:hAnsi="Calibri" w:eastAsia="Calibri Light"/>
      <w:color w:val="000000"/>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List"/>
    <w:basedOn w:val="1"/>
    <w:link w:val="105"/>
    <w:qFormat/>
    <w:uiPriority w:val="0"/>
    <w:pPr>
      <w:numPr>
        <w:ilvl w:val="0"/>
        <w:numId w:val="1"/>
      </w:numPr>
      <w:tabs>
        <w:tab w:val="left" w:pos="420"/>
      </w:tabs>
      <w:ind w:left="0" w:firstLine="763" w:firstLineChars="200"/>
    </w:pPr>
    <w:rPr>
      <w:rFonts w:eastAsia="黑体"/>
      <w:sz w:val="21"/>
    </w:rPr>
  </w:style>
  <w:style w:type="paragraph" w:styleId="22">
    <w:name w:val="Body Text Indent 3"/>
    <w:basedOn w:val="1"/>
    <w:qFormat/>
    <w:uiPriority w:val="0"/>
    <w:pPr>
      <w:spacing w:line="360" w:lineRule="auto"/>
      <w:ind w:firstLine="480"/>
      <w:jc w:val="left"/>
    </w:pPr>
    <w:rPr>
      <w:sz w:val="24"/>
    </w:rPr>
  </w:style>
  <w:style w:type="paragraph" w:styleId="23">
    <w:name w:val="Normal (Web)"/>
    <w:basedOn w:val="1"/>
    <w:qFormat/>
    <w:uiPriority w:val="0"/>
    <w:pPr>
      <w:widowControl/>
      <w:spacing w:before="100" w:beforeAutospacing="1" w:after="100" w:afterAutospacing="1"/>
      <w:jc w:val="left"/>
    </w:pPr>
    <w:rPr>
      <w:rFonts w:ascii="Calibri Light" w:hAnsi="Calibri Light"/>
      <w:kern w:val="0"/>
      <w:sz w:val="24"/>
      <w:szCs w:val="24"/>
    </w:rPr>
  </w:style>
  <w:style w:type="paragraph" w:styleId="24">
    <w:name w:val="annotation subject"/>
    <w:basedOn w:val="14"/>
    <w:next w:val="14"/>
    <w:link w:val="61"/>
    <w:qFormat/>
    <w:uiPriority w:val="0"/>
    <w:rPr>
      <w:bCs/>
    </w:rPr>
  </w:style>
  <w:style w:type="paragraph" w:styleId="25">
    <w:name w:val="Body Text First Indent 2"/>
    <w:basedOn w:val="2"/>
    <w:next w:val="1"/>
    <w:link w:val="90"/>
    <w:qFormat/>
    <w:uiPriority w:val="0"/>
    <w:pPr>
      <w:spacing w:after="120" w:line="240" w:lineRule="auto"/>
      <w:ind w:left="420" w:leftChars="200" w:firstLine="420" w:firstLineChars="200"/>
    </w:pPr>
    <w:rPr>
      <w:spacing w:val="0"/>
      <w:sz w:val="28"/>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rPr>
      <w:rFonts w:ascii="Calibri" w:hAnsi="Calibri" w:eastAsia="Calibri Light"/>
      <w:color w:val="000000"/>
      <w:sz w:val="24"/>
      <w:szCs w:val="24"/>
    </w:rPr>
  </w:style>
  <w:style w:type="character" w:styleId="30">
    <w:name w:val="FollowedHyperlink"/>
    <w:basedOn w:val="28"/>
    <w:qFormat/>
    <w:uiPriority w:val="0"/>
    <w:rPr>
      <w:color w:val="000000"/>
      <w:u w:val="none"/>
    </w:rPr>
  </w:style>
  <w:style w:type="character" w:styleId="31">
    <w:name w:val="Hyperlink"/>
    <w:unhideWhenUsed/>
    <w:qFormat/>
    <w:uiPriority w:val="99"/>
    <w:rPr>
      <w:rFonts w:ascii="Arial Narrow" w:hAnsi="Arial Narrow" w:eastAsia="Calibri" w:cs="楷体_GB2312"/>
      <w:b/>
      <w:color w:val="0000FF"/>
      <w:kern w:val="0"/>
      <w:sz w:val="24"/>
      <w:u w:val="single"/>
      <w:lang w:eastAsia="en-US"/>
    </w:rPr>
  </w:style>
  <w:style w:type="character" w:styleId="32">
    <w:name w:val="annotation reference"/>
    <w:qFormat/>
    <w:uiPriority w:val="0"/>
    <w:rPr>
      <w:rFonts w:ascii="Arial Narrow" w:hAnsi="Arial Narrow" w:eastAsia="Calibri" w:cs="楷体_GB2312"/>
      <w:b/>
      <w:kern w:val="0"/>
      <w:sz w:val="21"/>
      <w:szCs w:val="21"/>
      <w:lang w:eastAsia="en-US"/>
    </w:rPr>
  </w:style>
  <w:style w:type="paragraph" w:customStyle="1" w:styleId="33">
    <w:name w:val="Default"/>
    <w:qFormat/>
    <w:uiPriority w:val="0"/>
    <w:pPr>
      <w:widowControl w:val="0"/>
      <w:autoSpaceDE w:val="0"/>
      <w:autoSpaceDN w:val="0"/>
      <w:adjustRightInd w:val="0"/>
      <w:spacing w:line="460" w:lineRule="exact"/>
      <w:jc w:val="center"/>
    </w:pPr>
    <w:rPr>
      <w:rFonts w:ascii="黑体" w:hAnsi="Calibri" w:eastAsia="黑体" w:cs="黑体"/>
      <w:color w:val="000000"/>
      <w:sz w:val="24"/>
      <w:szCs w:val="24"/>
      <w:lang w:val="en-US" w:eastAsia="zh-CN" w:bidi="ar-SA"/>
    </w:rPr>
  </w:style>
  <w:style w:type="paragraph" w:customStyle="1" w:styleId="34">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character" w:customStyle="1" w:styleId="35">
    <w:name w:val="正文文本 (2)1"/>
    <w:qFormat/>
    <w:uiPriority w:val="0"/>
    <w:rPr>
      <w:rFonts w:hint="eastAsia" w:ascii="Calibri Light" w:hAnsi="Calibri Light" w:eastAsia="Calibri Light" w:cs="楷体_GB2312"/>
      <w:b/>
      <w:kern w:val="0"/>
      <w:sz w:val="22"/>
      <w:lang w:eastAsia="en-US"/>
    </w:rPr>
  </w:style>
  <w:style w:type="character" w:customStyle="1" w:styleId="36">
    <w:name w:val="纯文本 Char"/>
    <w:link w:val="16"/>
    <w:qFormat/>
    <w:uiPriority w:val="0"/>
    <w:rPr>
      <w:rFonts w:hint="eastAsia" w:ascii="Calibri Light" w:hAnsi="Cambria Math" w:eastAsia="Calibri Light" w:cs="Calibri Light"/>
      <w:b/>
      <w:kern w:val="2"/>
      <w:sz w:val="21"/>
      <w:szCs w:val="22"/>
      <w:lang w:eastAsia="en-US"/>
    </w:rPr>
  </w:style>
  <w:style w:type="character" w:customStyle="1" w:styleId="37">
    <w:name w:val="font21"/>
    <w:basedOn w:val="28"/>
    <w:qFormat/>
    <w:uiPriority w:val="0"/>
    <w:rPr>
      <w:rFonts w:hint="default" w:ascii="Georgia" w:hAnsi="Georgia" w:eastAsia="Calibri" w:cs="楷体_GB2312"/>
      <w:color w:val="000000"/>
      <w:kern w:val="0"/>
      <w:sz w:val="20"/>
      <w:szCs w:val="20"/>
      <w:u w:val="none"/>
      <w:lang w:eastAsia="en-US"/>
    </w:rPr>
  </w:style>
  <w:style w:type="character" w:customStyle="1" w:styleId="38">
    <w:name w:val="font11"/>
    <w:basedOn w:val="28"/>
    <w:qFormat/>
    <w:uiPriority w:val="0"/>
    <w:rPr>
      <w:rFonts w:hint="default" w:ascii="Calibri" w:hAnsi="Calibri" w:eastAsia="Calibri" w:cs="Calibri"/>
      <w:b/>
      <w:bCs/>
      <w:color w:val="000000"/>
      <w:kern w:val="0"/>
      <w:sz w:val="21"/>
      <w:szCs w:val="21"/>
      <w:u w:val="none"/>
      <w:vertAlign w:val="superscript"/>
      <w:lang w:eastAsia="en-US"/>
    </w:rPr>
  </w:style>
  <w:style w:type="character" w:customStyle="1" w:styleId="39">
    <w:name w:val="font01"/>
    <w:basedOn w:val="28"/>
    <w:qFormat/>
    <w:uiPriority w:val="0"/>
    <w:rPr>
      <w:rFonts w:hint="default" w:ascii="Calibri" w:hAnsi="Calibri" w:eastAsia="Calibri" w:cs="Calibri"/>
      <w:color w:val="000000"/>
      <w:kern w:val="0"/>
      <w:sz w:val="21"/>
      <w:szCs w:val="21"/>
      <w:u w:val="none"/>
      <w:vertAlign w:val="subscript"/>
      <w:lang w:eastAsia="en-US"/>
    </w:rPr>
  </w:style>
  <w:style w:type="character" w:customStyle="1" w:styleId="40">
    <w:name w:val="font31"/>
    <w:basedOn w:val="28"/>
    <w:qFormat/>
    <w:uiPriority w:val="0"/>
    <w:rPr>
      <w:rFonts w:hint="default" w:ascii="Georgia" w:hAnsi="Georgia" w:eastAsia="Calibri" w:cs="楷体_GB2312"/>
      <w:b/>
      <w:bCs/>
      <w:color w:val="000000"/>
      <w:kern w:val="0"/>
      <w:sz w:val="21"/>
      <w:szCs w:val="21"/>
      <w:u w:val="none"/>
      <w:lang w:eastAsia="en-US"/>
    </w:rPr>
  </w:style>
  <w:style w:type="character" w:customStyle="1" w:styleId="41">
    <w:name w:val="正文文本 (2)_"/>
    <w:link w:val="42"/>
    <w:qFormat/>
    <w:uiPriority w:val="0"/>
    <w:rPr>
      <w:rFonts w:hint="eastAsia" w:ascii="Calibri Light" w:hAnsi="Calibri Light" w:eastAsia="Calibri Light" w:cs="楷体_GB2312"/>
      <w:b/>
      <w:kern w:val="0"/>
      <w:sz w:val="22"/>
      <w:lang w:eastAsia="en-US"/>
    </w:rPr>
  </w:style>
  <w:style w:type="paragraph" w:customStyle="1" w:styleId="42">
    <w:name w:val="正文文本 (2)"/>
    <w:basedOn w:val="1"/>
    <w:link w:val="41"/>
    <w:qFormat/>
    <w:uiPriority w:val="0"/>
    <w:pPr>
      <w:shd w:val="clear" w:color="auto" w:fill="FFFFFF"/>
      <w:spacing w:line="466" w:lineRule="exact"/>
      <w:ind w:hanging="540"/>
      <w:jc w:val="distribute"/>
    </w:pPr>
    <w:rPr>
      <w:rFonts w:hint="eastAsia" w:ascii="Calibri Light" w:hAnsi="Calibri Light" w:eastAsia="Calibri Light" w:cs="Times New Roman"/>
      <w:b/>
      <w:kern w:val="0"/>
      <w:sz w:val="22"/>
      <w:szCs w:val="20"/>
      <w:lang w:eastAsia="en-US"/>
    </w:rPr>
  </w:style>
  <w:style w:type="character" w:customStyle="1" w:styleId="43">
    <w:name w:val="正文缩进 Char"/>
    <w:link w:val="11"/>
    <w:qFormat/>
    <w:uiPriority w:val="0"/>
    <w:rPr>
      <w:rFonts w:ascii="Arial Narrow" w:hAnsi="Arial Narrow" w:eastAsia="Calibri" w:cs="楷体_GB2312"/>
      <w:b/>
      <w:kern w:val="2"/>
      <w:sz w:val="28"/>
      <w:lang w:eastAsia="en-US"/>
    </w:rPr>
  </w:style>
  <w:style w:type="character" w:customStyle="1" w:styleId="44">
    <w:name w:val="正文文本 (2) + Georgia Exact"/>
    <w:qFormat/>
    <w:uiPriority w:val="0"/>
    <w:rPr>
      <w:rFonts w:hint="default" w:ascii="Wingdings" w:hAnsi="Wingdings" w:eastAsia="Wingdings" w:cs="楷体_GB2312"/>
      <w:b/>
      <w:kern w:val="0"/>
      <w:sz w:val="22"/>
      <w:lang w:val="en-US" w:eastAsia="en-US"/>
    </w:rPr>
  </w:style>
  <w:style w:type="character" w:customStyle="1" w:styleId="45">
    <w:name w:val="标题 6 Char"/>
    <w:link w:val="9"/>
    <w:semiHidden/>
    <w:qFormat/>
    <w:uiPriority w:val="0"/>
    <w:rPr>
      <w:rFonts w:ascii="仿宋_GB2312" w:hAnsi="仿宋_GB2312" w:eastAsia="Calibri Light" w:cs="Calibri"/>
      <w:b/>
      <w:bCs/>
      <w:kern w:val="2"/>
      <w:sz w:val="24"/>
      <w:szCs w:val="24"/>
      <w:lang w:eastAsia="en-US"/>
    </w:rPr>
  </w:style>
  <w:style w:type="character" w:customStyle="1" w:styleId="46">
    <w:name w:val="批注文字 Char"/>
    <w:link w:val="14"/>
    <w:qFormat/>
    <w:uiPriority w:val="0"/>
    <w:rPr>
      <w:rFonts w:ascii="Georgia" w:hAnsi="Georgia" w:eastAsia="Calibri" w:cs="楷体_GB2312"/>
      <w:b/>
      <w:kern w:val="2"/>
      <w:sz w:val="28"/>
      <w:szCs w:val="22"/>
      <w:lang w:eastAsia="en-US"/>
    </w:rPr>
  </w:style>
  <w:style w:type="character" w:customStyle="1" w:styleId="47">
    <w:name w:val="font71"/>
    <w:qFormat/>
    <w:uiPriority w:val="0"/>
    <w:rPr>
      <w:rFonts w:hint="eastAsia" w:ascii="Calibri Light" w:hAnsi="Calibri Light" w:eastAsia="Calibri Light" w:cs="楷体_GB2312"/>
      <w:b/>
      <w:bCs/>
      <w:color w:val="000000"/>
      <w:kern w:val="0"/>
      <w:sz w:val="21"/>
      <w:szCs w:val="21"/>
      <w:u w:val="none"/>
      <w:lang w:eastAsia="en-US"/>
    </w:rPr>
  </w:style>
  <w:style w:type="character" w:customStyle="1" w:styleId="48">
    <w:name w:val="正文文本 (2) + 10 pt"/>
    <w:qFormat/>
    <w:uiPriority w:val="0"/>
    <w:rPr>
      <w:rFonts w:hint="eastAsia" w:ascii="Calibri Light" w:hAnsi="Calibri Light" w:eastAsia="Calibri Light" w:cs="楷体_GB2312"/>
      <w:kern w:val="0"/>
      <w:sz w:val="20"/>
      <w:lang w:eastAsia="en-US"/>
    </w:rPr>
  </w:style>
  <w:style w:type="character" w:customStyle="1" w:styleId="49">
    <w:name w:val="标题1"/>
    <w:basedOn w:val="28"/>
    <w:qFormat/>
    <w:uiPriority w:val="0"/>
  </w:style>
  <w:style w:type="character" w:customStyle="1" w:styleId="50">
    <w:name w:val="正文文本 (2) + Georgia"/>
    <w:qFormat/>
    <w:uiPriority w:val="0"/>
    <w:rPr>
      <w:rFonts w:hint="default" w:ascii="Wingdings" w:hAnsi="Wingdings" w:eastAsia="Wingdings" w:cs="楷体_GB2312"/>
      <w:b/>
      <w:kern w:val="0"/>
      <w:sz w:val="22"/>
      <w:lang w:val="en-US" w:eastAsia="en-US"/>
    </w:rPr>
  </w:style>
  <w:style w:type="character" w:customStyle="1" w:styleId="51">
    <w:name w:val="正文文本 (2) + Times New Roman"/>
    <w:unhideWhenUsed/>
    <w:qFormat/>
    <w:uiPriority w:val="99"/>
    <w:rPr>
      <w:rFonts w:hint="eastAsia" w:ascii="Calibri" w:hAnsi="Calibri" w:eastAsia="Calibri" w:cs="楷体_GB2312"/>
      <w:b/>
      <w:kern w:val="0"/>
      <w:sz w:val="12"/>
      <w:lang w:val="en-US" w:eastAsia="en-US"/>
    </w:rPr>
  </w:style>
  <w:style w:type="character" w:customStyle="1" w:styleId="52">
    <w:name w:val="font51"/>
    <w:qFormat/>
    <w:uiPriority w:val="0"/>
    <w:rPr>
      <w:rFonts w:hint="default" w:ascii="Georgia" w:hAnsi="Georgia" w:eastAsia="Calibri" w:cs="楷体_GB2312"/>
      <w:color w:val="000000"/>
      <w:kern w:val="0"/>
      <w:sz w:val="21"/>
      <w:szCs w:val="21"/>
      <w:u w:val="none"/>
      <w:lang w:eastAsia="en-US"/>
    </w:rPr>
  </w:style>
  <w:style w:type="character" w:customStyle="1" w:styleId="53">
    <w:name w:val="正文文本 Char"/>
    <w:link w:val="3"/>
    <w:qFormat/>
    <w:uiPriority w:val="0"/>
    <w:rPr>
      <w:rFonts w:hint="default" w:ascii="Georgia" w:hAnsi="Georgia" w:eastAsia="Calibri" w:cs="Georgia"/>
      <w:b/>
      <w:kern w:val="2"/>
      <w:sz w:val="24"/>
      <w:szCs w:val="22"/>
      <w:lang w:eastAsia="en-US"/>
    </w:rPr>
  </w:style>
  <w:style w:type="character" w:customStyle="1" w:styleId="54">
    <w:name w:val="font61"/>
    <w:qFormat/>
    <w:uiPriority w:val="0"/>
    <w:rPr>
      <w:rFonts w:hint="eastAsia" w:ascii="Calibri Light" w:hAnsi="Calibri Light" w:eastAsia="Calibri Light" w:cs="楷体_GB2312"/>
      <w:color w:val="000000"/>
      <w:kern w:val="0"/>
      <w:sz w:val="20"/>
      <w:szCs w:val="20"/>
      <w:u w:val="none"/>
      <w:lang w:eastAsia="en-US"/>
    </w:rPr>
  </w:style>
  <w:style w:type="character" w:customStyle="1" w:styleId="55">
    <w:name w:val="标题 2 Char"/>
    <w:link w:val="5"/>
    <w:qFormat/>
    <w:uiPriority w:val="0"/>
    <w:rPr>
      <w:rFonts w:ascii="Courier New" w:hAnsi="Courier New" w:eastAsia="Calibri Light" w:cs="Calibri"/>
      <w:b/>
      <w:bCs/>
      <w:kern w:val="2"/>
      <w:sz w:val="32"/>
      <w:szCs w:val="32"/>
      <w:lang w:eastAsia="en-US"/>
    </w:rPr>
  </w:style>
  <w:style w:type="character" w:customStyle="1" w:styleId="56">
    <w:name w:val="font81"/>
    <w:qFormat/>
    <w:uiPriority w:val="0"/>
    <w:rPr>
      <w:rFonts w:hint="eastAsia" w:ascii="Calibri Light" w:hAnsi="Calibri Light" w:eastAsia="Calibri Light" w:cs="楷体_GB2312"/>
      <w:color w:val="000000"/>
      <w:kern w:val="0"/>
      <w:sz w:val="21"/>
      <w:szCs w:val="21"/>
      <w:u w:val="none"/>
      <w:lang w:eastAsia="en-US"/>
    </w:rPr>
  </w:style>
  <w:style w:type="character" w:customStyle="1" w:styleId="57">
    <w:name w:val="a Char"/>
    <w:link w:val="58"/>
    <w:qFormat/>
    <w:uiPriority w:val="0"/>
    <w:rPr>
      <w:rFonts w:ascii="Calibri Light" w:hAnsi="Calibri Light" w:eastAsia="Calibri" w:cs="Cambria Math"/>
      <w:b/>
      <w:bCs/>
      <w:kern w:val="0"/>
      <w:sz w:val="28"/>
      <w:szCs w:val="21"/>
      <w:lang w:eastAsia="en-US"/>
    </w:rPr>
  </w:style>
  <w:style w:type="paragraph" w:customStyle="1" w:styleId="58">
    <w:name w:val="a"/>
    <w:basedOn w:val="1"/>
    <w:link w:val="57"/>
    <w:qFormat/>
    <w:uiPriority w:val="0"/>
    <w:pPr>
      <w:spacing w:line="540" w:lineRule="exact"/>
      <w:ind w:firstLine="200" w:firstLineChars="200"/>
    </w:pPr>
    <w:rPr>
      <w:rFonts w:ascii="Calibri Light" w:hAnsi="Calibri Light" w:eastAsia="Calibri" w:cs="Times New Roman"/>
      <w:b/>
      <w:bCs/>
      <w:kern w:val="0"/>
      <w:szCs w:val="21"/>
      <w:lang w:eastAsia="en-US"/>
    </w:rPr>
  </w:style>
  <w:style w:type="character" w:customStyle="1" w:styleId="59">
    <w:name w:val="标题 3 Char"/>
    <w:link w:val="7"/>
    <w:qFormat/>
    <w:uiPriority w:val="0"/>
    <w:rPr>
      <w:rFonts w:hint="default" w:ascii="Georgia" w:hAnsi="Georgia" w:eastAsia="Calibri" w:cs="Georgia"/>
      <w:b/>
      <w:color w:val="000000"/>
      <w:kern w:val="2"/>
      <w:sz w:val="26"/>
      <w:szCs w:val="24"/>
      <w:lang w:eastAsia="en-US"/>
    </w:rPr>
  </w:style>
  <w:style w:type="character" w:customStyle="1" w:styleId="60">
    <w:name w:val="正文文本 (2) Exact"/>
    <w:qFormat/>
    <w:uiPriority w:val="0"/>
    <w:rPr>
      <w:rFonts w:hint="eastAsia" w:ascii="Calibri Light" w:hAnsi="Calibri Light" w:eastAsia="Calibri Light" w:cs="楷体_GB2312"/>
      <w:b/>
      <w:kern w:val="0"/>
      <w:sz w:val="22"/>
      <w:lang w:eastAsia="en-US"/>
    </w:rPr>
  </w:style>
  <w:style w:type="character" w:customStyle="1" w:styleId="61">
    <w:name w:val="批注主题 Char"/>
    <w:link w:val="24"/>
    <w:qFormat/>
    <w:uiPriority w:val="0"/>
    <w:rPr>
      <w:rFonts w:ascii="Georgia" w:hAnsi="Georgia" w:eastAsia="Calibri" w:cs="楷体_GB2312"/>
      <w:b/>
      <w:bCs/>
      <w:kern w:val="2"/>
      <w:sz w:val="28"/>
      <w:szCs w:val="22"/>
      <w:lang w:eastAsia="en-US"/>
    </w:rPr>
  </w:style>
  <w:style w:type="character" w:customStyle="1" w:styleId="62">
    <w:name w:val="font41"/>
    <w:basedOn w:val="28"/>
    <w:qFormat/>
    <w:uiPriority w:val="0"/>
    <w:rPr>
      <w:rFonts w:hint="eastAsia" w:ascii="Calibri Light" w:hAnsi="Calibri Light" w:eastAsia="Calibri Light" w:cs="楷体_GB2312"/>
      <w:b/>
      <w:bCs/>
      <w:color w:val="000000"/>
      <w:kern w:val="0"/>
      <w:sz w:val="21"/>
      <w:szCs w:val="21"/>
      <w:u w:val="none"/>
      <w:lang w:eastAsia="en-US"/>
    </w:rPr>
  </w:style>
  <w:style w:type="character" w:customStyle="1" w:styleId="63">
    <w:name w:val="批注框文本 Char"/>
    <w:link w:val="18"/>
    <w:qFormat/>
    <w:uiPriority w:val="0"/>
    <w:rPr>
      <w:rFonts w:ascii="Georgia" w:hAnsi="Georgia"/>
      <w:kern w:val="2"/>
      <w:sz w:val="18"/>
      <w:szCs w:val="18"/>
    </w:rPr>
  </w:style>
  <w:style w:type="paragraph" w:customStyle="1" w:styleId="64">
    <w:name w:val="谢正文"/>
    <w:basedOn w:val="1"/>
    <w:qFormat/>
    <w:uiPriority w:val="0"/>
    <w:pPr>
      <w:tabs>
        <w:tab w:val="left" w:pos="544"/>
      </w:tabs>
      <w:adjustRightInd w:val="0"/>
      <w:spacing w:line="420" w:lineRule="exact"/>
      <w:ind w:firstLine="200" w:firstLineChars="200"/>
      <w:textAlignment w:val="center"/>
    </w:pPr>
    <w:rPr>
      <w:spacing w:val="8"/>
      <w:kern w:val="0"/>
    </w:rPr>
  </w:style>
  <w:style w:type="paragraph" w:customStyle="1" w:styleId="65">
    <w:name w:val="_Style 3"/>
    <w:qFormat/>
    <w:uiPriority w:val="1"/>
    <w:pPr>
      <w:widowControl w:val="0"/>
      <w:jc w:val="both"/>
    </w:pPr>
    <w:rPr>
      <w:rFonts w:ascii="Calibri" w:hAnsi="Calibri" w:eastAsia="宋体" w:cs="Calibri"/>
      <w:kern w:val="2"/>
      <w:sz w:val="21"/>
      <w:szCs w:val="24"/>
      <w:lang w:val="en-US" w:eastAsia="zh-CN" w:bidi="ar-SA"/>
    </w:rPr>
  </w:style>
  <w:style w:type="paragraph" w:customStyle="1" w:styleId="66">
    <w:name w:val="Char Char Char Char"/>
    <w:basedOn w:val="1"/>
    <w:qFormat/>
    <w:uiPriority w:val="0"/>
    <w:pPr>
      <w:snapToGrid w:val="0"/>
      <w:spacing w:line="360" w:lineRule="auto"/>
      <w:ind w:firstLine="200" w:firstLineChars="200"/>
    </w:pPr>
    <w:rPr>
      <w:rFonts w:eastAsia="Symbol Tiger Expert"/>
      <w:sz w:val="24"/>
      <w:szCs w:val="24"/>
    </w:rPr>
  </w:style>
  <w:style w:type="paragraph" w:customStyle="1" w:styleId="67">
    <w:name w:val="_Style 0"/>
    <w:qFormat/>
    <w:uiPriority w:val="1"/>
    <w:pPr>
      <w:widowControl w:val="0"/>
      <w:jc w:val="both"/>
    </w:pPr>
    <w:rPr>
      <w:rFonts w:ascii="Calibri" w:hAnsi="Calibri" w:eastAsia="宋体" w:cs="Calibri"/>
      <w:kern w:val="2"/>
      <w:sz w:val="21"/>
      <w:szCs w:val="24"/>
      <w:lang w:val="en-US" w:eastAsia="zh-CN" w:bidi="ar-SA"/>
    </w:rPr>
  </w:style>
  <w:style w:type="paragraph" w:customStyle="1" w:styleId="68">
    <w:name w:val="Char Char Char Char Char Char1 Char"/>
    <w:basedOn w:val="1"/>
    <w:qFormat/>
    <w:uiPriority w:val="0"/>
    <w:pPr>
      <w:widowControl/>
      <w:spacing w:after="160" w:line="240" w:lineRule="exact"/>
      <w:jc w:val="left"/>
    </w:pPr>
    <w:rPr>
      <w:rFonts w:ascii="Arial Narrow" w:hAnsi="Arial Narrow" w:eastAsia="Calibri" w:cs="楷体_GB2312"/>
      <w:b/>
      <w:kern w:val="0"/>
      <w:sz w:val="24"/>
      <w:lang w:eastAsia="en-US"/>
    </w:rPr>
  </w:style>
  <w:style w:type="paragraph" w:customStyle="1" w:styleId="69">
    <w:name w:val="表格"/>
    <w:basedOn w:val="1"/>
    <w:qFormat/>
    <w:uiPriority w:val="0"/>
    <w:pPr>
      <w:jc w:val="center"/>
    </w:pPr>
    <w:rPr>
      <w:sz w:val="24"/>
    </w:rPr>
  </w:style>
  <w:style w:type="paragraph" w:customStyle="1" w:styleId="70">
    <w:name w:val="表格文字"/>
    <w:basedOn w:val="1"/>
    <w:qFormat/>
    <w:uiPriority w:val="0"/>
    <w:pPr>
      <w:autoSpaceDE w:val="0"/>
      <w:autoSpaceDN w:val="0"/>
      <w:adjustRightInd w:val="0"/>
      <w:snapToGrid w:val="0"/>
      <w:spacing w:line="280" w:lineRule="exact"/>
    </w:pPr>
    <w:rPr>
      <w:rFonts w:ascii="黑体" w:hAnsi="黑体" w:eastAsia="Calibri Light" w:cs="Times New Roman"/>
      <w:kern w:val="0"/>
      <w:szCs w:val="20"/>
    </w:rPr>
  </w:style>
  <w:style w:type="paragraph" w:customStyle="1" w:styleId="71">
    <w:name w:val="+正文"/>
    <w:basedOn w:val="1"/>
    <w:qFormat/>
    <w:uiPriority w:val="0"/>
    <w:pPr>
      <w:spacing w:line="360" w:lineRule="auto"/>
      <w:ind w:firstLine="200" w:firstLineChars="200"/>
    </w:pPr>
    <w:rPr>
      <w:kern w:val="0"/>
      <w:sz w:val="24"/>
      <w:szCs w:val="28"/>
    </w:rPr>
  </w:style>
  <w:style w:type="paragraph" w:customStyle="1" w:styleId="72">
    <w:name w:val="_Style 2"/>
    <w:basedOn w:val="1"/>
    <w:qFormat/>
    <w:uiPriority w:val="0"/>
    <w:pPr>
      <w:ind w:firstLine="420" w:firstLineChars="200"/>
    </w:pPr>
  </w:style>
  <w:style w:type="paragraph" w:styleId="73">
    <w:name w:val="No Spacing"/>
    <w:basedOn w:val="1"/>
    <w:qFormat/>
    <w:uiPriority w:val="99"/>
    <w:rPr>
      <w:rFonts w:ascii="Calibri Light" w:hAnsi="Calibri Light" w:cs="Calibri Light"/>
      <w:sz w:val="21"/>
      <w:szCs w:val="21"/>
    </w:rPr>
  </w:style>
  <w:style w:type="paragraph" w:customStyle="1" w:styleId="74">
    <w:name w:val="22"/>
    <w:basedOn w:val="19"/>
    <w:qFormat/>
    <w:uiPriority w:val="0"/>
    <w:rPr>
      <w:sz w:val="21"/>
    </w:rPr>
  </w:style>
  <w:style w:type="paragraph" w:customStyle="1" w:styleId="75">
    <w:name w:val="正文缩进1"/>
    <w:basedOn w:val="1"/>
    <w:qFormat/>
    <w:uiPriority w:val="0"/>
    <w:rPr>
      <w:rFonts w:ascii="Calibri" w:eastAsia="Calibri Light"/>
    </w:rPr>
  </w:style>
  <w:style w:type="paragraph" w:customStyle="1" w:styleId="76">
    <w:name w:val="中文报告书样式"/>
    <w:basedOn w:val="1"/>
    <w:qFormat/>
    <w:uiPriority w:val="0"/>
    <w:pPr>
      <w:spacing w:line="480" w:lineRule="atLeast"/>
      <w:ind w:firstLine="482"/>
      <w:textAlignment w:val="baseline"/>
    </w:pPr>
    <w:rPr>
      <w:kern w:val="24"/>
      <w:sz w:val="24"/>
    </w:rPr>
  </w:style>
  <w:style w:type="paragraph" w:customStyle="1" w:styleId="77">
    <w:name w:val="样式4"/>
    <w:basedOn w:val="1"/>
    <w:qFormat/>
    <w:uiPriority w:val="0"/>
    <w:pPr>
      <w:spacing w:beforeLines="50" w:afterLines="50" w:line="480" w:lineRule="exact"/>
    </w:pPr>
    <w:rPr>
      <w:rFonts w:eastAsia="Cambria"/>
      <w:bCs/>
      <w:szCs w:val="20"/>
    </w:rPr>
  </w:style>
  <w:style w:type="paragraph" w:customStyle="1" w:styleId="78">
    <w:name w:val="段落 Char Char"/>
    <w:qFormat/>
    <w:uiPriority w:val="0"/>
    <w:pPr>
      <w:spacing w:line="500" w:lineRule="exact"/>
      <w:ind w:firstLine="600"/>
    </w:pPr>
    <w:rPr>
      <w:rFonts w:ascii="Calibri Light" w:hAnsi="Calibri Light" w:eastAsia="宋体" w:cs="Calibri"/>
      <w:kern w:val="2"/>
      <w:sz w:val="28"/>
      <w:szCs w:val="28"/>
      <w:lang w:val="en-US" w:eastAsia="zh-CN" w:bidi="ar-SA"/>
    </w:rPr>
  </w:style>
  <w:style w:type="paragraph" w:customStyle="1" w:styleId="79">
    <w:name w:val="简单回函地址"/>
    <w:basedOn w:val="1"/>
    <w:qFormat/>
    <w:uiPriority w:val="0"/>
    <w:rPr>
      <w:rFonts w:ascii="Calibri" w:hAnsi="Calibri"/>
      <w:sz w:val="24"/>
      <w:szCs w:val="20"/>
    </w:rPr>
  </w:style>
  <w:style w:type="paragraph" w:customStyle="1" w:styleId="80">
    <w:name w:val="段落"/>
    <w:basedOn w:val="16"/>
    <w:qFormat/>
    <w:uiPriority w:val="0"/>
    <w:pPr>
      <w:spacing w:line="500" w:lineRule="exact"/>
      <w:ind w:firstLine="578"/>
    </w:pPr>
    <w:rPr>
      <w:rFonts w:ascii="Calibri" w:hAnsi="Calibri"/>
      <w:szCs w:val="28"/>
    </w:rPr>
  </w:style>
  <w:style w:type="paragraph" w:customStyle="1" w:styleId="81">
    <w:name w:val="正文缩进11"/>
    <w:basedOn w:val="1"/>
    <w:qFormat/>
    <w:uiPriority w:val="0"/>
  </w:style>
  <w:style w:type="paragraph" w:customStyle="1" w:styleId="82">
    <w:name w:val="p0"/>
    <w:qFormat/>
    <w:uiPriority w:val="0"/>
    <w:pPr>
      <w:jc w:val="center"/>
    </w:pPr>
    <w:rPr>
      <w:rFonts w:ascii="Calibri" w:hAnsi="Calibri" w:eastAsia="宋体" w:cs="Calibri"/>
      <w:sz w:val="21"/>
      <w:szCs w:val="21"/>
      <w:lang w:val="en-US" w:eastAsia="zh-CN" w:bidi="ar-SA"/>
    </w:rPr>
  </w:style>
  <w:style w:type="paragraph" w:customStyle="1" w:styleId="83">
    <w:name w:val="Char Char Char Char1"/>
    <w:basedOn w:val="1"/>
    <w:qFormat/>
    <w:uiPriority w:val="0"/>
    <w:pPr>
      <w:snapToGrid w:val="0"/>
      <w:spacing w:line="360" w:lineRule="auto"/>
      <w:ind w:firstLine="200" w:firstLineChars="200"/>
    </w:pPr>
    <w:rPr>
      <w:rFonts w:eastAsia="Symbol Tiger Expert"/>
      <w:sz w:val="24"/>
      <w:szCs w:val="24"/>
    </w:rPr>
  </w:style>
  <w:style w:type="paragraph" w:customStyle="1" w:styleId="84">
    <w:name w:val="表题"/>
    <w:basedOn w:val="21"/>
    <w:qFormat/>
    <w:uiPriority w:val="0"/>
    <w:pPr>
      <w:spacing w:beforeLines="50" w:line="480" w:lineRule="exact"/>
      <w:ind w:firstLine="0" w:firstLineChars="0"/>
      <w:jc w:val="center"/>
    </w:pPr>
    <w:rPr>
      <w:rFonts w:eastAsia="Cambria"/>
    </w:rPr>
  </w:style>
  <w:style w:type="paragraph" w:customStyle="1" w:styleId="85">
    <w:name w:val="正文1"/>
    <w:qFormat/>
    <w:uiPriority w:val="0"/>
    <w:pPr>
      <w:jc w:val="both"/>
    </w:pPr>
    <w:rPr>
      <w:rFonts w:ascii="Calibri Light" w:hAnsi="Calibri Light" w:eastAsia="宋体" w:cs="Calibri Light"/>
      <w:kern w:val="2"/>
      <w:sz w:val="21"/>
      <w:szCs w:val="21"/>
      <w:lang w:val="en-US" w:eastAsia="zh-CN" w:bidi="ar-SA"/>
    </w:rPr>
  </w:style>
  <w:style w:type="paragraph" w:customStyle="1" w:styleId="86">
    <w:name w:val="样式3"/>
    <w:basedOn w:val="1"/>
    <w:qFormat/>
    <w:uiPriority w:val="0"/>
    <w:pPr>
      <w:spacing w:before="100" w:beforeAutospacing="1" w:line="252" w:lineRule="auto"/>
      <w:ind w:firstLine="602" w:firstLineChars="200"/>
    </w:pPr>
    <w:rPr>
      <w:rFonts w:ascii="宋体" w:hAnsi="宋体" w:cs="Times New Roman"/>
      <w:szCs w:val="30"/>
    </w:rPr>
  </w:style>
  <w:style w:type="character" w:customStyle="1" w:styleId="87">
    <w:name w:val="mod-title ml-5"/>
    <w:basedOn w:val="28"/>
    <w:qFormat/>
    <w:uiPriority w:val="0"/>
  </w:style>
  <w:style w:type="paragraph" w:customStyle="1" w:styleId="88">
    <w:name w:val="纯文本1"/>
    <w:basedOn w:val="1"/>
    <w:qFormat/>
    <w:uiPriority w:val="0"/>
    <w:pPr>
      <w:adjustRightInd w:val="0"/>
      <w:textAlignment w:val="baseline"/>
    </w:pPr>
    <w:rPr>
      <w:rFonts w:ascii="宋体" w:hAnsi="Courier New" w:cs="Times New Roman"/>
      <w:sz w:val="21"/>
      <w:szCs w:val="20"/>
    </w:rPr>
  </w:style>
  <w:style w:type="character" w:customStyle="1" w:styleId="89">
    <w:name w:val="正文文本缩进 Char"/>
    <w:basedOn w:val="28"/>
    <w:link w:val="2"/>
    <w:qFormat/>
    <w:uiPriority w:val="0"/>
    <w:rPr>
      <w:rFonts w:ascii="Georgia" w:hAnsi="Georgia"/>
      <w:spacing w:val="6"/>
      <w:kern w:val="2"/>
      <w:szCs w:val="22"/>
    </w:rPr>
  </w:style>
  <w:style w:type="character" w:customStyle="1" w:styleId="90">
    <w:name w:val="正文首行缩进 2 Char"/>
    <w:basedOn w:val="89"/>
    <w:link w:val="25"/>
    <w:qFormat/>
    <w:uiPriority w:val="0"/>
    <w:rPr>
      <w:rFonts w:ascii="Georgia" w:hAnsi="Georgia"/>
      <w:spacing w:val="6"/>
      <w:kern w:val="2"/>
      <w:szCs w:val="22"/>
    </w:rPr>
  </w:style>
  <w:style w:type="paragraph" w:customStyle="1" w:styleId="91">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正文A"/>
    <w:basedOn w:val="1"/>
    <w:qFormat/>
    <w:uiPriority w:val="0"/>
    <w:pPr>
      <w:adjustRightInd w:val="0"/>
      <w:snapToGrid w:val="0"/>
      <w:spacing w:beforeLines="50" w:afterLines="50" w:line="360" w:lineRule="auto"/>
      <w:ind w:firstLine="560" w:firstLineChars="200"/>
    </w:pPr>
    <w:rPr>
      <w:rFonts w:cs="宋体"/>
      <w:szCs w:val="20"/>
    </w:rPr>
  </w:style>
  <w:style w:type="character" w:customStyle="1" w:styleId="93">
    <w:name w:val="页脚 Char"/>
    <w:basedOn w:val="28"/>
    <w:link w:val="19"/>
    <w:qFormat/>
    <w:uiPriority w:val="99"/>
    <w:rPr>
      <w:rFonts w:eastAsia="Calibri Light"/>
      <w:color w:val="000000"/>
      <w:kern w:val="2"/>
      <w:sz w:val="18"/>
      <w:szCs w:val="18"/>
    </w:rPr>
  </w:style>
  <w:style w:type="character" w:customStyle="1" w:styleId="94">
    <w:name w:val="标题 4 Char"/>
    <w:basedOn w:val="28"/>
    <w:link w:val="8"/>
    <w:semiHidden/>
    <w:qFormat/>
    <w:uiPriority w:val="0"/>
    <w:rPr>
      <w:rFonts w:ascii="Cambria" w:hAnsi="Cambria" w:eastAsia="宋体" w:cs="Times New Roman"/>
      <w:bCs/>
      <w:kern w:val="2"/>
      <w:sz w:val="28"/>
      <w:szCs w:val="28"/>
    </w:rPr>
  </w:style>
  <w:style w:type="character" w:customStyle="1" w:styleId="95">
    <w:name w:val="description6"/>
    <w:basedOn w:val="28"/>
    <w:qFormat/>
    <w:uiPriority w:val="0"/>
  </w:style>
  <w:style w:type="paragraph" w:customStyle="1" w:styleId="96">
    <w:name w:val="报告书表格表头"/>
    <w:basedOn w:val="1"/>
    <w:qFormat/>
    <w:uiPriority w:val="0"/>
    <w:pPr>
      <w:adjustRightInd w:val="0"/>
      <w:snapToGrid w:val="0"/>
    </w:pPr>
    <w:rPr>
      <w:rFonts w:eastAsia="黑体"/>
      <w:color w:val="000000"/>
    </w:rPr>
  </w:style>
  <w:style w:type="paragraph" w:customStyle="1" w:styleId="97">
    <w:name w:val="报告表表格文字"/>
    <w:basedOn w:val="1"/>
    <w:qFormat/>
    <w:uiPriority w:val="0"/>
    <w:pPr>
      <w:autoSpaceDE w:val="0"/>
      <w:autoSpaceDN w:val="0"/>
      <w:adjustRightInd w:val="0"/>
      <w:snapToGrid w:val="0"/>
      <w:spacing w:line="360" w:lineRule="exact"/>
      <w:jc w:val="center"/>
      <w:textAlignment w:val="baseline"/>
    </w:pPr>
    <w:rPr>
      <w:color w:val="000000"/>
      <w:kern w:val="0"/>
      <w:sz w:val="21"/>
      <w:szCs w:val="21"/>
    </w:rPr>
  </w:style>
  <w:style w:type="paragraph" w:customStyle="1" w:styleId="98">
    <w:name w:val="表头 Char"/>
    <w:basedOn w:val="1"/>
    <w:qFormat/>
    <w:uiPriority w:val="0"/>
    <w:pPr>
      <w:spacing w:before="200" w:after="100" w:afterAutospacing="1" w:line="500" w:lineRule="exact"/>
    </w:pPr>
    <w:rPr>
      <w:rFonts w:ascii="黑体" w:hAnsi="黑体" w:eastAsia="黑体" w:cs="宋体"/>
      <w:spacing w:val="20"/>
      <w:sz w:val="24"/>
      <w:szCs w:val="24"/>
    </w:rPr>
  </w:style>
  <w:style w:type="paragraph" w:customStyle="1" w:styleId="99">
    <w:name w:val="5文章(治)"/>
    <w:basedOn w:val="1"/>
    <w:qFormat/>
    <w:uiPriority w:val="0"/>
    <w:pPr>
      <w:spacing w:line="360" w:lineRule="auto"/>
      <w:ind w:firstLine="560" w:firstLineChars="200"/>
    </w:pPr>
    <w:rPr>
      <w:color w:val="000000"/>
      <w:sz w:val="24"/>
      <w:szCs w:val="20"/>
    </w:rPr>
  </w:style>
  <w:style w:type="paragraph" w:customStyle="1" w:styleId="100">
    <w:name w:val="Table Paragraph"/>
    <w:basedOn w:val="1"/>
    <w:qFormat/>
    <w:uiPriority w:val="1"/>
  </w:style>
  <w:style w:type="character" w:customStyle="1" w:styleId="101">
    <w:name w:val="标题 1 Char"/>
    <w:link w:val="4"/>
    <w:qFormat/>
    <w:uiPriority w:val="0"/>
    <w:rPr>
      <w:rFonts w:eastAsia="Cambria"/>
      <w:b/>
      <w:bCs/>
      <w:kern w:val="44"/>
      <w:sz w:val="42"/>
    </w:rPr>
  </w:style>
  <w:style w:type="paragraph" w:customStyle="1" w:styleId="102">
    <w:name w:val="鸿达表加粗"/>
    <w:basedOn w:val="1"/>
    <w:qFormat/>
    <w:uiPriority w:val="0"/>
    <w:pPr>
      <w:jc w:val="center"/>
    </w:pPr>
    <w:rPr>
      <w:rFonts w:cs="宋体"/>
      <w:b/>
      <w:color w:val="000000"/>
      <w:sz w:val="21"/>
    </w:rPr>
  </w:style>
  <w:style w:type="paragraph" w:customStyle="1" w:styleId="103">
    <w:name w:val="鸿达表格文字"/>
    <w:basedOn w:val="1"/>
    <w:qFormat/>
    <w:uiPriority w:val="0"/>
    <w:pPr>
      <w:contextualSpacing/>
      <w:jc w:val="center"/>
    </w:pPr>
    <w:rPr>
      <w:sz w:val="21"/>
      <w:szCs w:val="21"/>
    </w:rPr>
  </w:style>
  <w:style w:type="paragraph" w:customStyle="1" w:styleId="104">
    <w:name w:val="样式1"/>
    <w:basedOn w:val="1"/>
    <w:qFormat/>
    <w:uiPriority w:val="0"/>
  </w:style>
  <w:style w:type="character" w:customStyle="1" w:styleId="105">
    <w:name w:val="列表 Char"/>
    <w:link w:val="21"/>
    <w:qFormat/>
    <w:uiPriority w:val="0"/>
    <w:rPr>
      <w:rFonts w:ascii="Times New Roman" w:hAnsi="Times New Roman" w:eastAsia="黑体"/>
      <w:sz w:val="21"/>
    </w:rPr>
  </w:style>
  <w:style w:type="paragraph" w:customStyle="1" w:styleId="106">
    <w:name w:val="样式 标题 1一级标题 + 段前: 0.5 行 段后: 0.5 行"/>
    <w:basedOn w:val="4"/>
    <w:qFormat/>
    <w:uiPriority w:val="99"/>
    <w:pPr>
      <w:spacing w:line="320" w:lineRule="exact"/>
      <w:outlineLvl w:val="9"/>
    </w:pPr>
    <w:rPr>
      <w:spacing w:val="-6"/>
      <w:sz w:val="21"/>
      <w:szCs w:val="21"/>
    </w:rPr>
  </w:style>
  <w:style w:type="character" w:customStyle="1" w:styleId="107">
    <w:name w:val="cur1"/>
    <w:basedOn w:val="28"/>
    <w:qFormat/>
    <w:uiPriority w:val="0"/>
    <w:rPr>
      <w:color w:val="FFFFFF"/>
      <w:shd w:val="clear" w:color="auto" w:fill="0C79CC"/>
    </w:rPr>
  </w:style>
  <w:style w:type="character" w:customStyle="1" w:styleId="108">
    <w:name w:val="hover33"/>
    <w:basedOn w:val="28"/>
    <w:qFormat/>
    <w:uiPriority w:val="0"/>
  </w:style>
  <w:style w:type="character" w:customStyle="1" w:styleId="109">
    <w:name w:val="lable"/>
    <w:basedOn w:val="28"/>
    <w:qFormat/>
    <w:uiPriority w:val="0"/>
    <w:rPr>
      <w:sz w:val="24"/>
      <w:szCs w:val="24"/>
    </w:rPr>
  </w:style>
  <w:style w:type="character" w:customStyle="1" w:styleId="110">
    <w:name w:val="radio-btn"/>
    <w:basedOn w:val="28"/>
    <w:qFormat/>
    <w:uiPriority w:val="0"/>
  </w:style>
  <w:style w:type="character" w:customStyle="1" w:styleId="111">
    <w:name w:val="cur"/>
    <w:basedOn w:val="28"/>
    <w:qFormat/>
    <w:uiPriority w:val="0"/>
    <w:rPr>
      <w:color w:val="FFFFFF"/>
      <w:shd w:val="clear" w:color="auto" w:fill="0C79CC"/>
    </w:rPr>
  </w:style>
  <w:style w:type="character" w:customStyle="1" w:styleId="112">
    <w:name w:val="hover34"/>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42"/>
    <customShpInfo spid="_x0000_s1039"/>
    <customShpInfo spid="_x0000_s1030"/>
    <customShpInfo spid="_x0000_s1038"/>
    <customShpInfo spid="_x0000_s1037"/>
    <customShpInfo spid="_x0000_s1029"/>
    <customShpInfo spid="_x0000_s1028"/>
    <customShpInfo spid="_x0000_s1034"/>
    <customShpInfo spid="_x0000_s1051"/>
    <customShpInfo spid="_x0000_s1040"/>
    <customShpInfo spid="_x0000_s1041"/>
    <customShpInfo spid="_x0000_s1036"/>
    <customShpInfo spid="_x0000_s1035"/>
    <customShpInfo spid="_x0000_s1033"/>
    <customShpInfo spid="_x0000_s1032"/>
    <customShpInfo spid="_x0000_s1031"/>
    <customShpInfo spid="_x0000_s1052"/>
    <customShpInfo spid="_x0000_s1043"/>
    <customShpInfo spid="_x0000_s1044"/>
    <customShpInfo spid="_x0000_s1053"/>
    <customShpInfo spid="_x0000_s1055"/>
    <customShpInfo spid="_x0000_s1067"/>
    <customShpInfo spid="_x0000_s1060"/>
    <customShpInfo spid="_x0000_s1066"/>
    <customShpInfo spid="_x0000_s1064"/>
    <customShpInfo spid="_x0000_s1063"/>
    <customShpInfo spid="_x0000_s1061"/>
    <customShpInfo spid="_x0000_s1065"/>
    <customShpInfo spid="_x0000_s1059"/>
    <customShpInfo spid="_x0000_s1057"/>
    <customShpInfo spid="_x0000_s1054"/>
    <customShpInfo spid="_x0000_s1058"/>
    <customShpInfo spid="_x0000_s1045"/>
    <customShpInfo spid="_x0000_s1046"/>
    <customShpInfo spid="_x0000_s1047"/>
    <customShpInfo spid="_x0000_s1048"/>
    <customShpInfo spid="_x0000_s1049"/>
    <customShpInfo spid="_x0000_s1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7E6ED1-62A6-4396-BDD3-D105FA7FB3A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6376</Words>
  <Characters>36347</Characters>
  <Lines>302</Lines>
  <Paragraphs>85</Paragraphs>
  <TotalTime>2</TotalTime>
  <ScaleCrop>false</ScaleCrop>
  <LinksUpToDate>false</LinksUpToDate>
  <CharactersWithSpaces>42638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2019-05-15T02:59:00Z</dcterms:created>
  <dc:creator>Administrator</dc:creator>
  <cp:lastModifiedBy>未定义</cp:lastModifiedBy>
  <cp:lastPrinted>2019-11-20T04:35:00Z</cp:lastPrinted>
  <dcterms:modified xsi:type="dcterms:W3CDTF">2020-03-16T06:42:14Z</dcterms:modified>
  <dc:title>《建设项目环境影响报告表》编制说明</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